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0B6F0F0C" w:rsidR="005B0C12" w:rsidRPr="00DB7E4B" w:rsidRDefault="00750D04" w:rsidP="005B0C12">
      <w:pPr>
        <w:pStyle w:val="Titulka"/>
        <w:widowControl w:val="0"/>
        <w:rPr>
          <w:sz w:val="32"/>
          <w:szCs w:val="32"/>
        </w:rPr>
      </w:pPr>
      <w:r w:rsidRPr="00634CAD">
        <w:rPr>
          <w:sz w:val="32"/>
        </w:rPr>
        <w:t>SMART-TEC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5EAE23B5" w:rsidR="005B0C12" w:rsidRPr="00780DCF" w:rsidRDefault="007012C8" w:rsidP="005B0C12">
      <w:pPr>
        <w:widowControl w:val="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Josef Matouš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F9F2CC5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bookmarkStart w:id="0" w:name="_Hlk81390713"/>
      <w:r w:rsidR="00410B48" w:rsidRPr="00C67C36">
        <w:rPr>
          <w:sz w:val="26"/>
          <w:szCs w:val="26"/>
        </w:rPr>
        <w:t>18</w:t>
      </w:r>
      <w:r w:rsidR="00750D04">
        <w:rPr>
          <w:sz w:val="26"/>
          <w:szCs w:val="26"/>
        </w:rPr>
        <w:t>9</w:t>
      </w:r>
      <w:r w:rsidR="00410B48" w:rsidRPr="00C67C36">
        <w:rPr>
          <w:sz w:val="26"/>
          <w:szCs w:val="26"/>
        </w:rPr>
        <w:t>/2021/</w:t>
      </w:r>
      <w:proofErr w:type="gramStart"/>
      <w:r w:rsidR="00410B48" w:rsidRPr="00C67C36">
        <w:rPr>
          <w:sz w:val="26"/>
          <w:szCs w:val="26"/>
        </w:rPr>
        <w:t>06D</w:t>
      </w:r>
      <w:bookmarkEnd w:id="0"/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4A28DEE2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r w:rsidR="00410B48">
        <w:t xml:space="preserve">Štěpánská </w:t>
      </w:r>
      <w:r w:rsidR="00410B48" w:rsidRPr="001A7EE8">
        <w:t>567/15</w:t>
      </w:r>
      <w:r w:rsidR="00410B48" w:rsidRPr="000C3F08">
        <w:t>, Praha 2, PSČ 12</w:t>
      </w:r>
      <w:r w:rsidR="00410B48">
        <w:t>0 00</w:t>
      </w:r>
      <w:r w:rsidRPr="00031553">
        <w:rPr>
          <w:szCs w:val="22"/>
        </w:rPr>
        <w:t>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58253BA7" w:rsidR="00FC57D6" w:rsidRDefault="00750D04" w:rsidP="00FC57D6">
      <w:pPr>
        <w:numPr>
          <w:ilvl w:val="0"/>
          <w:numId w:val="1"/>
        </w:numPr>
        <w:ind w:left="567" w:hanging="567"/>
        <w:rPr>
          <w:b/>
        </w:rPr>
      </w:pPr>
      <w:r w:rsidRPr="0012637E">
        <w:rPr>
          <w:b/>
        </w:rPr>
        <w:t>SMART-TEC s.r.o.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6D99B02" w14:textId="77777777" w:rsidR="00750D04" w:rsidRDefault="00750D04" w:rsidP="00750D04">
      <w:pPr>
        <w:pStyle w:val="Text11"/>
        <w:keepNext w:val="0"/>
      </w:pPr>
      <w:bookmarkStart w:id="1" w:name="_Hlk55212106"/>
      <w:r>
        <w:rPr>
          <w:szCs w:val="22"/>
        </w:rPr>
        <w:t>s</w:t>
      </w:r>
      <w:r>
        <w:t xml:space="preserve">e sídlem </w:t>
      </w:r>
      <w:r w:rsidRPr="0012637E">
        <w:t>Velké Poříčí 597, PSČ 549</w:t>
      </w:r>
      <w:r>
        <w:t xml:space="preserve"> </w:t>
      </w:r>
      <w:r w:rsidRPr="0012637E">
        <w:t>32</w:t>
      </w:r>
      <w:r>
        <w:t xml:space="preserve">, IČO: </w:t>
      </w:r>
      <w:r w:rsidRPr="0012637E">
        <w:t>28785711</w:t>
      </w:r>
      <w:r>
        <w:t>, DIČ:</w:t>
      </w:r>
      <w:r>
        <w:rPr>
          <w:szCs w:val="22"/>
        </w:rPr>
        <w:t xml:space="preserve"> CZ</w:t>
      </w:r>
      <w:r w:rsidRPr="0012637E">
        <w:t>28785711</w:t>
      </w:r>
      <w:r>
        <w:rPr>
          <w:szCs w:val="22"/>
        </w:rPr>
        <w:t>,</w:t>
      </w:r>
    </w:p>
    <w:p w14:paraId="7861304F" w14:textId="251C87C6" w:rsidR="00F76ACB" w:rsidRDefault="00750D04" w:rsidP="00750D04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 xml:space="preserve">vložka </w:t>
      </w:r>
      <w:bookmarkEnd w:id="1"/>
      <w:r>
        <w:rPr>
          <w:szCs w:val="22"/>
        </w:rPr>
        <w:t>27265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0582C861" w:rsidR="00520BF4" w:rsidRDefault="007012C8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Josef Matouš</w:t>
      </w:r>
    </w:p>
    <w:p w14:paraId="4455524C" w14:textId="4DE6E7FE" w:rsidR="00780DCF" w:rsidRDefault="00A577C7" w:rsidP="00780DCF">
      <w:pPr>
        <w:ind w:firstLine="555"/>
        <w:jc w:val="left"/>
      </w:pPr>
      <w:r w:rsidRPr="00A577C7">
        <w:t xml:space="preserve">se sídlem </w:t>
      </w:r>
      <w:r w:rsidR="00FD7A40" w:rsidRPr="00FD7A40">
        <w:t>Komenského 262, Broumov, PSČ 550 01</w:t>
      </w:r>
      <w:r w:rsidR="00780DCF">
        <w:t xml:space="preserve">, IČO: </w:t>
      </w:r>
      <w:r w:rsidR="00FD7A40" w:rsidRPr="00FD7A40">
        <w:t>75251035</w:t>
      </w:r>
    </w:p>
    <w:p w14:paraId="5F1B703C" w14:textId="184307C0" w:rsidR="00151697" w:rsidRDefault="00780DCF" w:rsidP="00780DCF">
      <w:pPr>
        <w:ind w:left="555"/>
        <w:jc w:val="left"/>
      </w:pPr>
      <w:r>
        <w:rPr>
          <w:szCs w:val="22"/>
        </w:rPr>
        <w:t>Fyzická osoba podnikající dle živnostenského zákona nezapsaná v obchodním rejstříku</w:t>
      </w:r>
      <w:r w:rsidR="00A577C7" w:rsidRPr="00A577C7">
        <w:rPr>
          <w:szCs w:val="22"/>
        </w:rPr>
        <w:t>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2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2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3" w:name="_Ref163848895"/>
      <w:bookmarkStart w:id="4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3"/>
    <w:bookmarkEnd w:id="4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5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6" w:name="_Ref333829425"/>
      <w:bookmarkStart w:id="7" w:name="_Ref373942997"/>
      <w:bookmarkEnd w:id="5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8" w:name="_Ref371429957"/>
      <w:bookmarkStart w:id="9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8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10" w:name="_Ref333491863"/>
      <w:bookmarkStart w:id="11" w:name="_Ref447793711"/>
      <w:bookmarkEnd w:id="6"/>
      <w:bookmarkEnd w:id="7"/>
      <w:bookmarkEnd w:id="9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10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1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2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2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3" w:name="_Ref451371254"/>
      <w:r w:rsidRPr="00031553">
        <w:rPr>
          <w:u w:val="single"/>
        </w:rPr>
        <w:t>Kontrola</w:t>
      </w:r>
      <w:bookmarkEnd w:id="13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4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4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5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5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6" w:name="_Ref163848335"/>
      <w:bookmarkStart w:id="17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6"/>
      <w:r w:rsidRPr="00031553">
        <w:t>autorským dílům</w:t>
      </w:r>
      <w:bookmarkEnd w:id="17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8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8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9" w:name="_Ref377928750"/>
      <w:r w:rsidRPr="00031553">
        <w:t>Doručovací adresa Realizátora projektu:</w:t>
      </w:r>
      <w:bookmarkEnd w:id="19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74AB5D10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410B48">
        <w:t xml:space="preserve">Štěpánská </w:t>
      </w:r>
      <w:r w:rsidR="00410B48" w:rsidRPr="001A7EE8">
        <w:t>567/15</w:t>
      </w:r>
      <w:r w:rsidR="00410B48" w:rsidRPr="000C3F08">
        <w:t>, Praha 2, PSČ 12</w:t>
      </w:r>
      <w:r w:rsidR="00410B48">
        <w:t>0 00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20" w:name="_Ref377928764"/>
      <w:r>
        <w:t xml:space="preserve">   </w:t>
      </w:r>
      <w:r w:rsidR="00EC7823" w:rsidRPr="00031553">
        <w:t xml:space="preserve">Doručovací adresa </w:t>
      </w:r>
      <w:bookmarkEnd w:id="20"/>
      <w:r w:rsidR="003D3EFE" w:rsidRPr="00031553">
        <w:t>Příjemce zvýhodněné služby</w:t>
      </w:r>
      <w:r w:rsidR="00EC7823" w:rsidRPr="00031553">
        <w:t xml:space="preserve">: </w:t>
      </w:r>
    </w:p>
    <w:p w14:paraId="2CC84FB6" w14:textId="2A32B981" w:rsidR="00780DCF" w:rsidRDefault="00432050" w:rsidP="00780DCF">
      <w:pPr>
        <w:pStyle w:val="Text11"/>
        <w:keepNext w:val="0"/>
        <w:spacing w:before="0" w:after="0"/>
        <w:ind w:left="708"/>
        <w:jc w:val="left"/>
      </w:pPr>
      <w:r w:rsidRPr="0012637E">
        <w:rPr>
          <w:b/>
        </w:rPr>
        <w:t>SMART-TEC s.r.o.</w:t>
      </w:r>
      <w:r w:rsidR="005A7242" w:rsidRPr="00A23418">
        <w:rPr>
          <w:b/>
        </w:rPr>
        <w:br/>
      </w:r>
      <w:r w:rsidR="00780DCF">
        <w:t>k rukám:</w:t>
      </w:r>
      <w:r w:rsidR="00780DCF">
        <w:tab/>
      </w:r>
      <w:r w:rsidR="00780DCF">
        <w:tab/>
      </w:r>
      <w:r>
        <w:t>David Šolc, jednatel</w:t>
      </w:r>
      <w:r w:rsidR="00780DCF" w:rsidRPr="00A14FDD">
        <w:br/>
        <w:t xml:space="preserve">adresa: </w:t>
      </w:r>
      <w:r w:rsidR="00780DCF" w:rsidRPr="00A14FDD">
        <w:tab/>
      </w:r>
      <w:r w:rsidR="00780DCF" w:rsidRPr="00A14FDD">
        <w:tab/>
      </w:r>
      <w:r w:rsidR="00780DCF">
        <w:tab/>
      </w:r>
      <w:r w:rsidRPr="0012637E">
        <w:t>Velké Poříčí 597, PSČ 549</w:t>
      </w:r>
      <w:r>
        <w:t xml:space="preserve"> </w:t>
      </w:r>
      <w:r w:rsidRPr="0012637E">
        <w:t>32</w:t>
      </w:r>
      <w:r w:rsidR="00780DCF" w:rsidRPr="00A14FDD" w:rsidDel="000035CB">
        <w:t xml:space="preserve"> </w:t>
      </w:r>
      <w:r w:rsidR="00780DCF" w:rsidRPr="00A14FDD">
        <w:br/>
        <w:t>e-mail:</w:t>
      </w:r>
      <w:r w:rsidR="00780DCF" w:rsidRPr="00A14FDD">
        <w:tab/>
      </w:r>
      <w:r w:rsidR="00780DCF" w:rsidRPr="00A14FDD">
        <w:tab/>
      </w:r>
      <w:r w:rsidR="00780DCF">
        <w:tab/>
      </w:r>
      <w:r w:rsidRPr="004E0A97">
        <w:t>solc@smart-tec.cz</w:t>
      </w:r>
    </w:p>
    <w:p w14:paraId="34CC9DC8" w14:textId="429564B7" w:rsidR="00542FA9" w:rsidRPr="00694C47" w:rsidRDefault="00780DCF" w:rsidP="00780DCF">
      <w:pPr>
        <w:pStyle w:val="Text11"/>
        <w:keepNext w:val="0"/>
        <w:spacing w:before="0" w:after="0"/>
        <w:ind w:left="708"/>
        <w:jc w:val="left"/>
      </w:pPr>
      <w:r w:rsidRPr="000C3F08">
        <w:t>Datová schránka:</w:t>
      </w:r>
      <w:r>
        <w:t xml:space="preserve"> </w:t>
      </w:r>
      <w:r>
        <w:tab/>
      </w:r>
      <w:r w:rsidR="00432050" w:rsidRPr="004E0A97">
        <w:t>sbhjxt7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29AA7040" w14:textId="673D1A45" w:rsidR="00780DCF" w:rsidRDefault="001F0B0B" w:rsidP="00780DCF">
      <w:pPr>
        <w:pStyle w:val="Default"/>
        <w:rPr>
          <w:sz w:val="22"/>
          <w:szCs w:val="22"/>
        </w:rPr>
      </w:pPr>
      <w:r>
        <w:rPr>
          <w:b/>
        </w:rPr>
        <w:t xml:space="preserve">   </w:t>
      </w:r>
      <w:r w:rsidR="00780DCF">
        <w:rPr>
          <w:b/>
        </w:rPr>
        <w:tab/>
      </w:r>
      <w:r w:rsidR="00FD7A40">
        <w:rPr>
          <w:b/>
          <w:bCs/>
          <w:sz w:val="22"/>
          <w:szCs w:val="22"/>
        </w:rPr>
        <w:t>Josef Matouš</w:t>
      </w:r>
      <w:r w:rsidR="00916846" w:rsidRPr="00D5231B">
        <w:rPr>
          <w:b/>
        </w:rPr>
        <w:br/>
      </w:r>
      <w:r w:rsidR="005A7242">
        <w:t xml:space="preserve">   </w:t>
      </w:r>
      <w:r w:rsidR="00780DCF">
        <w:tab/>
      </w:r>
      <w:r w:rsidR="00780DCF">
        <w:rPr>
          <w:sz w:val="22"/>
          <w:szCs w:val="22"/>
        </w:rPr>
        <w:t xml:space="preserve">k rukám: </w:t>
      </w:r>
      <w:r w:rsidR="00780DCF">
        <w:rPr>
          <w:sz w:val="22"/>
          <w:szCs w:val="22"/>
        </w:rPr>
        <w:tab/>
      </w:r>
      <w:r w:rsidR="00AA3601">
        <w:rPr>
          <w:sz w:val="22"/>
          <w:szCs w:val="22"/>
        </w:rPr>
        <w:tab/>
      </w:r>
      <w:r w:rsidR="00FD7A40">
        <w:rPr>
          <w:sz w:val="22"/>
          <w:szCs w:val="22"/>
        </w:rPr>
        <w:t>Josef Matouš</w:t>
      </w:r>
      <w:r w:rsidR="00E31BE8">
        <w:rPr>
          <w:sz w:val="22"/>
          <w:szCs w:val="22"/>
        </w:rPr>
        <w:t>, designér</w:t>
      </w:r>
    </w:p>
    <w:p w14:paraId="0AA11BD9" w14:textId="4C43839C" w:rsidR="00780DCF" w:rsidRDefault="00780DCF" w:rsidP="00780DCF">
      <w:pPr>
        <w:pStyle w:val="Text11"/>
        <w:keepNext w:val="0"/>
        <w:spacing w:before="0" w:after="0"/>
        <w:ind w:firstLine="147"/>
        <w:jc w:val="left"/>
      </w:pPr>
      <w:r>
        <w:rPr>
          <w:szCs w:val="22"/>
        </w:rPr>
        <w:t>adresa:</w:t>
      </w:r>
      <w:r>
        <w:rPr>
          <w:szCs w:val="22"/>
        </w:rPr>
        <w:tab/>
      </w:r>
      <w:r>
        <w:rPr>
          <w:szCs w:val="22"/>
        </w:rPr>
        <w:tab/>
      </w:r>
      <w:r w:rsidR="00AA3601">
        <w:rPr>
          <w:szCs w:val="22"/>
        </w:rPr>
        <w:tab/>
      </w:r>
      <w:r w:rsidR="00FD7A40" w:rsidRPr="00FD7A40">
        <w:t>Komenského 262, Broumov, PSČ 550 01</w:t>
      </w:r>
    </w:p>
    <w:p w14:paraId="1C7AB730" w14:textId="6B0D4A67" w:rsidR="00FD7A40" w:rsidRDefault="00780DCF" w:rsidP="00780DCF">
      <w:pPr>
        <w:pStyle w:val="Text11"/>
        <w:keepNext w:val="0"/>
        <w:spacing w:before="0" w:after="0"/>
        <w:ind w:firstLine="147"/>
        <w:jc w:val="left"/>
        <w:rPr>
          <w:szCs w:val="22"/>
        </w:rPr>
      </w:pPr>
      <w:r>
        <w:rPr>
          <w:szCs w:val="22"/>
        </w:rPr>
        <w:t>e-mail:</w:t>
      </w:r>
      <w:r>
        <w:rPr>
          <w:szCs w:val="22"/>
        </w:rPr>
        <w:tab/>
      </w:r>
      <w:r>
        <w:rPr>
          <w:szCs w:val="22"/>
        </w:rPr>
        <w:tab/>
      </w:r>
      <w:r w:rsidR="00AA3601">
        <w:rPr>
          <w:szCs w:val="22"/>
        </w:rPr>
        <w:tab/>
      </w:r>
      <w:r w:rsidR="00FD7A40" w:rsidRPr="00FD7A40">
        <w:rPr>
          <w:szCs w:val="22"/>
        </w:rPr>
        <w:t>josef.matous@seznam.cz</w:t>
      </w:r>
    </w:p>
    <w:p w14:paraId="628A8061" w14:textId="722E8637" w:rsidR="00A31F25" w:rsidRPr="00A14FDD" w:rsidRDefault="00FD7A40" w:rsidP="00780DCF">
      <w:pPr>
        <w:pStyle w:val="Text11"/>
        <w:keepNext w:val="0"/>
        <w:spacing w:before="0" w:after="0"/>
        <w:ind w:firstLine="147"/>
        <w:jc w:val="left"/>
      </w:pPr>
      <w:r w:rsidRPr="000C3F08">
        <w:t>Datová schránka:</w:t>
      </w:r>
      <w:r>
        <w:t xml:space="preserve"> </w:t>
      </w:r>
      <w:r>
        <w:tab/>
      </w:r>
      <w:r w:rsidRPr="00FD7A40">
        <w:t>fv6fskk</w:t>
      </w:r>
      <w:r w:rsidR="001375F8">
        <w:t xml:space="preserve">  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11F1E3C2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2505C0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1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1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32D16102" w:rsidR="00EC7823" w:rsidRPr="00031553" w:rsidRDefault="00432050" w:rsidP="003D3EFE">
            <w:pPr>
              <w:jc w:val="left"/>
              <w:rPr>
                <w:b/>
              </w:rPr>
            </w:pPr>
            <w:r w:rsidRPr="0012637E">
              <w:rPr>
                <w:b/>
              </w:rPr>
              <w:t>SMART-TEC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C59259D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432050">
              <w:t>Velké Poříčí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B506B60" w:rsidR="00EC7823" w:rsidRPr="00A14FDD" w:rsidRDefault="00EC7823" w:rsidP="003D3EFE">
            <w:r w:rsidRPr="00A14FDD">
              <w:t xml:space="preserve">Jméno: </w:t>
            </w:r>
            <w:r w:rsidR="00432050">
              <w:rPr>
                <w:bCs/>
                <w:szCs w:val="22"/>
              </w:rPr>
              <w:t>David Šolc</w:t>
            </w:r>
          </w:p>
          <w:p w14:paraId="5EE6E154" w14:textId="1069D469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133EDF7E" w:rsidR="005648C4" w:rsidRPr="00D5231B" w:rsidRDefault="0086660C" w:rsidP="005648C4">
            <w:pPr>
              <w:jc w:val="left"/>
              <w:rPr>
                <w:b/>
              </w:rPr>
            </w:pPr>
            <w:r>
              <w:rPr>
                <w:b/>
              </w:rPr>
              <w:t>Josef Matouš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00163A5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5C6158">
              <w:t>Br</w:t>
            </w:r>
            <w:r w:rsidR="0086660C">
              <w:t>oumov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15BB8A70" w:rsidR="005648C4" w:rsidRPr="005C6158" w:rsidRDefault="005648C4" w:rsidP="003D3EFE">
            <w:r w:rsidRPr="00A14FDD">
              <w:t xml:space="preserve">Jméno: </w:t>
            </w:r>
            <w:r w:rsidR="0086660C">
              <w:rPr>
                <w:bCs/>
                <w:szCs w:val="22"/>
              </w:rPr>
              <w:t>Josef Matouš</w:t>
            </w:r>
          </w:p>
          <w:p w14:paraId="762B3B36" w14:textId="3C3788D7" w:rsidR="005648C4" w:rsidRPr="00031553" w:rsidRDefault="00625FBB" w:rsidP="005648C4">
            <w:r>
              <w:t>Funkce: designér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08DD76A5" w14:textId="7A88E380" w:rsidR="006A2166" w:rsidRDefault="006A2166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031553">
        <w:t>PŘÍLOHA 1 smlouvy</w:t>
      </w:r>
    </w:p>
    <w:p w14:paraId="4C4BF1FB" w14:textId="6BFAA01D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615453AD" w:rsidR="008F2C11" w:rsidRPr="001334B0" w:rsidRDefault="00146D4C" w:rsidP="008B1FAF">
      <w:pPr>
        <w:pStyle w:val="Bezmezer"/>
        <w:spacing w:after="600"/>
      </w:pPr>
      <w:r w:rsidRPr="0010279F">
        <w:t xml:space="preserve">Návrh </w:t>
      </w:r>
      <w:r w:rsidR="009D75F0" w:rsidRPr="009D75F0">
        <w:t xml:space="preserve">designu </w:t>
      </w:r>
      <w:r w:rsidR="00CB659D" w:rsidRPr="00AD6D36">
        <w:rPr>
          <w:b/>
        </w:rPr>
        <w:t xml:space="preserve">pouzdra </w:t>
      </w:r>
      <w:r w:rsidR="00CB659D" w:rsidRPr="00CB659D">
        <w:t>10“ displeje, které bude určeno pro výrobce stavebních a zemědělských strojů. Navrhovaný produkt bude jednolité pouzdro bez spojů, odolné proti velké zátěži, aby v těžkých strojích nedocházelo k poškození.</w:t>
      </w:r>
    </w:p>
    <w:p w14:paraId="43BF3326" w14:textId="77777777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32C1EF65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0E161F">
        <w:t xml:space="preserve">služby </w:t>
      </w:r>
      <w:r w:rsidR="00AD6D36" w:rsidRPr="00AD6D36">
        <w:t>SMART-TEC s.r.o.</w:t>
      </w:r>
      <w:r w:rsidRPr="002E0ACB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2C13E0D0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</w:t>
      </w:r>
      <w:r w:rsidRPr="00FA5FA0">
        <w:t xml:space="preserve">designu </w:t>
      </w:r>
      <w:r w:rsidR="00AD6D36" w:rsidRPr="00AD6D36">
        <w:t>pouzdra pro 10“ displej</w:t>
      </w:r>
      <w:r w:rsidR="00FB22E5" w:rsidRPr="00F614CD">
        <w:t xml:space="preserve"> </w:t>
      </w:r>
      <w:r w:rsidRPr="00FA5FA0">
        <w:t xml:space="preserve">na </w:t>
      </w:r>
      <w:r>
        <w:t>základě provedené analýzy dle bodu (a) výše – předložení minimálně 3 skic;</w:t>
      </w:r>
    </w:p>
    <w:p w14:paraId="671701B0" w14:textId="1CC218B2" w:rsidR="004437F0" w:rsidRPr="00DC194A" w:rsidRDefault="004437F0" w:rsidP="004437F0">
      <w:pPr>
        <w:pStyle w:val="Claneka"/>
        <w:numPr>
          <w:ilvl w:val="2"/>
          <w:numId w:val="9"/>
        </w:numPr>
      </w:pPr>
      <w:r>
        <w:t>Návrh designového řešení, tj. rozpracování zvolené jedné varianty nového designu</w:t>
      </w:r>
      <w:r w:rsidR="00F614CD">
        <w:t xml:space="preserve"> </w:t>
      </w:r>
      <w:r w:rsidR="00AD6D36" w:rsidRPr="00AD6D36">
        <w:t>pouzdra pro 10“ displej</w:t>
      </w:r>
      <w:r w:rsidRPr="00DC194A">
        <w:t xml:space="preserve">; </w:t>
      </w:r>
    </w:p>
    <w:p w14:paraId="78A8AA54" w14:textId="1D5499DC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AD6D36" w:rsidRPr="00AD6D36">
        <w:t>pouzdra pro 10“ displej</w:t>
      </w:r>
      <w:r w:rsidRPr="00DC194A">
        <w:t xml:space="preserve"> </w:t>
      </w:r>
      <w:r>
        <w:t>a jeho zavedení do výroby;</w:t>
      </w:r>
    </w:p>
    <w:p w14:paraId="799B6035" w14:textId="65C3F73C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AD6D36" w:rsidRPr="00AD6D36">
        <w:t>pouzdra pro 10“ displej</w:t>
      </w:r>
      <w:r w:rsidR="004437F0">
        <w:t xml:space="preserve"> Příjemce zvýhodněné služby </w:t>
      </w:r>
      <w:r w:rsidR="00AD6D36" w:rsidRPr="00AD6D36">
        <w:t>SMART-TEC s.r.o.</w:t>
      </w:r>
      <w:r w:rsidR="004437F0">
        <w:t>;</w:t>
      </w:r>
    </w:p>
    <w:p w14:paraId="58C6CFA8" w14:textId="0AD7D7D7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AD6D36">
        <w:t xml:space="preserve">3D modelu </w:t>
      </w:r>
      <w:bookmarkStart w:id="22" w:name="_GoBack"/>
      <w:bookmarkEnd w:id="22"/>
      <w:r w:rsidRPr="00031553">
        <w:t>nového designu</w:t>
      </w:r>
      <w:r>
        <w:t xml:space="preserve"> </w:t>
      </w:r>
      <w:r w:rsidR="00AD6D36" w:rsidRPr="00AD6D36">
        <w:t>pouzdra pro 10“ displej</w:t>
      </w:r>
      <w:r w:rsidR="004437F0" w:rsidRPr="00DC194A">
        <w:t>;</w:t>
      </w:r>
    </w:p>
    <w:p w14:paraId="5E194A5A" w14:textId="2F3289E9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AD6D36" w:rsidRPr="00AD6D36">
        <w:t>pouzdra pro 10“ displej</w:t>
      </w:r>
      <w:r w:rsidR="00DC764C">
        <w:t xml:space="preserve"> do praxe</w:t>
      </w:r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0B58" w14:textId="77777777" w:rsidR="00355925" w:rsidRDefault="00355925" w:rsidP="00520BF4">
      <w:pPr>
        <w:spacing w:before="0" w:after="0"/>
      </w:pPr>
      <w:r>
        <w:separator/>
      </w:r>
    </w:p>
  </w:endnote>
  <w:endnote w:type="continuationSeparator" w:id="0">
    <w:p w14:paraId="66E6DBD7" w14:textId="77777777" w:rsidR="00355925" w:rsidRDefault="00355925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68FE6" w14:textId="77777777" w:rsidR="00355925" w:rsidRDefault="00355925" w:rsidP="00520BF4">
      <w:pPr>
        <w:spacing w:before="0" w:after="0"/>
      </w:pPr>
      <w:r>
        <w:separator/>
      </w:r>
    </w:p>
  </w:footnote>
  <w:footnote w:type="continuationSeparator" w:id="0">
    <w:p w14:paraId="1A0C45DA" w14:textId="77777777" w:rsidR="00355925" w:rsidRDefault="00355925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29ED"/>
    <w:rsid w:val="00065EF5"/>
    <w:rsid w:val="0007296D"/>
    <w:rsid w:val="00073327"/>
    <w:rsid w:val="00077BC5"/>
    <w:rsid w:val="00090A54"/>
    <w:rsid w:val="00091441"/>
    <w:rsid w:val="000B1D30"/>
    <w:rsid w:val="000D1BCA"/>
    <w:rsid w:val="000D35FF"/>
    <w:rsid w:val="000D3B02"/>
    <w:rsid w:val="000E161F"/>
    <w:rsid w:val="000F5055"/>
    <w:rsid w:val="0010279F"/>
    <w:rsid w:val="00107219"/>
    <w:rsid w:val="00110208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1434C"/>
    <w:rsid w:val="00247B43"/>
    <w:rsid w:val="002505C0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16F3"/>
    <w:rsid w:val="00292A7B"/>
    <w:rsid w:val="00296C88"/>
    <w:rsid w:val="002C0A86"/>
    <w:rsid w:val="002C6A39"/>
    <w:rsid w:val="002D412E"/>
    <w:rsid w:val="002D4535"/>
    <w:rsid w:val="002E0ACB"/>
    <w:rsid w:val="002E1A7E"/>
    <w:rsid w:val="002F7503"/>
    <w:rsid w:val="002F79AB"/>
    <w:rsid w:val="0031459D"/>
    <w:rsid w:val="0031754B"/>
    <w:rsid w:val="00322B73"/>
    <w:rsid w:val="003250E4"/>
    <w:rsid w:val="003257AF"/>
    <w:rsid w:val="003346AC"/>
    <w:rsid w:val="00337FE1"/>
    <w:rsid w:val="0034339A"/>
    <w:rsid w:val="00344BE6"/>
    <w:rsid w:val="00351B1A"/>
    <w:rsid w:val="0035579C"/>
    <w:rsid w:val="00355925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3E5D58"/>
    <w:rsid w:val="00402B1F"/>
    <w:rsid w:val="00410B48"/>
    <w:rsid w:val="0041266A"/>
    <w:rsid w:val="00422CEB"/>
    <w:rsid w:val="00432050"/>
    <w:rsid w:val="00441856"/>
    <w:rsid w:val="00441F77"/>
    <w:rsid w:val="004437F0"/>
    <w:rsid w:val="00456048"/>
    <w:rsid w:val="004571FB"/>
    <w:rsid w:val="0046138D"/>
    <w:rsid w:val="00461BDE"/>
    <w:rsid w:val="00462F98"/>
    <w:rsid w:val="0046370E"/>
    <w:rsid w:val="004676D3"/>
    <w:rsid w:val="0047275B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48C4"/>
    <w:rsid w:val="005654FF"/>
    <w:rsid w:val="00573773"/>
    <w:rsid w:val="0059235A"/>
    <w:rsid w:val="00593111"/>
    <w:rsid w:val="005A2F6A"/>
    <w:rsid w:val="005A5649"/>
    <w:rsid w:val="005A7242"/>
    <w:rsid w:val="005B0C12"/>
    <w:rsid w:val="005C6158"/>
    <w:rsid w:val="005C6F5A"/>
    <w:rsid w:val="005D009A"/>
    <w:rsid w:val="005D4189"/>
    <w:rsid w:val="005E179F"/>
    <w:rsid w:val="005F41CC"/>
    <w:rsid w:val="00606730"/>
    <w:rsid w:val="00611E36"/>
    <w:rsid w:val="00615DC6"/>
    <w:rsid w:val="006203D8"/>
    <w:rsid w:val="00624E15"/>
    <w:rsid w:val="00625FBB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166"/>
    <w:rsid w:val="006A2FF9"/>
    <w:rsid w:val="006B604E"/>
    <w:rsid w:val="006C2980"/>
    <w:rsid w:val="006C2FEB"/>
    <w:rsid w:val="006C6A73"/>
    <w:rsid w:val="006C779F"/>
    <w:rsid w:val="006E1BFB"/>
    <w:rsid w:val="006E35E9"/>
    <w:rsid w:val="006E5167"/>
    <w:rsid w:val="006F1108"/>
    <w:rsid w:val="006F2E43"/>
    <w:rsid w:val="00700D78"/>
    <w:rsid w:val="007012C8"/>
    <w:rsid w:val="0070175A"/>
    <w:rsid w:val="007026F3"/>
    <w:rsid w:val="00721C27"/>
    <w:rsid w:val="007224EE"/>
    <w:rsid w:val="00741124"/>
    <w:rsid w:val="0074621D"/>
    <w:rsid w:val="00750D04"/>
    <w:rsid w:val="00751798"/>
    <w:rsid w:val="00754105"/>
    <w:rsid w:val="00755D60"/>
    <w:rsid w:val="00760728"/>
    <w:rsid w:val="0076077B"/>
    <w:rsid w:val="00767F43"/>
    <w:rsid w:val="00775E8C"/>
    <w:rsid w:val="007802A3"/>
    <w:rsid w:val="00780DCF"/>
    <w:rsid w:val="0078696C"/>
    <w:rsid w:val="00791FBC"/>
    <w:rsid w:val="007974ED"/>
    <w:rsid w:val="007A1A4A"/>
    <w:rsid w:val="007A6148"/>
    <w:rsid w:val="007C4D42"/>
    <w:rsid w:val="007D3417"/>
    <w:rsid w:val="007D54C8"/>
    <w:rsid w:val="007E3BB7"/>
    <w:rsid w:val="007E5742"/>
    <w:rsid w:val="007E62B6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6660C"/>
    <w:rsid w:val="008745B3"/>
    <w:rsid w:val="0087465A"/>
    <w:rsid w:val="00892EB0"/>
    <w:rsid w:val="008954F6"/>
    <w:rsid w:val="008970AE"/>
    <w:rsid w:val="008B1FAF"/>
    <w:rsid w:val="008B52AD"/>
    <w:rsid w:val="008D12BD"/>
    <w:rsid w:val="008D2408"/>
    <w:rsid w:val="008D73F2"/>
    <w:rsid w:val="008D76E1"/>
    <w:rsid w:val="008E049C"/>
    <w:rsid w:val="008E7CF1"/>
    <w:rsid w:val="008F2C11"/>
    <w:rsid w:val="009018D1"/>
    <w:rsid w:val="00902118"/>
    <w:rsid w:val="009057BC"/>
    <w:rsid w:val="00906E81"/>
    <w:rsid w:val="009148CC"/>
    <w:rsid w:val="00916811"/>
    <w:rsid w:val="00916846"/>
    <w:rsid w:val="009239D7"/>
    <w:rsid w:val="0092532E"/>
    <w:rsid w:val="00947A4B"/>
    <w:rsid w:val="00963617"/>
    <w:rsid w:val="0096524B"/>
    <w:rsid w:val="009733F6"/>
    <w:rsid w:val="00981C18"/>
    <w:rsid w:val="009852FB"/>
    <w:rsid w:val="009B1E97"/>
    <w:rsid w:val="009B2E5F"/>
    <w:rsid w:val="009C2C58"/>
    <w:rsid w:val="009D75F0"/>
    <w:rsid w:val="009E40EF"/>
    <w:rsid w:val="009F0179"/>
    <w:rsid w:val="009F441A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13"/>
    <w:rsid w:val="00A47260"/>
    <w:rsid w:val="00A51DED"/>
    <w:rsid w:val="00A577C7"/>
    <w:rsid w:val="00A60CB9"/>
    <w:rsid w:val="00A74CCE"/>
    <w:rsid w:val="00A76AF3"/>
    <w:rsid w:val="00A8233C"/>
    <w:rsid w:val="00A83638"/>
    <w:rsid w:val="00A90162"/>
    <w:rsid w:val="00A92AD2"/>
    <w:rsid w:val="00AA1C24"/>
    <w:rsid w:val="00AA3601"/>
    <w:rsid w:val="00AA6570"/>
    <w:rsid w:val="00AD3D80"/>
    <w:rsid w:val="00AD3F4B"/>
    <w:rsid w:val="00AD6D36"/>
    <w:rsid w:val="00B00C29"/>
    <w:rsid w:val="00B11C05"/>
    <w:rsid w:val="00B134CE"/>
    <w:rsid w:val="00B158D2"/>
    <w:rsid w:val="00B26BF4"/>
    <w:rsid w:val="00B30D60"/>
    <w:rsid w:val="00B42752"/>
    <w:rsid w:val="00B55245"/>
    <w:rsid w:val="00B55E3F"/>
    <w:rsid w:val="00B61595"/>
    <w:rsid w:val="00B807F0"/>
    <w:rsid w:val="00B80EC6"/>
    <w:rsid w:val="00B920CE"/>
    <w:rsid w:val="00BB411F"/>
    <w:rsid w:val="00BC4C13"/>
    <w:rsid w:val="00BD15F5"/>
    <w:rsid w:val="00BD2B57"/>
    <w:rsid w:val="00BE2FA4"/>
    <w:rsid w:val="00BE4BC1"/>
    <w:rsid w:val="00BF349A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80024"/>
    <w:rsid w:val="00CA07FF"/>
    <w:rsid w:val="00CA17A8"/>
    <w:rsid w:val="00CB0A59"/>
    <w:rsid w:val="00CB4DC9"/>
    <w:rsid w:val="00CB659D"/>
    <w:rsid w:val="00CB77BF"/>
    <w:rsid w:val="00CB78C1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31B"/>
    <w:rsid w:val="00D57CEB"/>
    <w:rsid w:val="00D60984"/>
    <w:rsid w:val="00D61A8E"/>
    <w:rsid w:val="00D656DC"/>
    <w:rsid w:val="00D76A35"/>
    <w:rsid w:val="00D85482"/>
    <w:rsid w:val="00D87C9E"/>
    <w:rsid w:val="00DA39BB"/>
    <w:rsid w:val="00DA5EAA"/>
    <w:rsid w:val="00DB3ACF"/>
    <w:rsid w:val="00DB7E4B"/>
    <w:rsid w:val="00DC194A"/>
    <w:rsid w:val="00DC2629"/>
    <w:rsid w:val="00DC764C"/>
    <w:rsid w:val="00DD6A76"/>
    <w:rsid w:val="00DE096C"/>
    <w:rsid w:val="00DE6614"/>
    <w:rsid w:val="00DF4B22"/>
    <w:rsid w:val="00DF79B3"/>
    <w:rsid w:val="00E00D17"/>
    <w:rsid w:val="00E021E6"/>
    <w:rsid w:val="00E03CB7"/>
    <w:rsid w:val="00E10601"/>
    <w:rsid w:val="00E16360"/>
    <w:rsid w:val="00E22A14"/>
    <w:rsid w:val="00E25937"/>
    <w:rsid w:val="00E261C7"/>
    <w:rsid w:val="00E31BE8"/>
    <w:rsid w:val="00E32589"/>
    <w:rsid w:val="00E330BA"/>
    <w:rsid w:val="00E42E17"/>
    <w:rsid w:val="00E42E6F"/>
    <w:rsid w:val="00E5047B"/>
    <w:rsid w:val="00E57C46"/>
    <w:rsid w:val="00E63A6B"/>
    <w:rsid w:val="00E64878"/>
    <w:rsid w:val="00E77789"/>
    <w:rsid w:val="00E80C82"/>
    <w:rsid w:val="00E82577"/>
    <w:rsid w:val="00E8724B"/>
    <w:rsid w:val="00E877BD"/>
    <w:rsid w:val="00EA415B"/>
    <w:rsid w:val="00EB03CD"/>
    <w:rsid w:val="00EB092B"/>
    <w:rsid w:val="00EC142F"/>
    <w:rsid w:val="00EC7823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14CD"/>
    <w:rsid w:val="00F64D10"/>
    <w:rsid w:val="00F76ACB"/>
    <w:rsid w:val="00F913DD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D7A40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  <w:style w:type="paragraph" w:customStyle="1" w:styleId="Default">
    <w:name w:val="Default"/>
    <w:rsid w:val="00780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6CA78-DB9C-4EB2-99A8-7A2842C9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16</Pages>
  <Words>5927</Words>
  <Characters>34972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80</cp:revision>
  <cp:lastPrinted>2021-09-15T12:48:00Z</cp:lastPrinted>
  <dcterms:created xsi:type="dcterms:W3CDTF">2019-02-25T14:12:00Z</dcterms:created>
  <dcterms:modified xsi:type="dcterms:W3CDTF">2021-09-15T12:49:00Z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