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25440" w14:textId="0097DFF9" w:rsidR="00684004" w:rsidRPr="00D319A6" w:rsidRDefault="00F50454" w:rsidP="00F50454">
      <w:pPr>
        <w:keepNext/>
        <w:widowControl w:val="0"/>
        <w:tabs>
          <w:tab w:val="left" w:pos="765"/>
          <w:tab w:val="center" w:pos="4535"/>
        </w:tabs>
        <w:spacing w:before="120"/>
        <w:jc w:val="center"/>
        <w:rPr>
          <w:rFonts w:cs="Tahoma"/>
          <w:b/>
          <w:sz w:val="24"/>
          <w:u w:val="single"/>
        </w:rPr>
      </w:pPr>
      <w:r w:rsidRPr="00D319A6">
        <w:rPr>
          <w:rFonts w:cs="Tahoma"/>
          <w:b/>
          <w:sz w:val="24"/>
          <w:u w:val="single"/>
        </w:rPr>
        <w:t xml:space="preserve">Dodatek </w:t>
      </w:r>
      <w:r w:rsidR="00684004" w:rsidRPr="00D319A6">
        <w:rPr>
          <w:rFonts w:cs="Tahoma"/>
          <w:b/>
          <w:sz w:val="24"/>
          <w:u w:val="single"/>
        </w:rPr>
        <w:t>č.</w:t>
      </w:r>
      <w:r w:rsidR="009055A1">
        <w:rPr>
          <w:rFonts w:cs="Tahoma"/>
          <w:b/>
          <w:sz w:val="24"/>
          <w:u w:val="single"/>
        </w:rPr>
        <w:t xml:space="preserve"> </w:t>
      </w:r>
      <w:r w:rsidR="003C4CA9">
        <w:rPr>
          <w:rFonts w:cs="Tahoma"/>
          <w:b/>
          <w:sz w:val="24"/>
          <w:u w:val="single"/>
        </w:rPr>
        <w:t>5</w:t>
      </w:r>
      <w:r w:rsidR="00684004" w:rsidRPr="00D319A6">
        <w:rPr>
          <w:rFonts w:cs="Tahoma"/>
          <w:b/>
          <w:sz w:val="24"/>
          <w:u w:val="single"/>
        </w:rPr>
        <w:t xml:space="preserve"> ke S</w:t>
      </w:r>
      <w:r w:rsidR="00DB0BCC" w:rsidRPr="00D319A6">
        <w:rPr>
          <w:rFonts w:cs="Tahoma"/>
          <w:b/>
          <w:sz w:val="24"/>
          <w:u w:val="single"/>
        </w:rPr>
        <w:t>mlouvě</w:t>
      </w:r>
      <w:r w:rsidR="00684004" w:rsidRPr="00D319A6">
        <w:rPr>
          <w:rFonts w:cs="Tahoma"/>
          <w:b/>
          <w:sz w:val="24"/>
          <w:u w:val="single"/>
        </w:rPr>
        <w:t xml:space="preserve"> o </w:t>
      </w:r>
      <w:r w:rsidR="00681002">
        <w:rPr>
          <w:rFonts w:cs="Tahoma"/>
          <w:b/>
          <w:sz w:val="24"/>
          <w:u w:val="single"/>
        </w:rPr>
        <w:t>nákupu a užití poukázek Sodexo</w:t>
      </w:r>
      <w:r w:rsidR="00684004" w:rsidRPr="00D319A6">
        <w:rPr>
          <w:rFonts w:cs="Tahoma"/>
          <w:b/>
          <w:sz w:val="24"/>
          <w:u w:val="single"/>
        </w:rPr>
        <w:t xml:space="preserve"> (dále jen „Dodatek“)</w:t>
      </w:r>
      <w:r w:rsidR="00DB0BCC" w:rsidRPr="00D319A6">
        <w:rPr>
          <w:rFonts w:cs="Tahoma"/>
          <w:b/>
          <w:sz w:val="24"/>
          <w:u w:val="single"/>
        </w:rPr>
        <w:t xml:space="preserve"> </w:t>
      </w:r>
    </w:p>
    <w:p w14:paraId="49425441" w14:textId="0154BB3A" w:rsidR="00F50454" w:rsidRPr="00D319A6" w:rsidRDefault="00145290" w:rsidP="00F50454">
      <w:pPr>
        <w:keepNext/>
        <w:widowControl w:val="0"/>
        <w:tabs>
          <w:tab w:val="left" w:pos="765"/>
          <w:tab w:val="center" w:pos="4535"/>
        </w:tabs>
        <w:spacing w:before="120"/>
        <w:jc w:val="center"/>
        <w:rPr>
          <w:rFonts w:cs="Tahoma"/>
          <w:b/>
          <w:sz w:val="24"/>
          <w:u w:val="single"/>
        </w:rPr>
      </w:pPr>
      <w:r>
        <w:rPr>
          <w:rFonts w:cs="Tahoma"/>
          <w:b/>
          <w:sz w:val="24"/>
          <w:u w:val="single"/>
        </w:rPr>
        <w:t xml:space="preserve">uzavřené dne </w:t>
      </w:r>
      <w:r w:rsidR="00954771">
        <w:rPr>
          <w:rFonts w:cs="Tahoma"/>
          <w:b/>
          <w:sz w:val="24"/>
          <w:u w:val="single"/>
        </w:rPr>
        <w:t>27.2.2008 mezi:</w:t>
      </w:r>
    </w:p>
    <w:p w14:paraId="49425442" w14:textId="77777777" w:rsidR="00F50454" w:rsidRPr="00D319A6" w:rsidRDefault="00F50454" w:rsidP="00F50454">
      <w:pPr>
        <w:keepNext/>
        <w:widowControl w:val="0"/>
        <w:tabs>
          <w:tab w:val="left" w:pos="765"/>
          <w:tab w:val="center" w:pos="4535"/>
        </w:tabs>
        <w:spacing w:before="120"/>
        <w:jc w:val="center"/>
        <w:rPr>
          <w:rFonts w:cs="Tahoma"/>
          <w:b/>
          <w:u w:val="single"/>
        </w:rPr>
      </w:pPr>
    </w:p>
    <w:p w14:paraId="49425443" w14:textId="77777777" w:rsidR="00F50454" w:rsidRPr="00D319A6" w:rsidRDefault="00F50454" w:rsidP="00F50454">
      <w:pPr>
        <w:keepNext/>
        <w:widowControl w:val="0"/>
        <w:jc w:val="both"/>
        <w:rPr>
          <w:rFonts w:cs="Tahoma"/>
          <w:bCs/>
          <w:iCs/>
          <w:szCs w:val="18"/>
        </w:rPr>
      </w:pPr>
      <w:proofErr w:type="spellStart"/>
      <w:r w:rsidRPr="009055A1">
        <w:rPr>
          <w:rStyle w:val="platne"/>
          <w:rFonts w:cs="Tahoma"/>
          <w:b/>
          <w:szCs w:val="18"/>
        </w:rPr>
        <w:t>Sodexo</w:t>
      </w:r>
      <w:proofErr w:type="spellEnd"/>
      <w:r w:rsidRPr="009055A1">
        <w:rPr>
          <w:rStyle w:val="platne"/>
          <w:rFonts w:cs="Tahoma"/>
          <w:b/>
          <w:szCs w:val="18"/>
        </w:rPr>
        <w:t xml:space="preserve"> </w:t>
      </w:r>
      <w:proofErr w:type="spellStart"/>
      <w:r w:rsidRPr="009055A1">
        <w:rPr>
          <w:rStyle w:val="platne"/>
          <w:rFonts w:cs="Tahoma"/>
          <w:b/>
          <w:szCs w:val="18"/>
        </w:rPr>
        <w:t>Pass</w:t>
      </w:r>
      <w:proofErr w:type="spellEnd"/>
      <w:r w:rsidRPr="009055A1">
        <w:rPr>
          <w:rStyle w:val="platne"/>
          <w:rFonts w:cs="Tahoma"/>
          <w:b/>
          <w:szCs w:val="18"/>
        </w:rPr>
        <w:t xml:space="preserve"> Česká republika a.s.</w:t>
      </w:r>
      <w:r w:rsidRPr="00D319A6">
        <w:rPr>
          <w:rFonts w:cs="Tahoma"/>
          <w:bCs/>
          <w:iCs/>
          <w:szCs w:val="18"/>
        </w:rPr>
        <w:t xml:space="preserve">, se sídlem </w:t>
      </w:r>
      <w:r w:rsidRPr="00D319A6">
        <w:rPr>
          <w:rStyle w:val="platne"/>
          <w:rFonts w:cs="Tahoma"/>
          <w:szCs w:val="18"/>
        </w:rPr>
        <w:t>Praha 5 - Smíchov, Radlická 2, PSČ 150 00</w:t>
      </w:r>
    </w:p>
    <w:p w14:paraId="49425444" w14:textId="77777777" w:rsidR="00F50454" w:rsidRPr="00D319A6" w:rsidRDefault="00F50454" w:rsidP="00F50454">
      <w:pPr>
        <w:keepNext/>
        <w:widowControl w:val="0"/>
        <w:jc w:val="both"/>
        <w:rPr>
          <w:rFonts w:cs="Tahoma"/>
          <w:bCs/>
          <w:iCs/>
          <w:szCs w:val="18"/>
        </w:rPr>
      </w:pPr>
      <w:r w:rsidRPr="00D319A6">
        <w:rPr>
          <w:rFonts w:cs="Tahoma"/>
          <w:bCs/>
          <w:iCs/>
          <w:szCs w:val="18"/>
        </w:rPr>
        <w:t>IČ: 61860476, DIČ: CZ61860476</w:t>
      </w:r>
    </w:p>
    <w:p w14:paraId="49425445" w14:textId="300B7B3F" w:rsidR="00F50454" w:rsidRPr="00D319A6" w:rsidRDefault="00F50454" w:rsidP="00F50454">
      <w:pPr>
        <w:keepNext/>
        <w:widowControl w:val="0"/>
        <w:jc w:val="both"/>
        <w:rPr>
          <w:rFonts w:cs="Tahoma"/>
          <w:bCs/>
          <w:iCs/>
          <w:szCs w:val="18"/>
        </w:rPr>
      </w:pPr>
      <w:r w:rsidRPr="00D319A6">
        <w:rPr>
          <w:rFonts w:cs="Tahoma"/>
          <w:bCs/>
          <w:iCs/>
          <w:szCs w:val="18"/>
        </w:rPr>
        <w:t xml:space="preserve">zapsaná v obchodním rejstříku vedeném Městským soudem v Praze, </w:t>
      </w:r>
      <w:r w:rsidR="00E10FF0">
        <w:rPr>
          <w:rFonts w:cs="Tahoma"/>
          <w:bCs/>
          <w:iCs/>
          <w:szCs w:val="18"/>
        </w:rPr>
        <w:t>spis. zn. B</w:t>
      </w:r>
      <w:r w:rsidRPr="00D319A6">
        <w:rPr>
          <w:rFonts w:cs="Tahoma"/>
          <w:bCs/>
          <w:iCs/>
          <w:szCs w:val="18"/>
        </w:rPr>
        <w:t xml:space="preserve"> 2947,</w:t>
      </w:r>
    </w:p>
    <w:p w14:paraId="49425446" w14:textId="248F516D" w:rsidR="00F50454" w:rsidRPr="00D319A6" w:rsidRDefault="00F50454" w:rsidP="00F50454">
      <w:pPr>
        <w:keepNext/>
        <w:widowControl w:val="0"/>
        <w:jc w:val="both"/>
        <w:rPr>
          <w:rFonts w:cs="Tahoma"/>
          <w:bCs/>
          <w:iCs/>
          <w:szCs w:val="18"/>
        </w:rPr>
      </w:pPr>
      <w:r w:rsidRPr="00D319A6">
        <w:rPr>
          <w:rFonts w:cs="Tahoma"/>
          <w:bCs/>
          <w:iCs/>
          <w:szCs w:val="18"/>
        </w:rPr>
        <w:t xml:space="preserve">zastoupená (jméno, pracovní pozice): </w:t>
      </w:r>
      <w:r w:rsidR="00E00FC1">
        <w:t>Mgr. Alžbětou Zelenkovou, Konzultantkou pro motivaci</w:t>
      </w:r>
      <w:r w:rsidRPr="00D319A6">
        <w:rPr>
          <w:rFonts w:cs="Tahoma"/>
          <w:bCs/>
          <w:iCs/>
          <w:szCs w:val="18"/>
        </w:rPr>
        <w:t xml:space="preserve">       </w:t>
      </w:r>
      <w:r w:rsidRPr="00D319A6">
        <w:rPr>
          <w:rFonts w:cs="Tahoma"/>
          <w:bCs/>
          <w:iCs/>
          <w:szCs w:val="18"/>
        </w:rPr>
        <w:tab/>
      </w:r>
      <w:r w:rsidRPr="00D319A6">
        <w:rPr>
          <w:rFonts w:cs="Tahoma"/>
          <w:bCs/>
          <w:iCs/>
          <w:szCs w:val="18"/>
        </w:rPr>
        <w:tab/>
      </w:r>
    </w:p>
    <w:p w14:paraId="49425447" w14:textId="77777777" w:rsidR="00F50454" w:rsidRPr="00D319A6" w:rsidRDefault="00F50454" w:rsidP="00F50454">
      <w:pPr>
        <w:keepNext/>
        <w:widowControl w:val="0"/>
        <w:jc w:val="both"/>
        <w:rPr>
          <w:rFonts w:cs="Tahoma"/>
          <w:bCs/>
          <w:iCs/>
          <w:szCs w:val="18"/>
        </w:rPr>
      </w:pPr>
      <w:r w:rsidRPr="00D319A6">
        <w:rPr>
          <w:rFonts w:cs="Tahoma"/>
          <w:bCs/>
          <w:iCs/>
          <w:szCs w:val="18"/>
        </w:rPr>
        <w:t>(dále jen „</w:t>
      </w:r>
      <w:r w:rsidRPr="00D319A6">
        <w:rPr>
          <w:rFonts w:cs="Tahoma"/>
          <w:b/>
          <w:bCs/>
          <w:iCs/>
          <w:szCs w:val="18"/>
        </w:rPr>
        <w:t>Sodexo</w:t>
      </w:r>
      <w:r w:rsidRPr="00D319A6">
        <w:rPr>
          <w:rFonts w:cs="Tahoma"/>
          <w:bCs/>
          <w:iCs/>
          <w:szCs w:val="18"/>
        </w:rPr>
        <w:t>“)</w:t>
      </w:r>
    </w:p>
    <w:p w14:paraId="49425448" w14:textId="77777777" w:rsidR="00F50454" w:rsidRPr="00D319A6" w:rsidRDefault="00F50454" w:rsidP="00F50454">
      <w:pPr>
        <w:keepNext/>
        <w:widowControl w:val="0"/>
        <w:jc w:val="both"/>
        <w:rPr>
          <w:rFonts w:cs="Tahoma"/>
          <w:bCs/>
          <w:iCs/>
          <w:szCs w:val="18"/>
        </w:rPr>
      </w:pPr>
    </w:p>
    <w:p w14:paraId="49425449" w14:textId="77777777" w:rsidR="00F50454" w:rsidRPr="00D319A6" w:rsidRDefault="00F50454" w:rsidP="00F50454">
      <w:pPr>
        <w:keepNext/>
        <w:widowControl w:val="0"/>
        <w:jc w:val="both"/>
        <w:rPr>
          <w:rFonts w:cs="Tahoma"/>
          <w:bCs/>
          <w:iCs/>
          <w:szCs w:val="18"/>
        </w:rPr>
      </w:pPr>
      <w:r w:rsidRPr="00D319A6">
        <w:rPr>
          <w:rFonts w:cs="Tahoma"/>
          <w:bCs/>
          <w:iCs/>
          <w:szCs w:val="18"/>
        </w:rPr>
        <w:t>a</w:t>
      </w:r>
    </w:p>
    <w:p w14:paraId="4942544A" w14:textId="77777777" w:rsidR="00F50454" w:rsidRPr="00D319A6" w:rsidRDefault="00F50454" w:rsidP="00F50454">
      <w:pPr>
        <w:keepNext/>
        <w:widowControl w:val="0"/>
        <w:jc w:val="both"/>
        <w:rPr>
          <w:rFonts w:cs="Tahoma"/>
          <w:bCs/>
          <w:iCs/>
          <w:sz w:val="14"/>
        </w:rPr>
      </w:pPr>
    </w:p>
    <w:p w14:paraId="4942544B" w14:textId="5D788B65" w:rsidR="00F50454" w:rsidRPr="00522CD5" w:rsidRDefault="0017561B" w:rsidP="00F50454">
      <w:pPr>
        <w:keepNext/>
        <w:widowControl w:val="0"/>
        <w:rPr>
          <w:rStyle w:val="platne1"/>
          <w:rFonts w:cs="Tahoma"/>
          <w:b/>
          <w:szCs w:val="18"/>
        </w:rPr>
      </w:pPr>
      <w:r w:rsidRPr="00522CD5">
        <w:rPr>
          <w:b/>
        </w:rPr>
        <w:t>Česká republika – Nejvyšší soud</w:t>
      </w:r>
      <w:r w:rsidR="00F50454" w:rsidRPr="00522CD5">
        <w:rPr>
          <w:rFonts w:cs="Tahoma"/>
          <w:b/>
          <w:szCs w:val="18"/>
        </w:rPr>
        <w:t xml:space="preserve">   </w:t>
      </w:r>
      <w:r w:rsidR="00F50454" w:rsidRPr="00522CD5">
        <w:rPr>
          <w:rFonts w:cs="Tahoma"/>
          <w:b/>
          <w:szCs w:val="18"/>
        </w:rPr>
        <w:tab/>
        <w:t xml:space="preserve">  </w:t>
      </w:r>
    </w:p>
    <w:p w14:paraId="4942544C" w14:textId="01CE2B4C" w:rsidR="00F50454" w:rsidRPr="00522CD5" w:rsidRDefault="00F50454" w:rsidP="00F50454">
      <w:pPr>
        <w:keepNext/>
        <w:widowControl w:val="0"/>
        <w:jc w:val="both"/>
        <w:rPr>
          <w:rFonts w:cs="Tahoma"/>
          <w:bCs/>
          <w:iCs/>
          <w:szCs w:val="18"/>
        </w:rPr>
      </w:pPr>
      <w:r w:rsidRPr="00522CD5">
        <w:rPr>
          <w:rFonts w:cs="Tahoma"/>
          <w:bCs/>
          <w:iCs/>
          <w:szCs w:val="18"/>
        </w:rPr>
        <w:t>se sídlem</w:t>
      </w:r>
      <w:r w:rsidR="00E10FF0" w:rsidRPr="00522CD5">
        <w:rPr>
          <w:rFonts w:cs="Tahoma"/>
          <w:bCs/>
          <w:iCs/>
          <w:szCs w:val="18"/>
        </w:rPr>
        <w:t xml:space="preserve">: </w:t>
      </w:r>
      <w:r w:rsidR="0017561B" w:rsidRPr="00522CD5">
        <w:rPr>
          <w:rFonts w:cs="Tahoma"/>
          <w:bCs/>
          <w:iCs/>
          <w:szCs w:val="18"/>
        </w:rPr>
        <w:t>Burešova 571/20, Brno – Veveří, 657 35</w:t>
      </w:r>
      <w:r w:rsidRPr="00522CD5">
        <w:rPr>
          <w:rFonts w:cs="Tahoma"/>
          <w:szCs w:val="18"/>
        </w:rPr>
        <w:t xml:space="preserve">  </w:t>
      </w:r>
      <w:r w:rsidRPr="00522CD5">
        <w:rPr>
          <w:rFonts w:cs="Tahoma"/>
          <w:bCs/>
          <w:iCs/>
          <w:szCs w:val="18"/>
        </w:rPr>
        <w:t xml:space="preserve"> </w:t>
      </w:r>
      <w:r w:rsidRPr="00522CD5">
        <w:rPr>
          <w:rFonts w:cs="Tahoma"/>
          <w:bCs/>
          <w:iCs/>
          <w:szCs w:val="18"/>
        </w:rPr>
        <w:tab/>
        <w:t xml:space="preserve">  </w:t>
      </w:r>
    </w:p>
    <w:p w14:paraId="4942544D" w14:textId="34C8237C" w:rsidR="00F50454" w:rsidRPr="00522CD5" w:rsidRDefault="00F50454" w:rsidP="00F50454">
      <w:pPr>
        <w:keepNext/>
        <w:widowControl w:val="0"/>
        <w:tabs>
          <w:tab w:val="left" w:pos="2160"/>
          <w:tab w:val="left" w:pos="4680"/>
        </w:tabs>
        <w:jc w:val="both"/>
        <w:rPr>
          <w:rFonts w:cs="Tahoma"/>
          <w:bCs/>
          <w:iCs/>
          <w:szCs w:val="18"/>
        </w:rPr>
      </w:pPr>
      <w:r w:rsidRPr="00522CD5">
        <w:rPr>
          <w:rFonts w:cs="Tahoma"/>
          <w:bCs/>
          <w:iCs/>
          <w:szCs w:val="18"/>
        </w:rPr>
        <w:t>IČ:</w:t>
      </w:r>
      <w:r w:rsidR="00E10FF0" w:rsidRPr="00522CD5">
        <w:rPr>
          <w:rFonts w:cs="Tahoma"/>
          <w:bCs/>
          <w:iCs/>
          <w:szCs w:val="18"/>
        </w:rPr>
        <w:t xml:space="preserve"> </w:t>
      </w:r>
      <w:r w:rsidR="009E6A6D" w:rsidRPr="00522CD5">
        <w:rPr>
          <w:rFonts w:cs="Tahoma"/>
          <w:bCs/>
          <w:iCs/>
          <w:szCs w:val="18"/>
        </w:rPr>
        <w:t>48510190</w:t>
      </w:r>
      <w:r w:rsidRPr="00522CD5">
        <w:rPr>
          <w:rFonts w:cs="Tahoma"/>
          <w:bCs/>
          <w:iCs/>
          <w:szCs w:val="18"/>
        </w:rPr>
        <w:tab/>
      </w:r>
      <w:r w:rsidRPr="00522CD5">
        <w:rPr>
          <w:rFonts w:cs="Tahoma"/>
          <w:bCs/>
          <w:iCs/>
          <w:szCs w:val="18"/>
        </w:rPr>
        <w:tab/>
      </w:r>
      <w:r w:rsidRPr="00522CD5">
        <w:rPr>
          <w:rFonts w:cs="Tahoma"/>
          <w:bCs/>
          <w:iCs/>
          <w:szCs w:val="18"/>
        </w:rPr>
        <w:tab/>
      </w:r>
    </w:p>
    <w:p w14:paraId="4942544E" w14:textId="263BE913" w:rsidR="00F50454" w:rsidRPr="00522CD5" w:rsidRDefault="00F50454" w:rsidP="00F50454">
      <w:pPr>
        <w:keepNext/>
        <w:widowControl w:val="0"/>
        <w:tabs>
          <w:tab w:val="left" w:pos="2160"/>
          <w:tab w:val="left" w:pos="4680"/>
        </w:tabs>
        <w:jc w:val="both"/>
        <w:rPr>
          <w:rFonts w:cs="Tahoma"/>
          <w:bCs/>
          <w:iCs/>
          <w:szCs w:val="18"/>
        </w:rPr>
      </w:pPr>
      <w:r w:rsidRPr="00522CD5">
        <w:rPr>
          <w:rFonts w:cs="Tahoma"/>
          <w:bCs/>
          <w:iCs/>
          <w:szCs w:val="18"/>
        </w:rPr>
        <w:t>bankovní spojení:</w:t>
      </w:r>
      <w:r w:rsidRPr="00522CD5">
        <w:rPr>
          <w:rStyle w:val="platne1"/>
          <w:rFonts w:cs="Tahoma"/>
          <w:szCs w:val="18"/>
        </w:rPr>
        <w:t xml:space="preserve"> </w:t>
      </w:r>
      <w:bookmarkStart w:id="0" w:name="_GoBack"/>
      <w:bookmarkEnd w:id="0"/>
      <w:r w:rsidR="004C7A34" w:rsidRPr="00522CD5">
        <w:rPr>
          <w:rStyle w:val="platne1"/>
          <w:rFonts w:cs="Tahoma"/>
          <w:szCs w:val="18"/>
        </w:rPr>
        <w:t>32723641/0710</w:t>
      </w:r>
      <w:r w:rsidRPr="00522CD5">
        <w:rPr>
          <w:rStyle w:val="platne1"/>
          <w:rFonts w:cs="Tahoma"/>
          <w:szCs w:val="18"/>
        </w:rPr>
        <w:t xml:space="preserve">   </w:t>
      </w:r>
      <w:r w:rsidRPr="00522CD5">
        <w:rPr>
          <w:rFonts w:cs="Tahoma"/>
          <w:bCs/>
          <w:iCs/>
          <w:szCs w:val="18"/>
        </w:rPr>
        <w:t xml:space="preserve">   </w:t>
      </w:r>
      <w:r w:rsidRPr="00522CD5">
        <w:rPr>
          <w:rFonts w:cs="Tahoma"/>
          <w:bCs/>
          <w:iCs/>
          <w:szCs w:val="18"/>
        </w:rPr>
        <w:tab/>
        <w:t xml:space="preserve"> </w:t>
      </w:r>
    </w:p>
    <w:p w14:paraId="49425450" w14:textId="4A646A8B" w:rsidR="00F50454" w:rsidRPr="007906D7" w:rsidRDefault="00F50454" w:rsidP="00F50454">
      <w:pPr>
        <w:keepNext/>
        <w:widowControl w:val="0"/>
        <w:jc w:val="both"/>
        <w:rPr>
          <w:rFonts w:cs="Tahoma"/>
          <w:bCs/>
          <w:iCs/>
          <w:szCs w:val="18"/>
          <w:highlight w:val="yellow"/>
        </w:rPr>
      </w:pPr>
      <w:r w:rsidRPr="00856644">
        <w:rPr>
          <w:rFonts w:cs="Tahoma"/>
          <w:bCs/>
          <w:iCs/>
          <w:szCs w:val="18"/>
        </w:rPr>
        <w:t>zastoupen</w:t>
      </w:r>
      <w:r w:rsidR="009E6A6D" w:rsidRPr="00856644">
        <w:rPr>
          <w:rFonts w:cs="Tahoma"/>
          <w:bCs/>
          <w:iCs/>
          <w:szCs w:val="18"/>
        </w:rPr>
        <w:t>á</w:t>
      </w:r>
      <w:r w:rsidRPr="00856644">
        <w:rPr>
          <w:rFonts w:cs="Tahoma"/>
          <w:bCs/>
          <w:iCs/>
          <w:szCs w:val="18"/>
        </w:rPr>
        <w:t xml:space="preserve"> (jméno, pracovní pozice):</w:t>
      </w:r>
      <w:r w:rsidRPr="00856644">
        <w:rPr>
          <w:rStyle w:val="platne1"/>
          <w:rFonts w:cs="Tahoma"/>
          <w:szCs w:val="18"/>
        </w:rPr>
        <w:t xml:space="preserve"> </w:t>
      </w:r>
      <w:r w:rsidR="00856644">
        <w:rPr>
          <w:rStyle w:val="platne1"/>
        </w:rPr>
        <w:t>Ing. Romanem Krupicou, ředitelem správy soudu</w:t>
      </w:r>
      <w:r w:rsidR="008265EF">
        <w:rPr>
          <w:rStyle w:val="platne1"/>
        </w:rPr>
        <w:t xml:space="preserve">, </w:t>
      </w:r>
      <w:r w:rsidR="008265EF">
        <w:rPr>
          <w:rFonts w:ascii="Arial" w:hAnsi="Arial" w:cs="Arial"/>
          <w:iCs/>
        </w:rPr>
        <w:t>na základě pověření ze dne 25. 5. 2020, č. j. S 286/2019</w:t>
      </w:r>
    </w:p>
    <w:p w14:paraId="49425455" w14:textId="59606CFE" w:rsidR="00F50454" w:rsidRDefault="00E10FF0" w:rsidP="00E10FF0">
      <w:pPr>
        <w:keepNext/>
        <w:widowControl w:val="0"/>
        <w:jc w:val="right"/>
        <w:rPr>
          <w:rFonts w:cs="Tahoma"/>
          <w:bCs/>
          <w:iCs/>
          <w:szCs w:val="18"/>
        </w:rPr>
      </w:pPr>
      <w:r>
        <w:rPr>
          <w:rFonts w:cs="Tahoma"/>
          <w:bCs/>
          <w:iCs/>
          <w:szCs w:val="18"/>
        </w:rPr>
        <w:t>(společně dále jen „</w:t>
      </w:r>
      <w:r w:rsidRPr="00E10FF0">
        <w:rPr>
          <w:rFonts w:cs="Tahoma"/>
          <w:b/>
          <w:iCs/>
          <w:szCs w:val="18"/>
        </w:rPr>
        <w:t>Strany</w:t>
      </w:r>
      <w:r>
        <w:rPr>
          <w:rFonts w:cs="Tahoma"/>
          <w:bCs/>
          <w:iCs/>
          <w:szCs w:val="18"/>
        </w:rPr>
        <w:t>“)</w:t>
      </w:r>
    </w:p>
    <w:p w14:paraId="49425457" w14:textId="77777777" w:rsidR="00F50454" w:rsidRDefault="00F50454" w:rsidP="00F50454">
      <w:pPr>
        <w:keepNext/>
        <w:widowControl w:val="0"/>
        <w:jc w:val="both"/>
        <w:rPr>
          <w:rFonts w:cs="Tahoma"/>
          <w:bCs/>
          <w:iCs/>
          <w:szCs w:val="18"/>
        </w:rPr>
      </w:pPr>
      <w:r w:rsidRPr="00D319A6">
        <w:rPr>
          <w:rFonts w:cs="Tahoma"/>
          <w:bCs/>
          <w:iCs/>
          <w:szCs w:val="18"/>
        </w:rPr>
        <w:t xml:space="preserve">uzavírají </w:t>
      </w:r>
      <w:r w:rsidR="00684004" w:rsidRPr="00D319A6">
        <w:rPr>
          <w:rFonts w:cs="Tahoma"/>
          <w:bCs/>
          <w:iCs/>
          <w:szCs w:val="18"/>
        </w:rPr>
        <w:t>tento Dodatek ke S</w:t>
      </w:r>
      <w:r w:rsidRPr="00D319A6">
        <w:rPr>
          <w:rFonts w:cs="Tahoma"/>
          <w:bCs/>
          <w:iCs/>
          <w:szCs w:val="18"/>
        </w:rPr>
        <w:t xml:space="preserve">mlouvě o </w:t>
      </w:r>
      <w:r w:rsidR="00684004" w:rsidRPr="00D319A6">
        <w:rPr>
          <w:rFonts w:cs="Tahoma"/>
          <w:bCs/>
          <w:iCs/>
          <w:szCs w:val="18"/>
        </w:rPr>
        <w:t>zprostředkování Benefitů</w:t>
      </w:r>
      <w:r w:rsidRPr="00D319A6">
        <w:rPr>
          <w:rFonts w:cs="Tahoma"/>
          <w:bCs/>
          <w:iCs/>
          <w:szCs w:val="18"/>
        </w:rPr>
        <w:t>:</w:t>
      </w:r>
    </w:p>
    <w:p w14:paraId="4942545A" w14:textId="5AED6DB2" w:rsidR="00684004" w:rsidRPr="00D319A6" w:rsidRDefault="00E10FF0" w:rsidP="00684004">
      <w:pPr>
        <w:spacing w:before="120" w:after="120"/>
        <w:jc w:val="center"/>
        <w:rPr>
          <w:rFonts w:cs="Tahoma"/>
          <w:b/>
          <w:sz w:val="20"/>
          <w:szCs w:val="20"/>
        </w:rPr>
      </w:pPr>
      <w:r>
        <w:rPr>
          <w:rFonts w:cs="Tahoma"/>
          <w:b/>
          <w:sz w:val="20"/>
          <w:szCs w:val="20"/>
        </w:rPr>
        <w:t>I</w:t>
      </w:r>
      <w:r w:rsidR="00684004" w:rsidRPr="00D319A6">
        <w:rPr>
          <w:rFonts w:cs="Tahoma"/>
          <w:b/>
          <w:sz w:val="20"/>
          <w:szCs w:val="20"/>
        </w:rPr>
        <w:t>. Předmět Dodatku</w:t>
      </w:r>
    </w:p>
    <w:p w14:paraId="4942545B" w14:textId="1F2D9D84" w:rsidR="00684004" w:rsidRPr="00D319A6" w:rsidRDefault="00684004" w:rsidP="00684004">
      <w:pPr>
        <w:rPr>
          <w:rFonts w:cs="Tahoma"/>
          <w:bCs/>
          <w:iCs/>
          <w:szCs w:val="18"/>
        </w:rPr>
      </w:pPr>
      <w:r w:rsidRPr="00D319A6">
        <w:rPr>
          <w:rFonts w:cs="Tahoma"/>
          <w:szCs w:val="18"/>
        </w:rPr>
        <w:t>Vzhledem k tomu, ž</w:t>
      </w:r>
      <w:r w:rsidR="00145290">
        <w:rPr>
          <w:rFonts w:cs="Tahoma"/>
          <w:szCs w:val="18"/>
        </w:rPr>
        <w:t xml:space="preserve">e smluvní Strany uzavřely dne </w:t>
      </w:r>
      <w:r w:rsidR="00954771">
        <w:rPr>
          <w:rFonts w:cs="Tahoma"/>
          <w:szCs w:val="18"/>
        </w:rPr>
        <w:t>27</w:t>
      </w:r>
      <w:r w:rsidR="00681002">
        <w:rPr>
          <w:rFonts w:cs="Tahoma"/>
          <w:szCs w:val="18"/>
        </w:rPr>
        <w:t xml:space="preserve">.2.2008 </w:t>
      </w:r>
      <w:r w:rsidRPr="00D319A6">
        <w:rPr>
          <w:rFonts w:cs="Tahoma"/>
          <w:szCs w:val="18"/>
        </w:rPr>
        <w:t xml:space="preserve">Smlouvu o </w:t>
      </w:r>
      <w:r w:rsidR="00681002">
        <w:rPr>
          <w:rFonts w:cs="Tahoma"/>
          <w:szCs w:val="18"/>
        </w:rPr>
        <w:t>nákupu a užití poukázek Sodexo</w:t>
      </w:r>
      <w:r w:rsidR="00981F18">
        <w:rPr>
          <w:rFonts w:cs="Tahoma"/>
          <w:szCs w:val="18"/>
        </w:rPr>
        <w:t xml:space="preserve"> („Smlouva“)</w:t>
      </w:r>
      <w:r w:rsidRPr="00D319A6">
        <w:rPr>
          <w:rFonts w:cs="Tahoma"/>
          <w:szCs w:val="18"/>
        </w:rPr>
        <w:t xml:space="preserve">, dohodly se společně na jejích změnách </w:t>
      </w:r>
      <w:r w:rsidRPr="00D319A6">
        <w:rPr>
          <w:rFonts w:cs="Tahoma"/>
          <w:bCs/>
          <w:iCs/>
          <w:szCs w:val="18"/>
        </w:rPr>
        <w:t>takto:</w:t>
      </w:r>
    </w:p>
    <w:p w14:paraId="4942545C" w14:textId="77777777" w:rsidR="00684004" w:rsidRPr="00D319A6" w:rsidRDefault="00684004" w:rsidP="00684004">
      <w:pPr>
        <w:rPr>
          <w:rFonts w:cs="Tahoma"/>
          <w:bCs/>
          <w:iCs/>
          <w:szCs w:val="18"/>
        </w:rPr>
      </w:pPr>
    </w:p>
    <w:p w14:paraId="0175842D" w14:textId="77EE5793" w:rsidR="00FF3DB0" w:rsidRPr="003C4CA9" w:rsidRDefault="003C4CA9" w:rsidP="002B6ED4">
      <w:pPr>
        <w:pStyle w:val="Odstavecseseznamem"/>
        <w:numPr>
          <w:ilvl w:val="0"/>
          <w:numId w:val="13"/>
        </w:numPr>
        <w:spacing w:after="120"/>
        <w:ind w:left="284"/>
        <w:jc w:val="both"/>
        <w:rPr>
          <w:rFonts w:cs="Tahoma"/>
          <w:b/>
          <w:szCs w:val="18"/>
        </w:rPr>
      </w:pPr>
      <w:r w:rsidRPr="003C4CA9">
        <w:rPr>
          <w:rFonts w:cs="Tahoma"/>
          <w:b/>
          <w:szCs w:val="18"/>
        </w:rPr>
        <w:t>Článek I. Př</w:t>
      </w:r>
      <w:r w:rsidR="00FF3DB0" w:rsidRPr="003C4CA9">
        <w:rPr>
          <w:rFonts w:cs="Tahoma"/>
          <w:b/>
          <w:szCs w:val="18"/>
        </w:rPr>
        <w:t xml:space="preserve">edmět smlouvy </w:t>
      </w:r>
      <w:r w:rsidRPr="003C4CA9">
        <w:rPr>
          <w:rFonts w:cs="Tahoma"/>
          <w:b/>
          <w:szCs w:val="18"/>
        </w:rPr>
        <w:t>se rozšiřuje o znění odst. 13) a to následovně:</w:t>
      </w:r>
    </w:p>
    <w:p w14:paraId="1C53236E" w14:textId="34580DEF" w:rsidR="00707C4E" w:rsidRPr="006E0C81" w:rsidRDefault="00B00BE2" w:rsidP="00707C4E">
      <w:pPr>
        <w:widowControl w:val="0"/>
        <w:numPr>
          <w:ilvl w:val="0"/>
          <w:numId w:val="17"/>
        </w:numPr>
        <w:spacing w:after="120"/>
        <w:jc w:val="both"/>
        <w:rPr>
          <w:rFonts w:ascii="Sansa Pro Nor" w:hAnsi="Sansa Pro Nor" w:cs="Tahoma"/>
          <w:i/>
          <w:szCs w:val="18"/>
        </w:rPr>
      </w:pPr>
      <w:r w:rsidRPr="00900EBB">
        <w:rPr>
          <w:rFonts w:cs="Tahoma"/>
        </w:rPr>
        <w:t xml:space="preserve">Strany </w:t>
      </w:r>
      <w:r w:rsidR="00900EBB" w:rsidRPr="00900EBB">
        <w:rPr>
          <w:rFonts w:cs="Tahoma"/>
        </w:rPr>
        <w:t>se dohodly, že se nepoužijí ustanovení čl. XXII. odst. 4. a 5. VOP. Namísto toho si Strany sjednávají, že jakýkoli Kredit, který se podle citovaných ustanovení považuje za vyčerpaný (v návaznosti na uplynutí Data expirace, resp. zrušení Elektronické karty bez vydání obnovené Elektronické karty), Sodexo vrátí Klientovi do 30 dnů od okamžiku, kdy se takový Kredit považuje za vyčerpaný.</w:t>
      </w:r>
      <w:r w:rsidR="00991950">
        <w:rPr>
          <w:rFonts w:cs="Tahoma"/>
        </w:rPr>
        <w:t xml:space="preserve"> </w:t>
      </w:r>
      <w:r w:rsidR="00707C4E" w:rsidRPr="00707C4E">
        <w:rPr>
          <w:rFonts w:cs="Tahoma"/>
        </w:rPr>
        <w:t xml:space="preserve">Příslušná částka za nevyčerpaný Kredit Beneficientů se vrací zpět na </w:t>
      </w:r>
      <w:r w:rsidR="009711D6">
        <w:rPr>
          <w:rFonts w:cs="Tahoma"/>
        </w:rPr>
        <w:t>kartu</w:t>
      </w:r>
      <w:r w:rsidR="00D75854">
        <w:rPr>
          <w:rFonts w:cs="Tahoma"/>
        </w:rPr>
        <w:t xml:space="preserve"> Beneficienta</w:t>
      </w:r>
      <w:r w:rsidR="00707C4E" w:rsidRPr="00707C4E">
        <w:rPr>
          <w:rFonts w:cs="Tahoma"/>
        </w:rPr>
        <w:t>.</w:t>
      </w:r>
    </w:p>
    <w:p w14:paraId="6E8F48B5" w14:textId="3C82E23E" w:rsidR="00FF3DB0" w:rsidRPr="00900EBB" w:rsidRDefault="00FF3DB0" w:rsidP="00707C4E">
      <w:pPr>
        <w:widowControl w:val="0"/>
        <w:spacing w:after="120"/>
        <w:ind w:left="644"/>
        <w:jc w:val="both"/>
        <w:rPr>
          <w:rFonts w:cs="Tahoma"/>
          <w:bCs/>
          <w:iCs/>
          <w:szCs w:val="18"/>
        </w:rPr>
      </w:pPr>
    </w:p>
    <w:p w14:paraId="494254BD" w14:textId="20D441E6" w:rsidR="009055A1" w:rsidRPr="00D319A6" w:rsidRDefault="009055A1" w:rsidP="00F1182A">
      <w:pPr>
        <w:pStyle w:val="Odstavecseseznamem"/>
        <w:spacing w:after="120"/>
        <w:ind w:left="284"/>
        <w:jc w:val="both"/>
        <w:rPr>
          <w:rFonts w:cs="Tahoma"/>
          <w:b/>
          <w:szCs w:val="18"/>
        </w:rPr>
      </w:pPr>
    </w:p>
    <w:p w14:paraId="494254BE" w14:textId="77777777" w:rsidR="00981F18" w:rsidRPr="00D67E3C" w:rsidRDefault="00981F18" w:rsidP="00981F18">
      <w:pPr>
        <w:ind w:left="284"/>
        <w:jc w:val="center"/>
        <w:rPr>
          <w:b/>
          <w:i/>
          <w:sz w:val="20"/>
          <w:szCs w:val="20"/>
        </w:rPr>
      </w:pPr>
      <w:r w:rsidRPr="00D67E3C">
        <w:rPr>
          <w:rFonts w:cs="Tahoma"/>
          <w:b/>
          <w:sz w:val="20"/>
          <w:szCs w:val="20"/>
        </w:rPr>
        <w:t>II. Společná a závěrečná ujednání Dodatku</w:t>
      </w:r>
    </w:p>
    <w:p w14:paraId="494254BF" w14:textId="77777777" w:rsidR="00981F18" w:rsidRPr="00D319A6" w:rsidRDefault="00981F18" w:rsidP="00981F18">
      <w:pPr>
        <w:pStyle w:val="Odstavecseseznamem"/>
        <w:ind w:hanging="436"/>
        <w:rPr>
          <w:rFonts w:cs="Tahoma"/>
          <w:color w:val="000000"/>
          <w:szCs w:val="18"/>
        </w:rPr>
      </w:pPr>
    </w:p>
    <w:p w14:paraId="494254C0" w14:textId="77777777" w:rsidR="00981F18" w:rsidRDefault="00981F18" w:rsidP="00981F18">
      <w:pPr>
        <w:numPr>
          <w:ilvl w:val="0"/>
          <w:numId w:val="2"/>
        </w:numPr>
        <w:tabs>
          <w:tab w:val="clear" w:pos="502"/>
          <w:tab w:val="num" w:pos="360"/>
        </w:tabs>
        <w:spacing w:after="120"/>
        <w:ind w:left="360"/>
        <w:jc w:val="both"/>
        <w:rPr>
          <w:rFonts w:cs="Tahoma"/>
          <w:szCs w:val="18"/>
        </w:rPr>
      </w:pPr>
      <w:r w:rsidRPr="008D459B">
        <w:rPr>
          <w:rFonts w:cs="Tahoma"/>
          <w:szCs w:val="18"/>
        </w:rPr>
        <w:t>Ostatní smluvní ujednání se nemění.</w:t>
      </w:r>
    </w:p>
    <w:p w14:paraId="494254C1" w14:textId="77777777" w:rsidR="00981F18" w:rsidRDefault="00981F18" w:rsidP="00981F18">
      <w:pPr>
        <w:numPr>
          <w:ilvl w:val="0"/>
          <w:numId w:val="2"/>
        </w:numPr>
        <w:tabs>
          <w:tab w:val="clear" w:pos="502"/>
          <w:tab w:val="num" w:pos="360"/>
        </w:tabs>
        <w:spacing w:after="120"/>
        <w:ind w:left="360"/>
        <w:jc w:val="both"/>
        <w:rPr>
          <w:rFonts w:cs="Tahoma"/>
          <w:szCs w:val="18"/>
        </w:rPr>
      </w:pPr>
      <w:r>
        <w:rPr>
          <w:rFonts w:cs="Tahoma"/>
          <w:szCs w:val="18"/>
        </w:rPr>
        <w:t>Tento D</w:t>
      </w:r>
      <w:r w:rsidRPr="008D459B">
        <w:rPr>
          <w:rFonts w:cs="Tahoma"/>
          <w:szCs w:val="18"/>
        </w:rPr>
        <w:t xml:space="preserve">odatek nabývá </w:t>
      </w:r>
      <w:r>
        <w:rPr>
          <w:rFonts w:cs="Tahoma"/>
          <w:szCs w:val="18"/>
        </w:rPr>
        <w:t>platnosti a účinnosti dnem jeho podpisu.</w:t>
      </w:r>
    </w:p>
    <w:p w14:paraId="494254C2" w14:textId="77777777" w:rsidR="00981F18" w:rsidRPr="00453560" w:rsidRDefault="00981F18" w:rsidP="00981F18">
      <w:pPr>
        <w:numPr>
          <w:ilvl w:val="0"/>
          <w:numId w:val="2"/>
        </w:numPr>
        <w:tabs>
          <w:tab w:val="clear" w:pos="502"/>
          <w:tab w:val="num" w:pos="360"/>
        </w:tabs>
        <w:spacing w:after="120"/>
        <w:ind w:left="360"/>
        <w:jc w:val="both"/>
        <w:rPr>
          <w:rFonts w:cs="Tahoma"/>
          <w:szCs w:val="18"/>
        </w:rPr>
      </w:pPr>
      <w:r w:rsidRPr="00453560">
        <w:rPr>
          <w:rFonts w:cs="Tahoma"/>
          <w:szCs w:val="18"/>
        </w:rPr>
        <w:t xml:space="preserve">Tento Dodatek je vyhotoven ve dvou stejnopisech, z nichž každá ze </w:t>
      </w:r>
      <w:r>
        <w:rPr>
          <w:rFonts w:cs="Tahoma"/>
          <w:szCs w:val="18"/>
        </w:rPr>
        <w:t>S</w:t>
      </w:r>
      <w:r w:rsidRPr="00453560">
        <w:rPr>
          <w:rFonts w:cs="Tahoma"/>
          <w:szCs w:val="18"/>
        </w:rPr>
        <w:t>tran obdrží po jednom.</w:t>
      </w:r>
    </w:p>
    <w:p w14:paraId="494254C3" w14:textId="77777777" w:rsidR="00981F18" w:rsidRDefault="00981F18" w:rsidP="00981F18">
      <w:pPr>
        <w:rPr>
          <w:rFonts w:cs="Tahoma"/>
          <w:szCs w:val="18"/>
        </w:rPr>
      </w:pPr>
    </w:p>
    <w:p w14:paraId="494254C4" w14:textId="77777777" w:rsidR="00981F18" w:rsidRDefault="00981F18" w:rsidP="00981F18">
      <w:pPr>
        <w:rPr>
          <w:rFonts w:cs="Tahoma"/>
          <w:szCs w:val="18"/>
        </w:rPr>
      </w:pPr>
      <w:r>
        <w:rPr>
          <w:rFonts w:cs="Tahoma"/>
          <w:szCs w:val="18"/>
        </w:rPr>
        <w:t>Na důkaz svého souhlasu s textem tohoto Dodatku níže připojují oprávnění zástupci obou Stran své podpisy.</w:t>
      </w:r>
    </w:p>
    <w:p w14:paraId="494254C5" w14:textId="77777777" w:rsidR="00D319A6" w:rsidRPr="00D319A6" w:rsidRDefault="00D319A6" w:rsidP="00D319A6">
      <w:pPr>
        <w:keepNext/>
        <w:widowControl w:val="0"/>
        <w:ind w:left="360"/>
        <w:jc w:val="both"/>
        <w:rPr>
          <w:rFonts w:cs="Tahoma"/>
          <w:szCs w:val="18"/>
        </w:rPr>
      </w:pPr>
    </w:p>
    <w:p w14:paraId="494254C6" w14:textId="77777777" w:rsidR="00D319A6" w:rsidRPr="00D319A6" w:rsidRDefault="00981F18" w:rsidP="00D319A6">
      <w:pPr>
        <w:keepNext/>
        <w:widowControl w:val="0"/>
        <w:tabs>
          <w:tab w:val="left" w:pos="1080"/>
        </w:tabs>
        <w:jc w:val="both"/>
        <w:rPr>
          <w:rFonts w:cs="Tahoma"/>
          <w:szCs w:val="18"/>
        </w:rPr>
      </w:pPr>
      <w:proofErr w:type="gramStart"/>
      <w:r w:rsidRPr="00D319A6">
        <w:rPr>
          <w:rFonts w:cs="Tahoma"/>
          <w:szCs w:val="18"/>
        </w:rPr>
        <w:t>V</w:t>
      </w:r>
      <w:r>
        <w:rPr>
          <w:rFonts w:cs="Tahoma"/>
          <w:szCs w:val="18"/>
        </w:rPr>
        <w:t xml:space="preserve">                      </w:t>
      </w:r>
      <w:r w:rsidRPr="00D319A6">
        <w:rPr>
          <w:rFonts w:cs="Tahoma"/>
          <w:szCs w:val="18"/>
        </w:rPr>
        <w:t>dne</w:t>
      </w:r>
      <w:proofErr w:type="gramEnd"/>
      <w:r w:rsidRPr="00D319A6">
        <w:rPr>
          <w:rFonts w:cs="Tahoma"/>
          <w:bCs/>
          <w:iCs/>
          <w:szCs w:val="18"/>
        </w:rPr>
        <w:tab/>
      </w:r>
      <w:r w:rsidRPr="00D319A6">
        <w:rPr>
          <w:rFonts w:cs="Tahoma"/>
          <w:szCs w:val="18"/>
        </w:rPr>
        <w:t xml:space="preserve">  </w:t>
      </w:r>
      <w:r w:rsidR="00D319A6" w:rsidRPr="00D319A6">
        <w:rPr>
          <w:rFonts w:cs="Tahoma"/>
          <w:bCs/>
          <w:iCs/>
          <w:szCs w:val="18"/>
        </w:rPr>
        <w:tab/>
      </w:r>
      <w:r>
        <w:rPr>
          <w:rFonts w:cs="Tahoma"/>
          <w:szCs w:val="18"/>
        </w:rPr>
        <w:t xml:space="preserve">      </w:t>
      </w:r>
      <w:r>
        <w:rPr>
          <w:rFonts w:cs="Tahoma"/>
          <w:szCs w:val="18"/>
        </w:rPr>
        <w:tab/>
        <w:t xml:space="preserve">        </w:t>
      </w:r>
      <w:r>
        <w:rPr>
          <w:rFonts w:cs="Tahoma"/>
          <w:szCs w:val="18"/>
        </w:rPr>
        <w:tab/>
      </w:r>
      <w:r>
        <w:rPr>
          <w:rFonts w:cs="Tahoma"/>
          <w:szCs w:val="18"/>
        </w:rPr>
        <w:tab/>
      </w:r>
      <w:r w:rsidR="00D319A6" w:rsidRPr="00D319A6">
        <w:rPr>
          <w:rFonts w:cs="Tahoma"/>
          <w:szCs w:val="18"/>
        </w:rPr>
        <w:t>V</w:t>
      </w:r>
      <w:r w:rsidR="003F52F8">
        <w:rPr>
          <w:rFonts w:cs="Tahoma"/>
          <w:szCs w:val="18"/>
        </w:rPr>
        <w:t xml:space="preserve">                      </w:t>
      </w:r>
      <w:r w:rsidR="00D319A6" w:rsidRPr="00D319A6">
        <w:rPr>
          <w:rFonts w:cs="Tahoma"/>
          <w:szCs w:val="18"/>
        </w:rPr>
        <w:t xml:space="preserve">dne   </w:t>
      </w:r>
      <w:r w:rsidR="00D319A6" w:rsidRPr="00D319A6">
        <w:rPr>
          <w:rFonts w:cs="Tahoma"/>
          <w:szCs w:val="18"/>
        </w:rPr>
        <w:tab/>
      </w:r>
    </w:p>
    <w:p w14:paraId="494254C7" w14:textId="77777777" w:rsidR="00D319A6" w:rsidRPr="00D319A6" w:rsidRDefault="00D319A6" w:rsidP="00D319A6">
      <w:pPr>
        <w:keepNext/>
        <w:widowControl w:val="0"/>
        <w:jc w:val="both"/>
        <w:rPr>
          <w:rFonts w:cs="Tahoma"/>
          <w:bCs/>
          <w:iCs/>
          <w:szCs w:val="18"/>
        </w:rPr>
      </w:pPr>
    </w:p>
    <w:p w14:paraId="494254C8" w14:textId="77777777" w:rsidR="00D319A6" w:rsidRPr="00D319A6" w:rsidRDefault="00D319A6" w:rsidP="00D319A6">
      <w:pPr>
        <w:rPr>
          <w:rFonts w:cs="Tahoma"/>
          <w:szCs w:val="18"/>
          <w:lang w:val="en-US"/>
        </w:rPr>
      </w:pPr>
      <w:r w:rsidRPr="00D319A6">
        <w:rPr>
          <w:rFonts w:cs="Tahoma"/>
          <w:szCs w:val="18"/>
          <w:lang w:val="en-US"/>
        </w:rPr>
        <w:t xml:space="preserve">                                                                                          </w:t>
      </w:r>
      <w:r w:rsidRPr="00D319A6">
        <w:rPr>
          <w:rFonts w:cs="Tahoma"/>
          <w:szCs w:val="18"/>
          <w:lang w:val="en-US"/>
        </w:rPr>
        <w:tab/>
      </w:r>
      <w:r w:rsidRPr="00D319A6">
        <w:rPr>
          <w:rFonts w:cs="Tahoma"/>
          <w:szCs w:val="18"/>
          <w:lang w:val="en-US"/>
        </w:rPr>
        <w:tab/>
      </w:r>
      <w:r w:rsidRPr="00D319A6">
        <w:rPr>
          <w:rFonts w:cs="Tahoma"/>
          <w:szCs w:val="18"/>
          <w:lang w:val="en-US"/>
        </w:rPr>
        <w:tab/>
      </w:r>
      <w:r w:rsidRPr="00D319A6">
        <w:rPr>
          <w:rFonts w:cs="Tahoma"/>
          <w:szCs w:val="18"/>
          <w:lang w:val="en-US"/>
        </w:rPr>
        <w:tab/>
      </w:r>
      <w:r w:rsidRPr="00D319A6">
        <w:rPr>
          <w:rFonts w:cs="Tahoma"/>
          <w:szCs w:val="18"/>
          <w:lang w:val="en-US"/>
        </w:rPr>
        <w:tab/>
        <w:t xml:space="preserve">                        </w:t>
      </w:r>
    </w:p>
    <w:p w14:paraId="494254C9" w14:textId="77777777" w:rsidR="00D319A6" w:rsidRPr="00D319A6" w:rsidRDefault="00D319A6" w:rsidP="00D319A6">
      <w:pPr>
        <w:rPr>
          <w:rFonts w:cs="Tahoma"/>
          <w:szCs w:val="18"/>
          <w:lang w:val="en-US"/>
        </w:rPr>
      </w:pPr>
    </w:p>
    <w:p w14:paraId="494254CA" w14:textId="77777777" w:rsidR="00D319A6" w:rsidRPr="00D319A6" w:rsidRDefault="00D319A6" w:rsidP="00D319A6">
      <w:pPr>
        <w:rPr>
          <w:rFonts w:cs="Tahoma"/>
          <w:szCs w:val="18"/>
          <w:lang w:val="en-US"/>
        </w:rPr>
      </w:pPr>
    </w:p>
    <w:p w14:paraId="494254CB" w14:textId="77777777" w:rsidR="00D319A6" w:rsidRPr="00D319A6" w:rsidRDefault="00D319A6" w:rsidP="00D319A6">
      <w:pPr>
        <w:rPr>
          <w:rFonts w:cs="Tahoma"/>
          <w:szCs w:val="18"/>
          <w:lang w:val="en-US"/>
        </w:rPr>
      </w:pPr>
    </w:p>
    <w:p w14:paraId="494254CC" w14:textId="77777777" w:rsidR="00D319A6" w:rsidRPr="00D319A6" w:rsidRDefault="00981F18" w:rsidP="00D319A6">
      <w:pPr>
        <w:rPr>
          <w:rFonts w:cs="Tahoma"/>
          <w:szCs w:val="18"/>
          <w:lang w:val="en-US"/>
        </w:rPr>
      </w:pPr>
      <w:r>
        <w:rPr>
          <w:rFonts w:cs="Tahoma"/>
          <w:szCs w:val="18"/>
          <w:lang w:val="en-US"/>
        </w:rPr>
        <w:t>…………………………………………………………</w:t>
      </w:r>
      <w:r>
        <w:rPr>
          <w:rFonts w:cs="Tahoma"/>
          <w:szCs w:val="18"/>
          <w:lang w:val="en-US"/>
        </w:rPr>
        <w:tab/>
      </w:r>
      <w:r>
        <w:rPr>
          <w:rFonts w:cs="Tahoma"/>
          <w:szCs w:val="18"/>
          <w:lang w:val="en-US"/>
        </w:rPr>
        <w:tab/>
      </w:r>
      <w:r>
        <w:rPr>
          <w:rFonts w:cs="Tahoma"/>
          <w:szCs w:val="18"/>
          <w:lang w:val="en-US"/>
        </w:rPr>
        <w:tab/>
      </w:r>
      <w:r w:rsidR="00D319A6">
        <w:rPr>
          <w:rFonts w:cs="Tahoma"/>
          <w:szCs w:val="18"/>
          <w:lang w:val="en-US"/>
        </w:rPr>
        <w:t>…………………………………………………</w:t>
      </w:r>
      <w:r w:rsidR="003F52F8">
        <w:rPr>
          <w:rFonts w:cs="Tahoma"/>
          <w:szCs w:val="18"/>
          <w:lang w:val="en-US"/>
        </w:rPr>
        <w:t>………</w:t>
      </w:r>
    </w:p>
    <w:p w14:paraId="494254CD" w14:textId="77777777" w:rsidR="00D319A6" w:rsidRPr="00D319A6" w:rsidRDefault="00D319A6" w:rsidP="00D319A6">
      <w:pPr>
        <w:rPr>
          <w:rFonts w:cs="Tahoma"/>
          <w:b/>
          <w:bCs/>
          <w:szCs w:val="18"/>
        </w:rPr>
      </w:pPr>
      <w:proofErr w:type="spellStart"/>
      <w:r w:rsidRPr="00D319A6">
        <w:rPr>
          <w:rFonts w:cs="Tahoma"/>
          <w:b/>
          <w:bCs/>
          <w:szCs w:val="18"/>
        </w:rPr>
        <w:t>Sodexo</w:t>
      </w:r>
      <w:proofErr w:type="spellEnd"/>
      <w:r>
        <w:rPr>
          <w:rFonts w:cs="Tahoma"/>
          <w:b/>
          <w:bCs/>
          <w:szCs w:val="18"/>
        </w:rPr>
        <w:t xml:space="preserve"> </w:t>
      </w:r>
      <w:proofErr w:type="spellStart"/>
      <w:r>
        <w:rPr>
          <w:rFonts w:cs="Tahoma"/>
          <w:b/>
          <w:bCs/>
          <w:szCs w:val="18"/>
        </w:rPr>
        <w:t>Pass</w:t>
      </w:r>
      <w:proofErr w:type="spellEnd"/>
      <w:r>
        <w:rPr>
          <w:rFonts w:cs="Tahoma"/>
          <w:b/>
          <w:bCs/>
          <w:szCs w:val="18"/>
        </w:rPr>
        <w:t xml:space="preserve"> Česká republika a.s.</w:t>
      </w:r>
      <w:r>
        <w:rPr>
          <w:rFonts w:cs="Tahoma"/>
          <w:b/>
          <w:bCs/>
          <w:szCs w:val="18"/>
        </w:rPr>
        <w:tab/>
      </w:r>
      <w:r>
        <w:rPr>
          <w:rFonts w:cs="Tahoma"/>
          <w:b/>
          <w:bCs/>
          <w:szCs w:val="18"/>
        </w:rPr>
        <w:tab/>
      </w:r>
      <w:r>
        <w:rPr>
          <w:rFonts w:cs="Tahoma"/>
          <w:b/>
          <w:bCs/>
          <w:szCs w:val="18"/>
        </w:rPr>
        <w:tab/>
      </w:r>
      <w:r w:rsidR="007906D7">
        <w:rPr>
          <w:rFonts w:cs="Tahoma"/>
          <w:b/>
          <w:bCs/>
          <w:szCs w:val="18"/>
        </w:rPr>
        <w:t>Klient</w:t>
      </w:r>
      <w:r w:rsidRPr="00D319A6">
        <w:rPr>
          <w:rFonts w:cs="Tahoma"/>
          <w:b/>
          <w:bCs/>
          <w:szCs w:val="18"/>
        </w:rPr>
        <w:t xml:space="preserve"> </w:t>
      </w:r>
      <w:r w:rsidRPr="00D319A6">
        <w:rPr>
          <w:rFonts w:cs="Tahoma"/>
          <w:b/>
          <w:bCs/>
          <w:szCs w:val="18"/>
        </w:rPr>
        <w:tab/>
        <w:t xml:space="preserve">     </w:t>
      </w:r>
      <w:r w:rsidRPr="00D319A6">
        <w:rPr>
          <w:rFonts w:cs="Tahoma"/>
          <w:szCs w:val="18"/>
        </w:rPr>
        <w:tab/>
        <w:t xml:space="preserve">      </w:t>
      </w:r>
    </w:p>
    <w:p w14:paraId="494254CE" w14:textId="36980BBF" w:rsidR="00D319A6" w:rsidRPr="00D319A6" w:rsidRDefault="007F163F" w:rsidP="00D319A6">
      <w:pPr>
        <w:rPr>
          <w:rFonts w:cs="Tahoma"/>
          <w:szCs w:val="18"/>
          <w:lang w:val="en-US"/>
        </w:rPr>
      </w:pPr>
      <w:proofErr w:type="spellStart"/>
      <w:proofErr w:type="gramStart"/>
      <w:r>
        <w:rPr>
          <w:rFonts w:cs="Tahoma"/>
          <w:szCs w:val="18"/>
          <w:lang w:val="en-US"/>
        </w:rPr>
        <w:t>z</w:t>
      </w:r>
      <w:r w:rsidR="00D319A6" w:rsidRPr="00D319A6">
        <w:rPr>
          <w:rFonts w:cs="Tahoma"/>
          <w:szCs w:val="18"/>
          <w:lang w:val="en-US"/>
        </w:rPr>
        <w:t>astoupeno</w:t>
      </w:r>
      <w:proofErr w:type="spellEnd"/>
      <w:proofErr w:type="gramEnd"/>
      <w:r>
        <w:rPr>
          <w:rFonts w:cs="Tahoma"/>
          <w:szCs w:val="18"/>
          <w:lang w:val="en-US"/>
        </w:rPr>
        <w:t>:</w:t>
      </w:r>
      <w:r w:rsidR="00D319A6" w:rsidRPr="00D319A6">
        <w:rPr>
          <w:rFonts w:cs="Tahoma"/>
          <w:szCs w:val="18"/>
          <w:lang w:val="en-US"/>
        </w:rPr>
        <w:t xml:space="preserve"> </w:t>
      </w:r>
      <w:r w:rsidR="00E00FC1">
        <w:t>Mgr. Alžběta Zelenková, KPM</w:t>
      </w:r>
      <w:r w:rsidR="003F52F8">
        <w:rPr>
          <w:rFonts w:cs="Tahoma"/>
          <w:szCs w:val="18"/>
          <w:lang w:val="en-US"/>
        </w:rPr>
        <w:t xml:space="preserve">             </w:t>
      </w:r>
      <w:r w:rsidR="00145290">
        <w:rPr>
          <w:rStyle w:val="platne1"/>
        </w:rPr>
        <w:tab/>
      </w:r>
      <w:r w:rsidR="00145290">
        <w:rPr>
          <w:rStyle w:val="platne1"/>
        </w:rPr>
        <w:tab/>
      </w:r>
      <w:proofErr w:type="spellStart"/>
      <w:r w:rsidR="00981F18">
        <w:rPr>
          <w:rStyle w:val="platne1"/>
        </w:rPr>
        <w:t>z</w:t>
      </w:r>
      <w:r w:rsidR="007906D7">
        <w:rPr>
          <w:rStyle w:val="platne1"/>
        </w:rPr>
        <w:t>astoupen:</w:t>
      </w:r>
      <w:r w:rsidR="00856644">
        <w:rPr>
          <w:rStyle w:val="platne1"/>
        </w:rPr>
        <w:t>Ing</w:t>
      </w:r>
      <w:proofErr w:type="spellEnd"/>
      <w:r w:rsidR="00856644">
        <w:rPr>
          <w:rStyle w:val="platne1"/>
        </w:rPr>
        <w:t>. Roman Krupica ředitel správy soudu</w:t>
      </w:r>
    </w:p>
    <w:sectPr w:rsidR="00D319A6" w:rsidRPr="00D319A6" w:rsidSect="0070036C">
      <w:headerReference w:type="even" r:id="rId8"/>
      <w:headerReference w:type="default" r:id="rId9"/>
      <w:footerReference w:type="even" r:id="rId10"/>
      <w:footerReference w:type="default" r:id="rId11"/>
      <w:headerReference w:type="first" r:id="rId12"/>
      <w:footerReference w:type="first" r:id="rId13"/>
      <w:pgSz w:w="11906" w:h="16838"/>
      <w:pgMar w:top="851" w:right="1418" w:bottom="851" w:left="1418" w:header="709"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929FD" w14:textId="77777777" w:rsidR="00C83B7B" w:rsidRDefault="00C83B7B">
      <w:r>
        <w:separator/>
      </w:r>
    </w:p>
  </w:endnote>
  <w:endnote w:type="continuationSeparator" w:id="0">
    <w:p w14:paraId="15482941" w14:textId="77777777" w:rsidR="00C83B7B" w:rsidRDefault="00C8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ansa Pro Nor">
    <w:altName w:val="Calibri"/>
    <w:charset w:val="EE"/>
    <w:family w:val="auto"/>
    <w:pitch w:val="variable"/>
    <w:sig w:usb0="00000087" w:usb1="00000001"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731" w14:textId="77777777" w:rsidR="004F554A" w:rsidRDefault="004F55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AC3F" w14:textId="77777777" w:rsidR="004F554A" w:rsidRDefault="004F554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F01A7" w14:textId="77777777" w:rsidR="004F554A" w:rsidRDefault="004F55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597F3" w14:textId="77777777" w:rsidR="00C83B7B" w:rsidRDefault="00C83B7B">
      <w:r>
        <w:separator/>
      </w:r>
    </w:p>
  </w:footnote>
  <w:footnote w:type="continuationSeparator" w:id="0">
    <w:p w14:paraId="1F7FA632" w14:textId="77777777" w:rsidR="00C83B7B" w:rsidRDefault="00C83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57A9D" w14:textId="77777777" w:rsidR="004F554A" w:rsidRDefault="004F55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254D9" w14:textId="38293039" w:rsidR="00537AE9" w:rsidRDefault="00F50454" w:rsidP="00684004">
    <w:pPr>
      <w:pStyle w:val="Zhlav"/>
      <w:spacing w:before="60"/>
      <w:jc w:val="right"/>
      <w:rPr>
        <w:rFonts w:cs="Tahoma"/>
      </w:rPr>
    </w:pPr>
    <w:r>
      <w:rPr>
        <w:noProof/>
      </w:rPr>
      <w:drawing>
        <wp:anchor distT="0" distB="0" distL="114300" distR="114300" simplePos="0" relativeHeight="251659264" behindDoc="1" locked="0" layoutInCell="1" allowOverlap="1" wp14:anchorId="494254DB" wp14:editId="494254DC">
          <wp:simplePos x="0" y="0"/>
          <wp:positionH relativeFrom="column">
            <wp:posOffset>2064385</wp:posOffset>
          </wp:positionH>
          <wp:positionV relativeFrom="paragraph">
            <wp:posOffset>-87630</wp:posOffset>
          </wp:positionV>
          <wp:extent cx="1371600" cy="581025"/>
          <wp:effectExtent l="0" t="0" r="0" b="9525"/>
          <wp:wrapTight wrapText="bothSides">
            <wp:wrapPolygon edited="0">
              <wp:start x="0" y="0"/>
              <wp:lineTo x="0" y="21246"/>
              <wp:lineTo x="21300" y="21246"/>
              <wp:lineTo x="21300" y="0"/>
              <wp:lineTo x="0" y="0"/>
            </wp:wrapPolygon>
          </wp:wrapTight>
          <wp:docPr id="1" name="Obrázek 1" descr="sodexo_colo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odexo_color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4004" w:rsidRPr="00FD1B22">
      <w:rPr>
        <w:rFonts w:cs="Tahoma"/>
      </w:rPr>
      <w:t xml:space="preserve">       </w:t>
    </w:r>
    <w:r w:rsidR="00684004">
      <w:rPr>
        <w:rFonts w:cs="Tahoma"/>
      </w:rPr>
      <w:t>Číslo smlouvy</w:t>
    </w:r>
    <w:r w:rsidR="00684004" w:rsidRPr="00453560">
      <w:rPr>
        <w:rFonts w:cs="Tahoma"/>
      </w:rPr>
      <w:t>:</w:t>
    </w:r>
    <w:r w:rsidR="007906D7">
      <w:rPr>
        <w:rFonts w:cs="Tahoma"/>
      </w:rPr>
      <w:t xml:space="preserve"> C</w:t>
    </w:r>
    <w:r w:rsidR="00954771">
      <w:rPr>
        <w:rFonts w:cs="Tahoma"/>
      </w:rPr>
      <w:t>410600115</w:t>
    </w:r>
  </w:p>
  <w:p w14:paraId="494254DA" w14:textId="77777777" w:rsidR="00684004" w:rsidRPr="00780C22" w:rsidRDefault="00684004" w:rsidP="00684004">
    <w:pPr>
      <w:pStyle w:val="Zhlav"/>
      <w:spacing w:before="60"/>
      <w:jc w:val="right"/>
      <w:rPr>
        <w:rFonts w:cs="Tahoma"/>
        <w:sz w:val="4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93992" w14:textId="77777777" w:rsidR="004F554A" w:rsidRDefault="004F55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5F29"/>
    <w:multiLevelType w:val="hybridMultilevel"/>
    <w:tmpl w:val="69C62B60"/>
    <w:lvl w:ilvl="0" w:tplc="D0388FCE">
      <w:start w:val="1"/>
      <w:numFmt w:val="lowerRoman"/>
      <w:lvlText w:val="(%1)"/>
      <w:lvlJc w:val="left"/>
      <w:pPr>
        <w:ind w:left="1288" w:hanging="720"/>
      </w:pPr>
      <w:rPr>
        <w:rFonts w:hint="default"/>
        <w:i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 w15:restartNumberingAfterBreak="0">
    <w:nsid w:val="14D26BC0"/>
    <w:multiLevelType w:val="hybridMultilevel"/>
    <w:tmpl w:val="F774D1B6"/>
    <w:lvl w:ilvl="0" w:tplc="DEBC4FE6">
      <w:start w:val="1"/>
      <w:numFmt w:val="decimal"/>
      <w:lvlText w:val="%1)"/>
      <w:lvlJc w:val="left"/>
      <w:pPr>
        <w:tabs>
          <w:tab w:val="num" w:pos="284"/>
        </w:tabs>
        <w:ind w:left="284" w:hanging="284"/>
      </w:pPr>
      <w:rPr>
        <w:rFonts w:hint="default"/>
        <w:b w:val="0"/>
        <w:i w:val="0"/>
      </w:rPr>
    </w:lvl>
    <w:lvl w:ilvl="1" w:tplc="04050019">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2" w15:restartNumberingAfterBreak="0">
    <w:nsid w:val="19644E86"/>
    <w:multiLevelType w:val="hybridMultilevel"/>
    <w:tmpl w:val="5A20D3CE"/>
    <w:lvl w:ilvl="0" w:tplc="6BD437F6">
      <w:start w:val="13"/>
      <w:numFmt w:val="decimal"/>
      <w:lvlText w:val="%1/"/>
      <w:lvlJc w:val="left"/>
      <w:pPr>
        <w:ind w:left="720" w:hanging="360"/>
      </w:pPr>
      <w:rPr>
        <w:rFonts w:ascii="Tahoma" w:hAnsi="Tahoma" w:cs="Tahoma"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07237E"/>
    <w:multiLevelType w:val="hybridMultilevel"/>
    <w:tmpl w:val="297E1132"/>
    <w:lvl w:ilvl="0" w:tplc="B7C22AEC">
      <w:start w:val="1"/>
      <w:numFmt w:val="upperRoman"/>
      <w:lvlText w:val="%1."/>
      <w:lvlJc w:val="left"/>
      <w:pPr>
        <w:ind w:left="2520" w:hanging="720"/>
      </w:pPr>
      <w:rPr>
        <w:rFonts w:hint="default"/>
        <w:b/>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4" w15:restartNumberingAfterBreak="0">
    <w:nsid w:val="1CD37DB4"/>
    <w:multiLevelType w:val="hybridMultilevel"/>
    <w:tmpl w:val="88B86358"/>
    <w:lvl w:ilvl="0" w:tplc="07C2FE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280A9B"/>
    <w:multiLevelType w:val="hybridMultilevel"/>
    <w:tmpl w:val="0F2C8DB8"/>
    <w:lvl w:ilvl="0" w:tplc="250E14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5D5A43"/>
    <w:multiLevelType w:val="hybridMultilevel"/>
    <w:tmpl w:val="46B29D96"/>
    <w:lvl w:ilvl="0" w:tplc="B9B6268C">
      <w:start w:val="1"/>
      <w:numFmt w:val="upperRoman"/>
      <w:lvlText w:val="%1."/>
      <w:lvlJc w:val="left"/>
      <w:pPr>
        <w:ind w:left="1800" w:hanging="72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3F0791B"/>
    <w:multiLevelType w:val="hybridMultilevel"/>
    <w:tmpl w:val="A0FE9816"/>
    <w:lvl w:ilvl="0" w:tplc="224E6F6E">
      <w:start w:val="13"/>
      <w:numFmt w:val="decimal"/>
      <w:lvlText w:val="%1)"/>
      <w:lvlJc w:val="left"/>
      <w:pPr>
        <w:tabs>
          <w:tab w:val="num" w:pos="644"/>
        </w:tabs>
        <w:ind w:left="64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CF744B"/>
    <w:multiLevelType w:val="hybridMultilevel"/>
    <w:tmpl w:val="E878EF8E"/>
    <w:lvl w:ilvl="0" w:tplc="784EDD06">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1B4C2E"/>
    <w:multiLevelType w:val="hybridMultilevel"/>
    <w:tmpl w:val="7AC69070"/>
    <w:lvl w:ilvl="0" w:tplc="9880FD08">
      <w:start w:val="1"/>
      <w:numFmt w:val="decimal"/>
      <w:lvlText w:val="%1)"/>
      <w:lvlJc w:val="left"/>
      <w:pPr>
        <w:tabs>
          <w:tab w:val="num" w:pos="360"/>
        </w:tabs>
        <w:ind w:left="360" w:hanging="360"/>
      </w:pPr>
      <w:rPr>
        <w:rFonts w:ascii="Tahoma" w:hAnsi="Tahoma" w:cs="Tahoma" w:hint="default"/>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0" w15:restartNumberingAfterBreak="0">
    <w:nsid w:val="3D2F7008"/>
    <w:multiLevelType w:val="hybridMultilevel"/>
    <w:tmpl w:val="45B819FE"/>
    <w:lvl w:ilvl="0" w:tplc="7A06A508">
      <w:start w:val="11"/>
      <w:numFmt w:val="decimal"/>
      <w:lvlText w:val="%1/"/>
      <w:lvlJc w:val="left"/>
      <w:pPr>
        <w:ind w:left="720" w:hanging="360"/>
      </w:pPr>
      <w:rPr>
        <w:rFonts w:ascii="Tahoma" w:hAnsi="Tahoma" w:cs="Tahoma"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174C64"/>
    <w:multiLevelType w:val="hybridMultilevel"/>
    <w:tmpl w:val="8B722496"/>
    <w:lvl w:ilvl="0" w:tplc="121617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4E113C"/>
    <w:multiLevelType w:val="hybridMultilevel"/>
    <w:tmpl w:val="834EDDEC"/>
    <w:lvl w:ilvl="0" w:tplc="40D6E398">
      <w:start w:val="1"/>
      <w:numFmt w:val="decimal"/>
      <w:lvlText w:val="%1)"/>
      <w:lvlJc w:val="left"/>
      <w:pPr>
        <w:tabs>
          <w:tab w:val="num" w:pos="502"/>
        </w:tabs>
        <w:ind w:left="502" w:hanging="360"/>
      </w:pPr>
      <w:rPr>
        <w:rFonts w:ascii="Tahoma" w:eastAsia="Times New Roman" w:hAnsi="Tahoma" w:cs="Times New Roman"/>
        <w:b w:val="0"/>
        <w:i w:val="0"/>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3" w15:restartNumberingAfterBreak="0">
    <w:nsid w:val="5D7B7843"/>
    <w:multiLevelType w:val="hybridMultilevel"/>
    <w:tmpl w:val="EBBC12B6"/>
    <w:lvl w:ilvl="0" w:tplc="250E14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DCD4F24"/>
    <w:multiLevelType w:val="hybridMultilevel"/>
    <w:tmpl w:val="EF5EB3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F32FC8"/>
    <w:multiLevelType w:val="hybridMultilevel"/>
    <w:tmpl w:val="F774D1B6"/>
    <w:lvl w:ilvl="0" w:tplc="DEBC4FE6">
      <w:start w:val="1"/>
      <w:numFmt w:val="decimal"/>
      <w:lvlText w:val="%1)"/>
      <w:lvlJc w:val="left"/>
      <w:pPr>
        <w:tabs>
          <w:tab w:val="num" w:pos="284"/>
        </w:tabs>
        <w:ind w:left="284" w:hanging="284"/>
      </w:pPr>
      <w:rPr>
        <w:rFonts w:hint="default"/>
        <w:b w:val="0"/>
        <w:i w:val="0"/>
      </w:rPr>
    </w:lvl>
    <w:lvl w:ilvl="1" w:tplc="04050019">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6" w15:restartNumberingAfterBreak="0">
    <w:nsid w:val="69D149E8"/>
    <w:multiLevelType w:val="hybridMultilevel"/>
    <w:tmpl w:val="07F83A10"/>
    <w:lvl w:ilvl="0" w:tplc="8F0C36A6">
      <w:start w:val="4"/>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5"/>
  </w:num>
  <w:num w:numId="2">
    <w:abstractNumId w:val="12"/>
  </w:num>
  <w:num w:numId="3">
    <w:abstractNumId w:val="9"/>
  </w:num>
  <w:num w:numId="4">
    <w:abstractNumId w:val="16"/>
  </w:num>
  <w:num w:numId="5">
    <w:abstractNumId w:val="8"/>
  </w:num>
  <w:num w:numId="6">
    <w:abstractNumId w:val="6"/>
  </w:num>
  <w:num w:numId="7">
    <w:abstractNumId w:val="3"/>
  </w:num>
  <w:num w:numId="8">
    <w:abstractNumId w:val="11"/>
  </w:num>
  <w:num w:numId="9">
    <w:abstractNumId w:val="1"/>
  </w:num>
  <w:num w:numId="10">
    <w:abstractNumId w:val="0"/>
  </w:num>
  <w:num w:numId="11">
    <w:abstractNumId w:val="4"/>
  </w:num>
  <w:num w:numId="12">
    <w:abstractNumId w:val="5"/>
  </w:num>
  <w:num w:numId="13">
    <w:abstractNumId w:val="13"/>
  </w:num>
  <w:num w:numId="14">
    <w:abstractNumId w:val="14"/>
  </w:num>
  <w:num w:numId="15">
    <w:abstractNumId w:val="7"/>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54"/>
    <w:rsid w:val="00052E4B"/>
    <w:rsid w:val="00060B85"/>
    <w:rsid w:val="000653B5"/>
    <w:rsid w:val="000A4F55"/>
    <w:rsid w:val="000C076B"/>
    <w:rsid w:val="00145290"/>
    <w:rsid w:val="0017561B"/>
    <w:rsid w:val="00195A42"/>
    <w:rsid w:val="001B6652"/>
    <w:rsid w:val="002063BC"/>
    <w:rsid w:val="0021786A"/>
    <w:rsid w:val="00250644"/>
    <w:rsid w:val="002B2254"/>
    <w:rsid w:val="0033219E"/>
    <w:rsid w:val="003C4CA9"/>
    <w:rsid w:val="003F52F8"/>
    <w:rsid w:val="003F6A40"/>
    <w:rsid w:val="004A6585"/>
    <w:rsid w:val="004C1659"/>
    <w:rsid w:val="004C7A34"/>
    <w:rsid w:val="004F1AB0"/>
    <w:rsid w:val="004F554A"/>
    <w:rsid w:val="00522CD5"/>
    <w:rsid w:val="00552C72"/>
    <w:rsid w:val="005D1785"/>
    <w:rsid w:val="005F3F5A"/>
    <w:rsid w:val="006026D6"/>
    <w:rsid w:val="006467AF"/>
    <w:rsid w:val="00653E29"/>
    <w:rsid w:val="006577A0"/>
    <w:rsid w:val="00681002"/>
    <w:rsid w:val="00684004"/>
    <w:rsid w:val="00707C4E"/>
    <w:rsid w:val="007906D7"/>
    <w:rsid w:val="007F163F"/>
    <w:rsid w:val="008265EF"/>
    <w:rsid w:val="00856644"/>
    <w:rsid w:val="00900EBB"/>
    <w:rsid w:val="009045ED"/>
    <w:rsid w:val="009055A1"/>
    <w:rsid w:val="00954771"/>
    <w:rsid w:val="009711D6"/>
    <w:rsid w:val="00981F18"/>
    <w:rsid w:val="00991950"/>
    <w:rsid w:val="009E6A6D"/>
    <w:rsid w:val="00A5062B"/>
    <w:rsid w:val="00A6415D"/>
    <w:rsid w:val="00AA5012"/>
    <w:rsid w:val="00B00BE2"/>
    <w:rsid w:val="00BB4CAD"/>
    <w:rsid w:val="00C83B7B"/>
    <w:rsid w:val="00CA1552"/>
    <w:rsid w:val="00D319A6"/>
    <w:rsid w:val="00D75854"/>
    <w:rsid w:val="00D92C6C"/>
    <w:rsid w:val="00DB0BCC"/>
    <w:rsid w:val="00DF79A0"/>
    <w:rsid w:val="00E00FC1"/>
    <w:rsid w:val="00E044B6"/>
    <w:rsid w:val="00E10FF0"/>
    <w:rsid w:val="00E41F15"/>
    <w:rsid w:val="00E723E0"/>
    <w:rsid w:val="00F00D49"/>
    <w:rsid w:val="00F1182A"/>
    <w:rsid w:val="00F50454"/>
    <w:rsid w:val="00F905AD"/>
    <w:rsid w:val="00FC75E8"/>
    <w:rsid w:val="00FF3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42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0454"/>
    <w:pPr>
      <w:spacing w:after="0" w:line="240" w:lineRule="auto"/>
    </w:pPr>
    <w:rPr>
      <w:rFonts w:ascii="Tahoma" w:eastAsia="Times New Roman" w:hAnsi="Tahoma" w:cs="Times New Roman"/>
      <w:sz w:val="1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50454"/>
    <w:pPr>
      <w:tabs>
        <w:tab w:val="center" w:pos="4536"/>
        <w:tab w:val="right" w:pos="9072"/>
      </w:tabs>
    </w:pPr>
  </w:style>
  <w:style w:type="character" w:customStyle="1" w:styleId="ZhlavChar">
    <w:name w:val="Záhlaví Char"/>
    <w:basedOn w:val="Standardnpsmoodstavce"/>
    <w:link w:val="Zhlav"/>
    <w:rsid w:val="00F50454"/>
    <w:rPr>
      <w:rFonts w:ascii="Tahoma" w:eastAsia="Times New Roman" w:hAnsi="Tahoma" w:cs="Times New Roman"/>
      <w:sz w:val="18"/>
      <w:szCs w:val="24"/>
      <w:lang w:eastAsia="cs-CZ"/>
    </w:rPr>
  </w:style>
  <w:style w:type="character" w:customStyle="1" w:styleId="platne1">
    <w:name w:val="platne1"/>
    <w:basedOn w:val="Standardnpsmoodstavce"/>
    <w:rsid w:val="00F50454"/>
  </w:style>
  <w:style w:type="character" w:customStyle="1" w:styleId="platne">
    <w:name w:val="platne"/>
    <w:basedOn w:val="Standardnpsmoodstavce"/>
    <w:rsid w:val="00F50454"/>
  </w:style>
  <w:style w:type="paragraph" w:styleId="Odstavecseseznamem">
    <w:name w:val="List Paragraph"/>
    <w:basedOn w:val="Normln"/>
    <w:uiPriority w:val="34"/>
    <w:qFormat/>
    <w:rsid w:val="00F50454"/>
    <w:pPr>
      <w:ind w:left="720"/>
      <w:contextualSpacing/>
    </w:pPr>
  </w:style>
  <w:style w:type="paragraph" w:styleId="Zpat">
    <w:name w:val="footer"/>
    <w:basedOn w:val="Normln"/>
    <w:link w:val="ZpatChar"/>
    <w:uiPriority w:val="99"/>
    <w:unhideWhenUsed/>
    <w:rsid w:val="00684004"/>
    <w:pPr>
      <w:tabs>
        <w:tab w:val="center" w:pos="4536"/>
        <w:tab w:val="right" w:pos="9072"/>
      </w:tabs>
    </w:pPr>
  </w:style>
  <w:style w:type="character" w:customStyle="1" w:styleId="ZpatChar">
    <w:name w:val="Zápatí Char"/>
    <w:basedOn w:val="Standardnpsmoodstavce"/>
    <w:link w:val="Zpat"/>
    <w:uiPriority w:val="99"/>
    <w:rsid w:val="00684004"/>
    <w:rPr>
      <w:rFonts w:ascii="Tahoma" w:eastAsia="Times New Roman" w:hAnsi="Tahoma" w:cs="Times New Roman"/>
      <w:sz w:val="18"/>
      <w:szCs w:val="24"/>
      <w:lang w:eastAsia="cs-CZ"/>
    </w:rPr>
  </w:style>
  <w:style w:type="character" w:styleId="Odkaznakoment">
    <w:name w:val="annotation reference"/>
    <w:uiPriority w:val="99"/>
    <w:semiHidden/>
    <w:rsid w:val="00BB4CAD"/>
    <w:rPr>
      <w:rFonts w:cs="Times New Roman"/>
      <w:sz w:val="16"/>
    </w:rPr>
  </w:style>
  <w:style w:type="paragraph" w:styleId="Textkomente">
    <w:name w:val="annotation text"/>
    <w:basedOn w:val="Normln"/>
    <w:link w:val="TextkomenteChar"/>
    <w:uiPriority w:val="99"/>
    <w:semiHidden/>
    <w:rsid w:val="00BB4CAD"/>
    <w:rPr>
      <w:sz w:val="20"/>
      <w:szCs w:val="20"/>
    </w:rPr>
  </w:style>
  <w:style w:type="character" w:customStyle="1" w:styleId="TextkomenteChar">
    <w:name w:val="Text komentáře Char"/>
    <w:basedOn w:val="Standardnpsmoodstavce"/>
    <w:link w:val="Textkomente"/>
    <w:uiPriority w:val="99"/>
    <w:semiHidden/>
    <w:rsid w:val="00BB4CAD"/>
    <w:rPr>
      <w:rFonts w:ascii="Tahoma" w:eastAsia="Times New Roman" w:hAnsi="Tahoma" w:cs="Times New Roman"/>
      <w:sz w:val="20"/>
      <w:szCs w:val="20"/>
      <w:lang w:eastAsia="cs-CZ"/>
    </w:rPr>
  </w:style>
  <w:style w:type="paragraph" w:styleId="Textbubliny">
    <w:name w:val="Balloon Text"/>
    <w:basedOn w:val="Normln"/>
    <w:link w:val="TextbublinyChar"/>
    <w:uiPriority w:val="99"/>
    <w:semiHidden/>
    <w:unhideWhenUsed/>
    <w:rsid w:val="00BB4CAD"/>
    <w:rPr>
      <w:rFonts w:cs="Tahoma"/>
      <w:sz w:val="16"/>
      <w:szCs w:val="16"/>
    </w:rPr>
  </w:style>
  <w:style w:type="character" w:customStyle="1" w:styleId="TextbublinyChar">
    <w:name w:val="Text bubliny Char"/>
    <w:basedOn w:val="Standardnpsmoodstavce"/>
    <w:link w:val="Textbubliny"/>
    <w:uiPriority w:val="99"/>
    <w:semiHidden/>
    <w:rsid w:val="00BB4CA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9055A1"/>
    <w:rPr>
      <w:color w:val="0000FF" w:themeColor="hyperlink"/>
      <w:u w:val="single"/>
    </w:rPr>
  </w:style>
  <w:style w:type="paragraph" w:styleId="Pedmtkomente">
    <w:name w:val="annotation subject"/>
    <w:basedOn w:val="Textkomente"/>
    <w:next w:val="Textkomente"/>
    <w:link w:val="PedmtkomenteChar"/>
    <w:uiPriority w:val="99"/>
    <w:semiHidden/>
    <w:unhideWhenUsed/>
    <w:rsid w:val="007906D7"/>
    <w:rPr>
      <w:b/>
      <w:bCs/>
    </w:rPr>
  </w:style>
  <w:style w:type="character" w:customStyle="1" w:styleId="PedmtkomenteChar">
    <w:name w:val="Předmět komentáře Char"/>
    <w:basedOn w:val="TextkomenteChar"/>
    <w:link w:val="Pedmtkomente"/>
    <w:uiPriority w:val="99"/>
    <w:semiHidden/>
    <w:rsid w:val="007906D7"/>
    <w:rPr>
      <w:rFonts w:ascii="Tahoma" w:eastAsia="Times New Roman" w:hAnsi="Tahoma"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5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F156A-8515-48B4-901C-6DCB4E4A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1965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2021-10-01T07:56:00Z</dcterms:created>
  <dcterms:modified xsi:type="dcterms:W3CDTF">2021-10-01T07:57:00Z</dcterms:modified>
</cp:coreProperties>
</file>