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4260" w:right="0" w:firstLine="0"/>
        <w:jc w:val="left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Q sfdi</w:t>
      </w:r>
      <w:bookmarkEnd w:id="0"/>
      <w:bookmarkEnd w:id="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STATNI FOND DORA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00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INFRASTRUKTURY</w:t>
      </w:r>
    </w:p>
    <w:p>
      <w:pPr>
        <w:pStyle w:val="Style10"/>
        <w:keepNext/>
        <w:keepLines/>
        <w:widowControl w:val="0"/>
        <w:shd w:val="clear" w:color="auto" w:fill="auto"/>
        <w:tabs>
          <w:tab w:pos="5346" w:val="left"/>
          <w:tab w:pos="6589" w:val="left"/>
        </w:tabs>
        <w:bidi w:val="0"/>
        <w:spacing w:before="0" w:after="0" w:line="240" w:lineRule="auto"/>
        <w:ind w:left="488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  <w:tab/>
        <w:t>_</w:t>
        <w:tab/>
        <w:t>vr</w:t>
      </w:r>
      <w:bookmarkEnd w:id="2"/>
      <w:bookmarkEnd w:id="3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00" w:line="180" w:lineRule="auto"/>
        <w:ind w:left="362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k SMLOUVĚ</w:t>
      </w:r>
      <w:bookmarkEnd w:id="4"/>
      <w:bookmarkEnd w:id="5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26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zajištění výkonu technického dozoru stavebníka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20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staveništi „ II/128 křiž. I/19 - Černovice“, ze dne 13. 5. 2021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smlouvy objednatele: 070/2021 - KSÚSV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smlouvy zhotovitele: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83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tbl>
      <w:tblPr>
        <w:tblOverlap w:val="never"/>
        <w:jc w:val="center"/>
        <w:tblLayout w:type="fixed"/>
      </w:tblPr>
      <w:tblGrid>
        <w:gridCol w:w="1690"/>
        <w:gridCol w:w="6778"/>
      </w:tblGrid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jednat jménem objednatele ve věcech</w:t>
      </w:r>
    </w:p>
    <w:tbl>
      <w:tblPr>
        <w:tblOverlap w:val="never"/>
        <w:jc w:val="center"/>
        <w:tblLayout w:type="fixed"/>
      </w:tblPr>
      <w:tblGrid>
        <w:gridCol w:w="1690"/>
        <w:gridCol w:w="6773"/>
      </w:tblGrid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 organizace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tbl>
      <w:tblPr>
        <w:tblOverlap w:val="never"/>
        <w:jc w:val="center"/>
        <w:tblLayout w:type="fixed"/>
      </w:tblPr>
      <w:tblGrid>
        <w:gridCol w:w="1690"/>
        <w:gridCol w:w="6773"/>
      </w:tblGrid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widowControl w:val="0"/>
        <w:spacing w:after="399" w:line="1" w:lineRule="exact"/>
      </w:pPr>
    </w:p>
    <w:tbl>
      <w:tblPr>
        <w:tblOverlap w:val="never"/>
        <w:jc w:val="left"/>
        <w:tblLayout w:type="fixed"/>
      </w:tblPr>
      <w:tblGrid>
        <w:gridCol w:w="2035"/>
        <w:gridCol w:w="5064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Ladislav Bacil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 Baštou 40, 391 43 Mladá Vožice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Ladislavem Bacilem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--</w:t>
        <w:softHyphen/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jednat jménem zhotovitele ve věcech</w:t>
      </w:r>
    </w:p>
    <w:tbl>
      <w:tblPr>
        <w:tblOverlap w:val="never"/>
        <w:jc w:val="left"/>
        <w:tblLayout w:type="fixed"/>
      </w:tblPr>
      <w:tblGrid>
        <w:gridCol w:w="2035"/>
        <w:gridCol w:w="5064"/>
      </w:tblGrid>
      <w:tr>
        <w:trPr>
          <w:trHeight w:val="58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47616253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TDS“)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31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2240" w:h="15840"/>
          <w:pgMar w:top="470" w:left="1147" w:right="2611" w:bottom="912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tomto Dodatku č. 1 z důvodu nutnosti většího počtu návštěv TDS na</w:t>
      </w:r>
    </w:p>
    <w:p>
      <w:pPr>
        <w:pStyle w:val="Style12"/>
        <w:keepNext w:val="0"/>
        <w:keepLines w:val="0"/>
        <w:framePr w:w="10378" w:h="1454" w:wrap="none" w:hAnchor="page" w:x="1148" w:y="108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staveništi a s tím spojeného zpracování dokumentace v kanceláři oproti předpokládanému rozsahu hodin dle Kalkulace odměny TDS uvedené v Příloze č. 1 Smlouvy o zajištění výkonu technického dozoru stavebníka na staveništi č. objednatele 070/2021-KSÚSV ze dne 13. 5. 2021.</w:t>
      </w:r>
    </w:p>
    <w:p>
      <w:pPr>
        <w:pStyle w:val="Style12"/>
        <w:keepNext w:val="0"/>
        <w:keepLines w:val="0"/>
        <w:framePr w:w="10378" w:h="1454" w:wrap="none" w:hAnchor="page" w:x="1148" w:y="1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této souvislosti se navyšuje počet hodin TDS takto:</w:t>
      </w:r>
    </w:p>
    <w:p>
      <w:pPr>
        <w:pStyle w:val="Style12"/>
        <w:keepNext w:val="0"/>
        <w:keepLines w:val="0"/>
        <w:framePr w:w="6998" w:h="336" w:wrap="none" w:hAnchor="page" w:x="1859" w:y="26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Práce spojené s výkonem TDS v kanceláři (bez nároku na cestovné)</w:t>
      </w:r>
    </w:p>
    <w:p>
      <w:pPr>
        <w:pStyle w:val="Style12"/>
        <w:keepNext w:val="0"/>
        <w:keepLines w:val="0"/>
        <w:framePr w:w="1109" w:h="336" w:wrap="none" w:hAnchor="page" w:x="9649" w:y="26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+ 12 hodin</w:t>
      </w:r>
    </w:p>
    <w:p>
      <w:pPr>
        <w:pStyle w:val="Style12"/>
        <w:keepNext w:val="0"/>
        <w:keepLines w:val="0"/>
        <w:framePr w:w="6710" w:h="336" w:wrap="none" w:hAnchor="page" w:x="1859" w:y="30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 Práce spojené s výkonem TDS na staveništi (včetně cestovného)</w:t>
      </w:r>
    </w:p>
    <w:p>
      <w:pPr>
        <w:pStyle w:val="Style12"/>
        <w:keepNext w:val="0"/>
        <w:keepLines w:val="0"/>
        <w:framePr w:w="1094" w:h="336" w:wrap="none" w:hAnchor="page" w:x="9649" w:y="30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+ 6 hodin</w:t>
      </w:r>
    </w:p>
    <w:p>
      <w:pPr>
        <w:pStyle w:val="Style12"/>
        <w:keepNext w:val="0"/>
        <w:keepLines w:val="0"/>
        <w:framePr w:w="10382" w:h="629" w:wrap="none" w:hAnchor="page" w:x="1148" w:y="35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2.3.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souvislosti s navýšením počtu hodin výkonu TDS dochází k navýšení celkové ceny díla dle cen</w:t>
      </w:r>
    </w:p>
    <w:p>
      <w:pPr>
        <w:pStyle w:val="Style12"/>
        <w:keepNext w:val="0"/>
        <w:keepLines w:val="0"/>
        <w:framePr w:w="10382" w:h="629" w:wrap="none" w:hAnchor="page" w:x="1148" w:y="35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uvedených v odst. 5.1. b) Výkon TDS - práce spojené s prováděním stavby, takto:</w:t>
      </w:r>
    </w:p>
    <w:p>
      <w:pPr>
        <w:pStyle w:val="Style25"/>
        <w:keepNext/>
        <w:keepLines/>
        <w:framePr w:w="2717" w:h="336" w:wrap="none" w:hAnchor="page" w:x="1863" w:y="43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cena díla bez DPH</w:t>
      </w:r>
      <w:bookmarkEnd w:id="6"/>
      <w:bookmarkEnd w:id="7"/>
    </w:p>
    <w:p>
      <w:pPr>
        <w:pStyle w:val="Style25"/>
        <w:keepNext/>
        <w:keepLines/>
        <w:framePr w:w="1339" w:h="336" w:wrap="none" w:hAnchor="page" w:x="8449" w:y="43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54 400,00 Kč</w:t>
      </w:r>
      <w:bookmarkEnd w:id="8"/>
      <w:bookmarkEnd w:id="9"/>
    </w:p>
    <w:p>
      <w:pPr>
        <w:pStyle w:val="Style12"/>
        <w:keepNext w:val="0"/>
        <w:keepLines w:val="0"/>
        <w:framePr w:w="5386" w:h="336" w:wrap="none" w:hAnchor="page" w:x="1863" w:y="47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Vícepráce: a) práce spojené s výkonem TDS v kanceláři</w:t>
      </w:r>
    </w:p>
    <w:p>
      <w:pPr>
        <w:pStyle w:val="Style12"/>
        <w:keepNext w:val="0"/>
        <w:keepLines w:val="0"/>
        <w:framePr w:w="1195" w:h="336" w:wrap="none" w:hAnchor="page" w:x="8574" w:y="47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9 600,00 Kč</w:t>
      </w:r>
    </w:p>
    <w:p>
      <w:pPr>
        <w:pStyle w:val="Style12"/>
        <w:keepNext w:val="0"/>
        <w:keepLines w:val="0"/>
        <w:framePr w:w="5544" w:h="336" w:wrap="none" w:hAnchor="page" w:x="1873" w:y="52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Vícepráce: b) práce spojené s výkonem TDS na staveništi</w:t>
      </w:r>
    </w:p>
    <w:p>
      <w:pPr>
        <w:pStyle w:val="Style12"/>
        <w:keepNext w:val="0"/>
        <w:keepLines w:val="0"/>
        <w:framePr w:w="1195" w:h="336" w:wrap="none" w:hAnchor="page" w:x="8574" w:y="52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6 600,00 Kč</w:t>
      </w:r>
    </w:p>
    <w:p>
      <w:pPr>
        <w:pStyle w:val="Style12"/>
        <w:keepNext w:val="0"/>
        <w:keepLines w:val="0"/>
        <w:framePr w:w="4637" w:h="336" w:wrap="none" w:hAnchor="page" w:x="1859" w:y="5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sjednaná cena dle Dodatku č. 1 bez DPH</w:t>
      </w:r>
    </w:p>
    <w:p>
      <w:pPr>
        <w:pStyle w:val="Style25"/>
        <w:keepNext/>
        <w:keepLines/>
        <w:framePr w:w="1339" w:h="336" w:wrap="none" w:hAnchor="page" w:x="8449" w:y="56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70 600,00 Kč</w:t>
      </w:r>
      <w:bookmarkEnd w:id="10"/>
      <w:bookmarkEnd w:id="11"/>
    </w:p>
    <w:p>
      <w:pPr>
        <w:pStyle w:val="Style12"/>
        <w:keepNext w:val="0"/>
        <w:keepLines w:val="0"/>
        <w:framePr w:w="965" w:h="336" w:wrap="none" w:hAnchor="page" w:x="1863" w:y="60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21%</w:t>
      </w:r>
    </w:p>
    <w:p>
      <w:pPr>
        <w:pStyle w:val="Style12"/>
        <w:keepNext w:val="0"/>
        <w:keepLines w:val="0"/>
        <w:framePr w:w="1310" w:h="336" w:wrap="none" w:hAnchor="page" w:x="8468" w:y="60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14 826,00 Kč</w:t>
      </w:r>
    </w:p>
    <w:p>
      <w:pPr>
        <w:pStyle w:val="Style25"/>
        <w:keepNext/>
        <w:keepLines/>
        <w:framePr w:w="3288" w:h="336" w:wrap="none" w:hAnchor="page" w:x="1859" w:y="64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sjednaná cena včetně DPH</w:t>
      </w:r>
      <w:bookmarkEnd w:id="12"/>
      <w:bookmarkEnd w:id="13"/>
    </w:p>
    <w:p>
      <w:pPr>
        <w:pStyle w:val="Style25"/>
        <w:keepNext/>
        <w:keepLines/>
        <w:framePr w:w="1339" w:h="336" w:wrap="none" w:hAnchor="page" w:x="8449" w:y="64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85 426,00 Kč</w:t>
      </w:r>
      <w:bookmarkEnd w:id="14"/>
      <w:bookmarkEnd w:id="15"/>
    </w:p>
    <w:p>
      <w:pPr>
        <w:pStyle w:val="Style12"/>
        <w:keepNext w:val="0"/>
        <w:keepLines w:val="0"/>
        <w:framePr w:w="9701" w:h="336" w:wrap="none" w:hAnchor="page" w:x="1148" w:y="6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2.4.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ujednání Smlouvy nedotčené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Dodatkem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zůstávají v platnosti v původním znění.</w:t>
      </w:r>
    </w:p>
    <w:p>
      <w:pPr>
        <w:pStyle w:val="Style12"/>
        <w:keepNext w:val="0"/>
        <w:keepLines w:val="0"/>
        <w:framePr w:w="1747" w:h="629" w:wrap="none" w:hAnchor="page" w:x="5463" w:y="79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12"/>
        <w:keepNext w:val="0"/>
        <w:keepLines w:val="0"/>
        <w:framePr w:w="1747" w:h="629" w:wrap="none" w:hAnchor="page" w:x="5463" w:y="79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12"/>
        <w:keepNext w:val="0"/>
        <w:keepLines w:val="0"/>
        <w:framePr w:w="10368" w:h="4229" w:wrap="none" w:hAnchor="page" w:x="1148" w:y="8684"/>
        <w:widowControl w:val="0"/>
        <w:numPr>
          <w:ilvl w:val="0"/>
          <w:numId w:val="1"/>
        </w:numPr>
        <w:shd w:val="clear" w:color="auto" w:fill="auto"/>
        <w:tabs>
          <w:tab w:pos="73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stávající smlouvy.</w:t>
      </w:r>
    </w:p>
    <w:p>
      <w:pPr>
        <w:pStyle w:val="Style12"/>
        <w:keepNext w:val="0"/>
        <w:keepLines w:val="0"/>
        <w:framePr w:w="10368" w:h="4229" w:wrap="none" w:hAnchor="page" w:x="1148" w:y="8684"/>
        <w:widowControl w:val="0"/>
        <w:numPr>
          <w:ilvl w:val="0"/>
          <w:numId w:val="1"/>
        </w:numPr>
        <w:shd w:val="clear" w:color="auto" w:fill="auto"/>
        <w:tabs>
          <w:tab w:pos="73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její elektronický originál.</w:t>
      </w:r>
    </w:p>
    <w:p>
      <w:pPr>
        <w:pStyle w:val="Style12"/>
        <w:keepNext w:val="0"/>
        <w:keepLines w:val="0"/>
        <w:framePr w:w="10368" w:h="4229" w:wrap="none" w:hAnchor="page" w:x="1148" w:y="8684"/>
        <w:widowControl w:val="0"/>
        <w:numPr>
          <w:ilvl w:val="0"/>
          <w:numId w:val="1"/>
        </w:numPr>
        <w:shd w:val="clear" w:color="auto" w:fill="auto"/>
        <w:tabs>
          <w:tab w:pos="73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platný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12"/>
        <w:keepNext w:val="0"/>
        <w:keepLines w:val="0"/>
        <w:framePr w:w="10368" w:h="4229" w:wrap="none" w:hAnchor="page" w:x="1148" w:y="8684"/>
        <w:widowControl w:val="0"/>
        <w:numPr>
          <w:ilvl w:val="0"/>
          <w:numId w:val="1"/>
        </w:numPr>
        <w:shd w:val="clear" w:color="auto" w:fill="auto"/>
        <w:tabs>
          <w:tab w:pos="73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účinný dnem jejího uveřejnění v registru smluv.</w:t>
      </w:r>
    </w:p>
    <w:p>
      <w:pPr>
        <w:pStyle w:val="Style12"/>
        <w:keepNext w:val="0"/>
        <w:keepLines w:val="0"/>
        <w:framePr w:w="10368" w:h="4229" w:wrap="none" w:hAnchor="page" w:x="1148" w:y="8684"/>
        <w:widowControl w:val="0"/>
        <w:numPr>
          <w:ilvl w:val="0"/>
          <w:numId w:val="1"/>
        </w:numPr>
        <w:shd w:val="clear" w:color="auto" w:fill="auto"/>
        <w:tabs>
          <w:tab w:pos="73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3447415</wp:posOffset>
            </wp:positionH>
            <wp:positionV relativeFrom="margin">
              <wp:posOffset>0</wp:posOffset>
            </wp:positionV>
            <wp:extent cx="1146175" cy="44513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146175" cy="4451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605" w:left="1147" w:right="710" w:bottom="81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Q sfdi</w:t>
      </w:r>
      <w:bookmarkEnd w:id="16"/>
      <w:bookmarkEnd w:id="1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STATNI FOND DORA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INFRASTRUKTURY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3.6.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40" w:line="240" w:lineRule="auto"/>
        <w:ind w:left="0" w:right="0" w:firstLine="86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4297680</wp:posOffset>
                </wp:positionH>
                <wp:positionV relativeFrom="paragraph">
                  <wp:posOffset>12700</wp:posOffset>
                </wp:positionV>
                <wp:extent cx="1588135" cy="21336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8135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Jihlavě, dne: viz podpis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8.39999999999998pt;margin-top:1.pt;width:125.05pt;height:16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Jihlavě, dne: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1485900</wp:posOffset>
                </wp:positionV>
                <wp:extent cx="719455" cy="17970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Ladislav Bacil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38.pt;margin-top:117.pt;width:56.649999999999999pt;height:14.1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Ladislav Bacil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Mladé Vožici, dne: viz podpis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40" w:right="0" w:hanging="2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56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</w:t>
      </w:r>
    </w:p>
    <w:sectPr>
      <w:footnotePr>
        <w:pos w:val="pageBottom"/>
        <w:numFmt w:val="decimal"/>
        <w:numRestart w:val="continuous"/>
      </w:footnotePr>
      <w:pgSz w:w="12240" w:h="15840"/>
      <w:pgMar w:top="470" w:left="1147" w:right="720" w:bottom="91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755650</wp:posOffset>
              </wp:positionH>
              <wp:positionV relativeFrom="page">
                <wp:posOffset>9479280</wp:posOffset>
              </wp:positionV>
              <wp:extent cx="3020695" cy="2590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20695" cy="2590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1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k Smlouvě o zajištění výkonu TDS č. 070/2021 - KSÚSV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5pt;margin-top:746.39999999999998pt;width:237.84999999999999pt;height:20.3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 Smlouvě o zajištění výkonu TDS č. 070/2021 - KSÚSV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6602095</wp:posOffset>
              </wp:positionH>
              <wp:positionV relativeFrom="page">
                <wp:posOffset>9479280</wp:posOffset>
              </wp:positionV>
              <wp:extent cx="667385" cy="10668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738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19.85000000000002pt;margin-top:746.39999999999998pt;width:52.549999999999997pt;height:8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9431655</wp:posOffset>
              </wp:positionV>
              <wp:extent cx="657733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2.64999999999998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755650</wp:posOffset>
              </wp:positionH>
              <wp:positionV relativeFrom="page">
                <wp:posOffset>9479280</wp:posOffset>
              </wp:positionV>
              <wp:extent cx="6513830" cy="25908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13830" cy="2590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Dodatek č. 1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k Smlouvě o zajištění výkonu TDS č. 070/2021 - KSÚSV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59.5pt;margin-top:746.39999999999998pt;width:512.89999999999998pt;height:20.39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Dodatek č. 1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 Smlouvě o zajištění výkonu TDS č. 070/2021 - KSÚSV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9431655</wp:posOffset>
              </wp:positionV>
              <wp:extent cx="6577330" cy="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2.64999999999998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1D3864"/>
      <w:sz w:val="56"/>
      <w:szCs w:val="5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 (3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color w:val="838A91"/>
      <w:sz w:val="8"/>
      <w:szCs w:val="8"/>
      <w:u w:val="none"/>
    </w:rPr>
  </w:style>
  <w:style w:type="character" w:customStyle="1" w:styleId="CharStyle11">
    <w:name w:val="Nadpis #2_"/>
    <w:basedOn w:val="DefaultParagraphFont"/>
    <w:link w:val="Style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6">
    <w:name w:val="Základní text (2)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Titulek tabulky_"/>
    <w:basedOn w:val="DefaultParagraphFont"/>
    <w:link w:val="Style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2">
    <w:name w:val="Jiné_"/>
    <w:basedOn w:val="DefaultParagraphFont"/>
    <w:link w:val="Style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6">
    <w:name w:val="Nadpis #3_"/>
    <w:basedOn w:val="DefaultParagraphFont"/>
    <w:link w:val="Style2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ind w:left="213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D3864"/>
      <w:sz w:val="56"/>
      <w:szCs w:val="5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FFFFFF"/>
      <w:spacing w:after="160"/>
      <w:ind w:left="2500"/>
    </w:pPr>
    <w:rPr>
      <w:rFonts w:ascii="Arial" w:eastAsia="Arial" w:hAnsi="Arial" w:cs="Arial"/>
      <w:b/>
      <w:bCs/>
      <w:i w:val="0"/>
      <w:iCs w:val="0"/>
      <w:smallCaps w:val="0"/>
      <w:strike w:val="0"/>
      <w:color w:val="838A91"/>
      <w:sz w:val="8"/>
      <w:szCs w:val="8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FFFFFF"/>
      <w:spacing w:after="50" w:line="209" w:lineRule="auto"/>
      <w:ind w:left="4250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  <w:spacing w:after="2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5">
    <w:name w:val="Základní text (2)"/>
    <w:basedOn w:val="Normal"/>
    <w:link w:val="CharStyle16"/>
    <w:pPr>
      <w:widowControl w:val="0"/>
      <w:shd w:val="clear" w:color="auto" w:fill="FFFFFF"/>
      <w:ind w:left="28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1">
    <w:name w:val="Jiné"/>
    <w:basedOn w:val="Normal"/>
    <w:link w:val="CharStyle22"/>
    <w:pPr>
      <w:widowControl w:val="0"/>
      <w:shd w:val="clear" w:color="auto" w:fill="FFFFFF"/>
      <w:spacing w:after="2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5">
    <w:name w:val="Nadpis #3"/>
    <w:basedOn w:val="Normal"/>
    <w:link w:val="CharStyle26"/>
    <w:pPr>
      <w:widowControl w:val="0"/>
      <w:shd w:val="clear" w:color="auto" w:fill="FFFFFF"/>
      <w:outlineLvl w:val="2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