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D15F8" w:rsidRDefault="005D15F8">
      <w:pPr>
        <w:pStyle w:val="Nzev"/>
        <w:rPr>
          <w:rFonts w:ascii="Calibri" w:eastAsia="Calibri" w:hAnsi="Calibri" w:cs="Calibri"/>
          <w:sz w:val="32"/>
          <w:szCs w:val="32"/>
        </w:rPr>
      </w:pPr>
    </w:p>
    <w:p w14:paraId="00000002" w14:textId="77777777" w:rsidR="005D15F8" w:rsidRDefault="00E45B97">
      <w:pPr>
        <w:pStyle w:val="Nzev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Smlouva o provedení divadelního představení</w:t>
      </w:r>
    </w:p>
    <w:p w14:paraId="00000003" w14:textId="77777777" w:rsidR="005D15F8" w:rsidRDefault="00E45B97">
      <w:pPr>
        <w:pStyle w:val="Nzev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uzavřená podle § 1746 odst. 2 zákona č. 89/2012 Sb., občanský zákoník, </w:t>
      </w:r>
    </w:p>
    <w:p w14:paraId="00000004" w14:textId="77777777" w:rsidR="005D15F8" w:rsidRDefault="00E45B97">
      <w:pPr>
        <w:pStyle w:val="Nzev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ve znění pozdějších předpisů mezi těmito subjekty:</w:t>
      </w:r>
    </w:p>
    <w:p w14:paraId="00000005" w14:textId="77777777" w:rsidR="005D15F8" w:rsidRDefault="005D15F8">
      <w:pPr>
        <w:rPr>
          <w:rFonts w:ascii="Calibri" w:eastAsia="Calibri" w:hAnsi="Calibri" w:cs="Calibri"/>
          <w:sz w:val="22"/>
          <w:szCs w:val="22"/>
        </w:rPr>
      </w:pPr>
    </w:p>
    <w:p w14:paraId="00000006" w14:textId="77777777" w:rsidR="005D15F8" w:rsidRDefault="005D15F8">
      <w:pPr>
        <w:rPr>
          <w:rFonts w:ascii="Calibri" w:eastAsia="Calibri" w:hAnsi="Calibri" w:cs="Calibri"/>
          <w:sz w:val="22"/>
          <w:szCs w:val="22"/>
        </w:rPr>
      </w:pPr>
    </w:p>
    <w:p w14:paraId="00000007" w14:textId="77777777" w:rsidR="005D15F8" w:rsidRDefault="00E45B9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Smluvní strany:</w:t>
      </w:r>
    </w:p>
    <w:p w14:paraId="00000008" w14:textId="77777777" w:rsidR="005D15F8" w:rsidRDefault="005D15F8">
      <w:pPr>
        <w:rPr>
          <w:rFonts w:ascii="Calibri" w:eastAsia="Calibri" w:hAnsi="Calibri" w:cs="Calibri"/>
          <w:sz w:val="22"/>
          <w:szCs w:val="22"/>
        </w:rPr>
      </w:pPr>
    </w:p>
    <w:p w14:paraId="00000009" w14:textId="77777777" w:rsidR="005D15F8" w:rsidRDefault="00E45B9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Divadlo Josefa Kajetána Tyla, příspěvková organizace</w:t>
      </w:r>
    </w:p>
    <w:p w14:paraId="0000000A" w14:textId="77777777" w:rsidR="005D15F8" w:rsidRDefault="00E45B9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 sídlem: Palackého náměstí 2971/30, Jižní Předměstí, 301 00 Plzeň</w:t>
      </w:r>
    </w:p>
    <w:p w14:paraId="0000000B" w14:textId="77777777" w:rsidR="005D15F8" w:rsidRDefault="00E45B9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Zapsána v Obchodním rejstříku Krajského soudu v Plzni, odd. </w:t>
      </w:r>
      <w:proofErr w:type="spellStart"/>
      <w:r>
        <w:rPr>
          <w:rFonts w:ascii="Calibri" w:eastAsia="Calibri" w:hAnsi="Calibri" w:cs="Calibri"/>
          <w:sz w:val="22"/>
          <w:szCs w:val="22"/>
        </w:rPr>
        <w:t>Pr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vložka 635 </w:t>
      </w:r>
      <w:r>
        <w:rPr>
          <w:rFonts w:ascii="Calibri" w:eastAsia="Calibri" w:hAnsi="Calibri" w:cs="Calibri"/>
          <w:sz w:val="22"/>
          <w:szCs w:val="22"/>
        </w:rPr>
        <w:br/>
        <w:t>Zastoupená: doc. MgA. Martinem Otavou, Ph.D., ředitelem</w:t>
      </w:r>
    </w:p>
    <w:p w14:paraId="0000000C" w14:textId="77777777" w:rsidR="005D15F8" w:rsidRDefault="00E45B9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Kontaktní osoba: Mgr. Edita Laštovková, vedoucí obchodního útvaru, tel: 378 038 149, e-mail: </w:t>
      </w:r>
      <w:hyperlink r:id="rId8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edita.lastovkova@djkt.eu</w:t>
        </w:r>
      </w:hyperlink>
    </w:p>
    <w:p w14:paraId="0000000D" w14:textId="77777777" w:rsidR="005D15F8" w:rsidRDefault="00E45B9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IČ: 00078051</w:t>
      </w:r>
      <w:r>
        <w:rPr>
          <w:rFonts w:ascii="Calibri" w:eastAsia="Calibri" w:hAnsi="Calibri" w:cs="Calibri"/>
          <w:sz w:val="22"/>
          <w:szCs w:val="22"/>
        </w:rPr>
        <w:br/>
        <w:t>DIČ: CZ 00078051</w:t>
      </w:r>
    </w:p>
    <w:p w14:paraId="0000000E" w14:textId="77777777" w:rsidR="005D15F8" w:rsidRDefault="00E45B9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Bankovní spojení: ČSOB Plzeň</w:t>
      </w:r>
    </w:p>
    <w:p w14:paraId="0000000F" w14:textId="77777777" w:rsidR="005D15F8" w:rsidRDefault="00E45B9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Číslo účtu: 279936833/0300</w:t>
      </w:r>
    </w:p>
    <w:p w14:paraId="00000010" w14:textId="77777777" w:rsidR="005D15F8" w:rsidRDefault="00E45B9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(dále jen DJKT)</w:t>
      </w:r>
    </w:p>
    <w:p w14:paraId="00000011" w14:textId="77777777" w:rsidR="005D15F8" w:rsidRDefault="005D15F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0000012" w14:textId="77777777" w:rsidR="005D15F8" w:rsidRDefault="00E45B9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</w:p>
    <w:p w14:paraId="00000013" w14:textId="77777777" w:rsidR="005D15F8" w:rsidRDefault="005D15F8">
      <w:pPr>
        <w:rPr>
          <w:rFonts w:ascii="Calibri" w:eastAsia="Calibri" w:hAnsi="Calibri" w:cs="Calibri"/>
          <w:sz w:val="22"/>
          <w:szCs w:val="22"/>
        </w:rPr>
      </w:pPr>
    </w:p>
    <w:p w14:paraId="00000014" w14:textId="77777777" w:rsidR="005D15F8" w:rsidRDefault="00E45B9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Národní divadlo Brno, příspěvková organizace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br/>
        <w:t>Adresa: Dvořákova 11, 657 70 Brno</w:t>
      </w:r>
    </w:p>
    <w:p w14:paraId="00000015" w14:textId="77777777" w:rsidR="005D15F8" w:rsidRDefault="00E45B9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Zastoupené MgA. Martinem Glaserem, ředitelem</w:t>
      </w:r>
    </w:p>
    <w:p w14:paraId="00000016" w14:textId="77777777" w:rsidR="005D15F8" w:rsidRDefault="00E45B9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Zástupce oprávněný k jednání: MgA. Mário Radačovský, šéf uměleckého souboru baletu</w:t>
      </w:r>
    </w:p>
    <w:p w14:paraId="00000017" w14:textId="77777777" w:rsidR="005D15F8" w:rsidRDefault="00E45B9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Kontaktní osoba: MgA. Markéta Štefanová, produkce baletu, tel: 702 252 120, e-mail: </w:t>
      </w:r>
      <w:hyperlink r:id="rId9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stefanova@ndb.cz</w:t>
        </w:r>
      </w:hyperlink>
    </w:p>
    <w:p w14:paraId="00000018" w14:textId="77777777" w:rsidR="005D15F8" w:rsidRDefault="00E45B9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IČ: 00094820 </w:t>
      </w:r>
    </w:p>
    <w:p w14:paraId="00000019" w14:textId="77777777" w:rsidR="005D15F8" w:rsidRDefault="00E45B9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DIČ: CZ00094820</w:t>
      </w:r>
    </w:p>
    <w:p w14:paraId="0000001A" w14:textId="77777777" w:rsidR="005D15F8" w:rsidRDefault="00E45B97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Obch. rejstřík KS v Brně, oddíl </w:t>
      </w:r>
      <w:proofErr w:type="spellStart"/>
      <w:r>
        <w:rPr>
          <w:rFonts w:ascii="Calibri" w:eastAsia="Calibri" w:hAnsi="Calibri" w:cs="Calibri"/>
          <w:sz w:val="22"/>
          <w:szCs w:val="22"/>
        </w:rPr>
        <w:t>Pr</w:t>
      </w:r>
      <w:proofErr w:type="spellEnd"/>
      <w:r>
        <w:rPr>
          <w:rFonts w:ascii="Calibri" w:eastAsia="Calibri" w:hAnsi="Calibri" w:cs="Calibri"/>
          <w:sz w:val="22"/>
          <w:szCs w:val="22"/>
        </w:rPr>
        <w:t>., vložka 30</w:t>
      </w:r>
    </w:p>
    <w:p w14:paraId="0000001B" w14:textId="77777777" w:rsidR="005D15F8" w:rsidRDefault="00E45B9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Bankovní spojení: UniCredit Bank, účet č.: 2110126623 / 2700</w:t>
      </w:r>
    </w:p>
    <w:p w14:paraId="0000001C" w14:textId="77777777" w:rsidR="005D15F8" w:rsidRDefault="00E45B97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sz w:val="22"/>
          <w:szCs w:val="22"/>
        </w:rPr>
        <w:t xml:space="preserve">(dále jako </w:t>
      </w:r>
      <w:proofErr w:type="spellStart"/>
      <w:r>
        <w:rPr>
          <w:rFonts w:ascii="Calibri" w:eastAsia="Calibri" w:hAnsi="Calibri" w:cs="Calibri"/>
          <w:sz w:val="22"/>
          <w:szCs w:val="22"/>
        </w:rPr>
        <w:t>NdB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</w:p>
    <w:p w14:paraId="0000001D" w14:textId="77777777" w:rsidR="005D15F8" w:rsidRDefault="005D15F8">
      <w:pPr>
        <w:ind w:left="360"/>
        <w:rPr>
          <w:rFonts w:ascii="Calibri" w:eastAsia="Calibri" w:hAnsi="Calibri" w:cs="Calibri"/>
          <w:b/>
          <w:sz w:val="22"/>
          <w:szCs w:val="22"/>
        </w:rPr>
      </w:pPr>
    </w:p>
    <w:p w14:paraId="0000001E" w14:textId="77777777" w:rsidR="005D15F8" w:rsidRDefault="005D15F8">
      <w:pPr>
        <w:ind w:left="360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00001F" w14:textId="77777777" w:rsidR="005D15F8" w:rsidRDefault="00E45B97">
      <w:pPr>
        <w:ind w:left="36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I.</w:t>
      </w:r>
    </w:p>
    <w:p w14:paraId="00000020" w14:textId="77777777" w:rsidR="005D15F8" w:rsidRDefault="00E45B97">
      <w:pPr>
        <w:ind w:left="36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Předmět smlouvy</w:t>
      </w:r>
    </w:p>
    <w:p w14:paraId="00000021" w14:textId="77777777" w:rsidR="005D15F8" w:rsidRDefault="00E45B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DJKT odehraje pro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NdB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 rámci festivalu DANCE BRNO 2021 jedno představení baletu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„Vyhoďme ho z kola ven“</w:t>
      </w:r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v choreografii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Dustina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Kleina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s reprodukovanou nahrávkou,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dne 18. 10. 2021 v 19 hodin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 Mahenově divadle v Brně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. </w:t>
      </w:r>
    </w:p>
    <w:p w14:paraId="00000022" w14:textId="77777777" w:rsidR="005D15F8" w:rsidRDefault="00E45B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NdB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se zavazuje zaplatit hostujícímu souboru odměnu za výše uvedenou inscenaci v souladu s touto smlouvou.</w:t>
      </w:r>
    </w:p>
    <w:p w14:paraId="00000023" w14:textId="77777777" w:rsidR="005D15F8" w:rsidRDefault="00E45B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DJKT poskytuje svá plnění z této smlouvy na vlastní náklady a odpovědnost.</w:t>
      </w:r>
    </w:p>
    <w:p w14:paraId="00000024" w14:textId="77777777" w:rsidR="005D15F8" w:rsidRDefault="005D15F8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25" w14:textId="77777777" w:rsidR="005D15F8" w:rsidRDefault="005D15F8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000026" w14:textId="77777777" w:rsidR="005D15F8" w:rsidRDefault="00E45B97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II.</w:t>
      </w:r>
    </w:p>
    <w:p w14:paraId="00000027" w14:textId="77777777" w:rsidR="005D15F8" w:rsidRDefault="00E45B97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Cena a platební podmínky</w:t>
      </w:r>
    </w:p>
    <w:p w14:paraId="00000028" w14:textId="77777777" w:rsidR="005D15F8" w:rsidRDefault="00E45B9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 provedené představení uhradí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NdB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ve prospěch DJKT sjednanou odměnu ve výši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120 000,- Kč osvobozeno od DPH dle § 61 písm. e) zákona č. 235/2004 Sb.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Náklady spojené s hostováním zejména </w:t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náklady na dopravu a ubytování souboru, přepravu dekorací a kostýmů, diety, autorská, hudební práva a autorské odměny vztahující se k výše uvedenému představení hradí DJKT.</w:t>
      </w:r>
    </w:p>
    <w:p w14:paraId="00000029" w14:textId="77777777" w:rsidR="005D15F8" w:rsidRDefault="00E45B9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584"/>
          <w:tab w:val="left" w:pos="9216"/>
          <w:tab w:val="left" w:pos="783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Odměna za představení bude uhrazena DJKT na základě faktury vystavené po provedeném představení. Splatnost faktury bude 14 dnů od doručení faktury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NdB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Smlouva je podmíněna tím, že DJKT pro případ odeslání faktury e-mailem akceptuje svoji povinnost si nechat potvrdit doručení faktury ze strany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NdB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 tím, že v opačném případě platí, že taková faktura nebyla doručena a současně se zavazuje nahradit škodu vzniklou porušením tohoto závazku. Za potvrzení doručení faktury se pro účely určení obsahu ujednání nepovažuje automatizované potvrzení o doručení emailu na server příjemce, pokud si odesílatel takové potvrzení sám vyžádal v prostředí, které využívá k odesílání elektronické pošty.</w:t>
      </w:r>
    </w:p>
    <w:p w14:paraId="0000002A" w14:textId="77777777" w:rsidR="005D15F8" w:rsidRDefault="00E45B9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584"/>
          <w:tab w:val="left" w:pos="9216"/>
          <w:tab w:val="left" w:pos="783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Tržby za představení náleží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NdB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0000002B" w14:textId="77777777" w:rsidR="005D15F8" w:rsidRDefault="00E45B9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584"/>
          <w:tab w:val="left" w:pos="9216"/>
          <w:tab w:val="left" w:pos="783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NdB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poskytne DJKT 5 ks volných vstupenek na představení dle Čl. I.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 za účelem kontroly plnění podle smlouvy.</w:t>
      </w:r>
    </w:p>
    <w:p w14:paraId="0000002C" w14:textId="77777777" w:rsidR="005D15F8" w:rsidRDefault="005D15F8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2D" w14:textId="77777777" w:rsidR="005D15F8" w:rsidRDefault="00E45B97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III.</w:t>
      </w:r>
    </w:p>
    <w:p w14:paraId="0000002E" w14:textId="77777777" w:rsidR="005D15F8" w:rsidRDefault="00E45B97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Povinnosti smluvních stran</w:t>
      </w:r>
    </w:p>
    <w:p w14:paraId="0000002F" w14:textId="77777777" w:rsidR="005D15F8" w:rsidRDefault="00E45B97">
      <w:pPr>
        <w:numPr>
          <w:ilvl w:val="0"/>
          <w:numId w:val="1"/>
        </w:numPr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Povinnosti </w:t>
      </w:r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</w:rPr>
        <w:t>NdB</w:t>
      </w:r>
      <w:proofErr w:type="spellEnd"/>
      <w:r>
        <w:rPr>
          <w:rFonts w:ascii="Calibri" w:eastAsia="Calibri" w:hAnsi="Calibri" w:cs="Calibri"/>
          <w:b/>
          <w:sz w:val="22"/>
          <w:szCs w:val="22"/>
          <w:u w:val="single"/>
        </w:rPr>
        <w:t>:</w:t>
      </w:r>
    </w:p>
    <w:p w14:paraId="00000030" w14:textId="77777777" w:rsidR="005D15F8" w:rsidRDefault="00E45B9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NdB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zajistí organizační a technické podmínky pro technickou přípravu, zkoušku a provedení divadelního představení na scéně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Mahenova divadla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 Brně (bude upřesněno harmonogramem, dohodnutým oběma stranami před začátkem akce):</w:t>
      </w:r>
    </w:p>
    <w:p w14:paraId="00000031" w14:textId="77777777" w:rsidR="005D15F8" w:rsidRDefault="00E45B97">
      <w:pPr>
        <w:ind w:left="709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dne </w:t>
      </w:r>
      <w:r>
        <w:rPr>
          <w:rFonts w:ascii="Calibri" w:eastAsia="Calibri" w:hAnsi="Calibri" w:cs="Calibri"/>
          <w:b/>
          <w:sz w:val="22"/>
          <w:szCs w:val="22"/>
        </w:rPr>
        <w:t>17. 10. 2021:</w:t>
      </w:r>
    </w:p>
    <w:p w14:paraId="00000032" w14:textId="77777777" w:rsidR="005D15F8" w:rsidRDefault="00E45B9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technická a světelná příprava – od cca 17:00 do 22:00,</w:t>
      </w:r>
    </w:p>
    <w:p w14:paraId="00000033" w14:textId="77777777" w:rsidR="005D15F8" w:rsidRDefault="00E45B97">
      <w:pPr>
        <w:ind w:left="709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dne </w:t>
      </w:r>
      <w:r>
        <w:rPr>
          <w:rFonts w:ascii="Calibri" w:eastAsia="Calibri" w:hAnsi="Calibri" w:cs="Calibri"/>
          <w:b/>
          <w:sz w:val="22"/>
          <w:szCs w:val="22"/>
        </w:rPr>
        <w:t>18. 10. 2021:</w:t>
      </w:r>
    </w:p>
    <w:p w14:paraId="00000034" w14:textId="77777777" w:rsidR="005D15F8" w:rsidRDefault="00E45B97">
      <w:pPr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zkoušky a představení – od 8.00 do 22:00,</w:t>
      </w:r>
    </w:p>
    <w:p w14:paraId="00000035" w14:textId="77777777" w:rsidR="005D15F8" w:rsidRDefault="00E45B97">
      <w:pPr>
        <w:numPr>
          <w:ilvl w:val="0"/>
          <w:numId w:val="3"/>
        </w:numPr>
        <w:ind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poskytne divadelní prostor schopný produkce, včetně jeviště a šaten (pro tanečníky, baletní mistry a </w:t>
      </w:r>
      <w:proofErr w:type="spellStart"/>
      <w:r>
        <w:rPr>
          <w:rFonts w:ascii="Calibri" w:eastAsia="Calibri" w:hAnsi="Calibri" w:cs="Calibri"/>
          <w:sz w:val="22"/>
          <w:szCs w:val="22"/>
        </w:rPr>
        <w:t>inspici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techniku, garderobu a maskérky),                     </w:t>
      </w:r>
    </w:p>
    <w:p w14:paraId="00000036" w14:textId="77777777" w:rsidR="005D15F8" w:rsidRDefault="00E45B97">
      <w:pPr>
        <w:numPr>
          <w:ilvl w:val="0"/>
          <w:numId w:val="3"/>
        </w:numPr>
        <w:ind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umožní parkování pro jeden kamion a jedno osobní vozidlo (17. 10. – 18. 10. 2021) po dobu přípravy za účelem vyložení a naložení techniky a dekorací potřebných pro realizaci představení,</w:t>
      </w:r>
    </w:p>
    <w:p w14:paraId="00000037" w14:textId="77777777" w:rsidR="005D15F8" w:rsidRDefault="00E45B97">
      <w:pPr>
        <w:numPr>
          <w:ilvl w:val="0"/>
          <w:numId w:val="3"/>
        </w:numPr>
        <w:ind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umožní parkování pro jeden autobus (17. 10. – 18. 10. 2021) pro hostující soubor,</w:t>
      </w:r>
    </w:p>
    <w:p w14:paraId="00000038" w14:textId="77777777" w:rsidR="005D15F8" w:rsidRDefault="00E45B97">
      <w:pPr>
        <w:numPr>
          <w:ilvl w:val="0"/>
          <w:numId w:val="3"/>
        </w:numPr>
        <w:ind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zabezpečení požadavků osvětlení / jevištní techniky divadla, v souladu s technickými a technologickými možnostmi </w:t>
      </w:r>
      <w:proofErr w:type="spellStart"/>
      <w:r>
        <w:rPr>
          <w:rFonts w:ascii="Calibri" w:eastAsia="Calibri" w:hAnsi="Calibri" w:cs="Calibri"/>
          <w:sz w:val="22"/>
          <w:szCs w:val="22"/>
        </w:rPr>
        <w:t>NdB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</w:p>
    <w:p w14:paraId="00000039" w14:textId="77777777" w:rsidR="005D15F8" w:rsidRDefault="00E45B97">
      <w:pPr>
        <w:numPr>
          <w:ilvl w:val="0"/>
          <w:numId w:val="3"/>
        </w:numPr>
        <w:ind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poskytne potřebného počtu osob pro obsluhu jevištní techniky,</w:t>
      </w:r>
    </w:p>
    <w:p w14:paraId="0000003A" w14:textId="77777777" w:rsidR="005D15F8" w:rsidRDefault="00E45B97">
      <w:pPr>
        <w:numPr>
          <w:ilvl w:val="0"/>
          <w:numId w:val="3"/>
        </w:numPr>
        <w:ind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zajistí vodu 1,5 l pro každého z tanečníků a techniky a drobné občerstvení do šaten tanečníků.</w:t>
      </w:r>
    </w:p>
    <w:p w14:paraId="0000003B" w14:textId="77777777" w:rsidR="005D15F8" w:rsidRDefault="00E45B9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NdB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se zavazuje provést propagaci výše uvedené inscenace. DJKT co nejdříve poskytne materiály, které mají být použity pro tyto účely. </w:t>
      </w:r>
    </w:p>
    <w:p w14:paraId="0000003C" w14:textId="3C12814C" w:rsidR="005D15F8" w:rsidRDefault="00E45B9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NdB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si vyhrazuje právo použít k propagaci inscenace svůj vlastní vizuální styl, spojený s celkovou propagací festivalu DANCE BRNO 2021. Všechny propagační materiály budou zaslány DJKT před zveřejněním ke schválení.</w:t>
      </w:r>
    </w:p>
    <w:p w14:paraId="2CF7053F" w14:textId="2B64D316" w:rsidR="00A54B3E" w:rsidRPr="000B460A" w:rsidRDefault="00A54B3E" w:rsidP="00A54B3E">
      <w:pPr>
        <w:pStyle w:val="Odstavecseseznamem"/>
        <w:numPr>
          <w:ilvl w:val="0"/>
          <w:numId w:val="6"/>
        </w:numPr>
      </w:pPr>
      <w:proofErr w:type="spellStart"/>
      <w:r w:rsidRPr="000B460A">
        <w:rPr>
          <w:rFonts w:asciiTheme="minorHAnsi" w:eastAsia="Calibri" w:hAnsiTheme="minorHAnsi" w:cstheme="minorHAnsi"/>
          <w:color w:val="000000"/>
          <w:sz w:val="22"/>
          <w:szCs w:val="22"/>
        </w:rPr>
        <w:t>NdB</w:t>
      </w:r>
      <w:proofErr w:type="spellEnd"/>
      <w:r w:rsidRPr="000B460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se zavazuje poskytnout DJKT potřebné informace za účelem úhrady poplatků autorských práv. Dále se </w:t>
      </w:r>
      <w:proofErr w:type="spellStart"/>
      <w:r w:rsidRPr="000B460A">
        <w:rPr>
          <w:rFonts w:asciiTheme="minorHAnsi" w:eastAsia="Calibri" w:hAnsiTheme="minorHAnsi" w:cstheme="minorHAnsi"/>
          <w:color w:val="000000"/>
          <w:sz w:val="22"/>
          <w:szCs w:val="22"/>
        </w:rPr>
        <w:t>NdB</w:t>
      </w:r>
      <w:proofErr w:type="spellEnd"/>
      <w:r w:rsidRPr="000B460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zavazuje umožnit DILIA kontrolu účetních dokladů za účelem ověření správnosti hlášení, uvést v každém divadelním programu vydanému k dílu informaci: „</w:t>
      </w:r>
      <w:r w:rsidRPr="000B460A">
        <w:rPr>
          <w:rFonts w:asciiTheme="minorHAnsi" w:hAnsiTheme="minorHAnsi" w:cstheme="minorHAnsi"/>
          <w:sz w:val="22"/>
          <w:szCs w:val="22"/>
        </w:rPr>
        <w:t xml:space="preserve">Nositele autorských práv k dílu zastupuje DILIA, divadelní, literární, audiovizuální agentura </w:t>
      </w:r>
      <w:proofErr w:type="spellStart"/>
      <w:r w:rsidRPr="000B460A">
        <w:rPr>
          <w:rFonts w:asciiTheme="minorHAnsi" w:hAnsiTheme="minorHAnsi" w:cstheme="minorHAnsi"/>
          <w:sz w:val="22"/>
          <w:szCs w:val="22"/>
        </w:rPr>
        <w:t>z.s</w:t>
      </w:r>
      <w:proofErr w:type="spellEnd"/>
      <w:r w:rsidRPr="000B460A">
        <w:rPr>
          <w:rFonts w:asciiTheme="minorHAnsi" w:hAnsiTheme="minorHAnsi" w:cstheme="minorHAnsi"/>
          <w:sz w:val="22"/>
          <w:szCs w:val="22"/>
        </w:rPr>
        <w:t xml:space="preserve">., Krátkého 1, Praha 9“, použít původní název „Vyhoďme ho z kola ven.“, název titulu 100% velikosti písma, jméno </w:t>
      </w:r>
      <w:proofErr w:type="spellStart"/>
      <w:r w:rsidRPr="000B460A">
        <w:rPr>
          <w:rFonts w:asciiTheme="minorHAnsi" w:hAnsiTheme="minorHAnsi" w:cstheme="minorHAnsi"/>
          <w:sz w:val="22"/>
          <w:szCs w:val="22"/>
        </w:rPr>
        <w:t>Dalea</w:t>
      </w:r>
      <w:proofErr w:type="spellEnd"/>
      <w:r w:rsidRPr="000B460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B460A">
        <w:rPr>
          <w:rFonts w:asciiTheme="minorHAnsi" w:hAnsiTheme="minorHAnsi" w:cstheme="minorHAnsi"/>
          <w:sz w:val="22"/>
          <w:szCs w:val="22"/>
        </w:rPr>
        <w:t>Wassermana</w:t>
      </w:r>
      <w:proofErr w:type="spellEnd"/>
      <w:r w:rsidRPr="000B460A">
        <w:rPr>
          <w:rFonts w:asciiTheme="minorHAnsi" w:hAnsiTheme="minorHAnsi" w:cstheme="minorHAnsi"/>
          <w:sz w:val="22"/>
          <w:szCs w:val="22"/>
        </w:rPr>
        <w:t xml:space="preserve"> 75%, jméno </w:t>
      </w:r>
      <w:proofErr w:type="spellStart"/>
      <w:r w:rsidRPr="000B460A">
        <w:rPr>
          <w:rFonts w:asciiTheme="minorHAnsi" w:hAnsiTheme="minorHAnsi" w:cstheme="minorHAnsi"/>
          <w:sz w:val="22"/>
          <w:szCs w:val="22"/>
        </w:rPr>
        <w:t>Kena</w:t>
      </w:r>
      <w:proofErr w:type="spellEnd"/>
      <w:r w:rsidRPr="000B460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B460A">
        <w:rPr>
          <w:rFonts w:asciiTheme="minorHAnsi" w:hAnsiTheme="minorHAnsi" w:cstheme="minorHAnsi"/>
          <w:sz w:val="22"/>
          <w:szCs w:val="22"/>
        </w:rPr>
        <w:t>Keseyho</w:t>
      </w:r>
      <w:proofErr w:type="spellEnd"/>
      <w:r w:rsidRPr="000B460A">
        <w:rPr>
          <w:rFonts w:asciiTheme="minorHAnsi" w:hAnsiTheme="minorHAnsi" w:cstheme="minorHAnsi"/>
          <w:sz w:val="22"/>
          <w:szCs w:val="22"/>
        </w:rPr>
        <w:t xml:space="preserve"> 35%., a také uvést, že představení vychází ze hry </w:t>
      </w:r>
      <w:proofErr w:type="spellStart"/>
      <w:r w:rsidRPr="000B460A">
        <w:rPr>
          <w:rFonts w:asciiTheme="minorHAnsi" w:hAnsiTheme="minorHAnsi" w:cstheme="minorHAnsi"/>
          <w:sz w:val="22"/>
          <w:szCs w:val="22"/>
        </w:rPr>
        <w:t>Dalea</w:t>
      </w:r>
      <w:proofErr w:type="spellEnd"/>
      <w:r w:rsidRPr="000B460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B460A">
        <w:rPr>
          <w:rFonts w:asciiTheme="minorHAnsi" w:hAnsiTheme="minorHAnsi" w:cstheme="minorHAnsi"/>
          <w:sz w:val="22"/>
          <w:szCs w:val="22"/>
        </w:rPr>
        <w:t>Wassermana</w:t>
      </w:r>
      <w:proofErr w:type="spellEnd"/>
      <w:r w:rsidRPr="000B460A">
        <w:rPr>
          <w:rFonts w:asciiTheme="minorHAnsi" w:hAnsiTheme="minorHAnsi" w:cstheme="minorHAnsi"/>
          <w:sz w:val="22"/>
          <w:szCs w:val="22"/>
        </w:rPr>
        <w:t xml:space="preserve">, která vznikla na základě románu </w:t>
      </w:r>
      <w:proofErr w:type="spellStart"/>
      <w:r w:rsidRPr="000B460A">
        <w:rPr>
          <w:rFonts w:asciiTheme="minorHAnsi" w:hAnsiTheme="minorHAnsi" w:cstheme="minorHAnsi"/>
          <w:sz w:val="22"/>
          <w:szCs w:val="22"/>
        </w:rPr>
        <w:t>Kena</w:t>
      </w:r>
      <w:proofErr w:type="spellEnd"/>
      <w:r w:rsidRPr="000B460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B460A">
        <w:rPr>
          <w:rFonts w:asciiTheme="minorHAnsi" w:hAnsiTheme="minorHAnsi" w:cstheme="minorHAnsi"/>
          <w:sz w:val="22"/>
          <w:szCs w:val="22"/>
        </w:rPr>
        <w:t>Keseyho</w:t>
      </w:r>
      <w:proofErr w:type="spellEnd"/>
      <w:r w:rsidRPr="000B460A">
        <w:rPr>
          <w:rFonts w:asciiTheme="minorHAnsi" w:hAnsiTheme="minorHAnsi" w:cstheme="minorHAnsi"/>
          <w:sz w:val="22"/>
          <w:szCs w:val="22"/>
        </w:rPr>
        <w:t>.</w:t>
      </w:r>
    </w:p>
    <w:p w14:paraId="0000003D" w14:textId="77777777" w:rsidR="005D15F8" w:rsidRDefault="005D15F8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E" w14:textId="77777777" w:rsidR="005D15F8" w:rsidRDefault="00E45B97">
      <w:pPr>
        <w:numPr>
          <w:ilvl w:val="0"/>
          <w:numId w:val="1"/>
        </w:numPr>
        <w:spacing w:before="1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Povinnosti DJKT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0000003F" w14:textId="77777777" w:rsidR="005D15F8" w:rsidRDefault="00E45B97">
      <w:pPr>
        <w:numPr>
          <w:ilvl w:val="0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DJKT se zavazuje provést představení v dohodnutém termínu a v plné umělecké a technické úrovni, odpovídající možnostem vybavení jeviště v místě konání představení dle čl. I. smlouvy.</w:t>
      </w:r>
    </w:p>
    <w:p w14:paraId="00000040" w14:textId="77777777" w:rsidR="005D15F8" w:rsidRDefault="00E45B97">
      <w:pPr>
        <w:numPr>
          <w:ilvl w:val="0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Šatny, které bude mít DJKT k dispozici, jsou uzamykatelné. Vedení DJKT je povinno poučit účinkující o nutnosti dbát na řádné uzamykání šaten, což je předpokladem pro předcházení riziku případných krádeží. </w:t>
      </w:r>
      <w:proofErr w:type="spellStart"/>
      <w:r>
        <w:rPr>
          <w:rFonts w:ascii="Calibri" w:eastAsia="Calibri" w:hAnsi="Calibri" w:cs="Calibri"/>
          <w:sz w:val="22"/>
          <w:szCs w:val="22"/>
        </w:rPr>
        <w:t>NdB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nenese zodpovědnost za případné krádeže v šatnách a prostorách šaten, pokud nebudou zamknuté.</w:t>
      </w:r>
    </w:p>
    <w:p w14:paraId="00000041" w14:textId="77777777" w:rsidR="005D15F8" w:rsidRDefault="00E45B97">
      <w:pPr>
        <w:numPr>
          <w:ilvl w:val="0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DJKT je povinno dbát na bezpečnost věcí a ostatních zařízení, které budou v souvislosti divadelním představení přineseny do divadelních prostor </w:t>
      </w:r>
      <w:proofErr w:type="spellStart"/>
      <w:r>
        <w:rPr>
          <w:rFonts w:ascii="Calibri" w:eastAsia="Calibri" w:hAnsi="Calibri" w:cs="Calibri"/>
          <w:sz w:val="22"/>
          <w:szCs w:val="22"/>
        </w:rPr>
        <w:t>NdB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a bere na vědomí, že </w:t>
      </w:r>
      <w:proofErr w:type="spellStart"/>
      <w:r>
        <w:rPr>
          <w:rFonts w:ascii="Calibri" w:eastAsia="Calibri" w:hAnsi="Calibri" w:cs="Calibri"/>
          <w:sz w:val="22"/>
          <w:szCs w:val="22"/>
        </w:rPr>
        <w:t>NdB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nenese žádnou odpovědnost za případné škody na těchto věcech, pokud tyto nebudou způsobeny v souvislosti s činností </w:t>
      </w:r>
      <w:proofErr w:type="spellStart"/>
      <w:r>
        <w:rPr>
          <w:rFonts w:ascii="Calibri" w:eastAsia="Calibri" w:hAnsi="Calibri" w:cs="Calibri"/>
          <w:sz w:val="22"/>
          <w:szCs w:val="22"/>
        </w:rPr>
        <w:t>NdB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00000042" w14:textId="77777777" w:rsidR="005D15F8" w:rsidRDefault="00E45B97">
      <w:pPr>
        <w:numPr>
          <w:ilvl w:val="0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DJKT se současně zavazuje zajistit prostřednictvím svého odpovědného pracovníka školení všech pracovníků a umělců hostujícího uměl. souboru dle přílohy č. 1. Za tím účelem se stává Příloha č. 1 „Školení požární ochrany a bezpečnosti práce pro hostující umělecké soubory v Národním divadle Brno, příspěvková organizace, Dvořákova 11, 657 70 Brno“ nedílnou součástí této smlouvy.</w:t>
      </w:r>
    </w:p>
    <w:p w14:paraId="00000043" w14:textId="77777777" w:rsidR="005D15F8" w:rsidRDefault="00E45B97">
      <w:pPr>
        <w:numPr>
          <w:ilvl w:val="0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DJKT přiveze vlastní programy, které bude </w:t>
      </w:r>
      <w:proofErr w:type="spellStart"/>
      <w:r>
        <w:rPr>
          <w:rFonts w:ascii="Calibri" w:eastAsia="Calibri" w:hAnsi="Calibri" w:cs="Calibri"/>
          <w:sz w:val="22"/>
          <w:szCs w:val="22"/>
        </w:rPr>
        <w:t>NdB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prodávat za předem dohodnutou cenu. Tržba z programů náleží DJKT a bude od </w:t>
      </w:r>
      <w:proofErr w:type="spellStart"/>
      <w:r>
        <w:rPr>
          <w:rFonts w:ascii="Calibri" w:eastAsia="Calibri" w:hAnsi="Calibri" w:cs="Calibri"/>
          <w:sz w:val="22"/>
          <w:szCs w:val="22"/>
        </w:rPr>
        <w:t>NdB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předána současně s neprodanými programy hotově po představení.</w:t>
      </w:r>
    </w:p>
    <w:p w14:paraId="00000044" w14:textId="77777777" w:rsidR="005D15F8" w:rsidRDefault="00E45B97">
      <w:pPr>
        <w:numPr>
          <w:ilvl w:val="0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DJKT poskytne bezplatně 5 ks programů k uložení do archivu </w:t>
      </w:r>
      <w:proofErr w:type="spellStart"/>
      <w:r>
        <w:rPr>
          <w:rFonts w:ascii="Calibri" w:eastAsia="Calibri" w:hAnsi="Calibri" w:cs="Calibri"/>
          <w:sz w:val="22"/>
          <w:szCs w:val="22"/>
        </w:rPr>
        <w:t>NdB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00000045" w14:textId="77777777" w:rsidR="005D15F8" w:rsidRDefault="005D15F8">
      <w:pPr>
        <w:rPr>
          <w:rFonts w:ascii="Calibri" w:eastAsia="Calibri" w:hAnsi="Calibri" w:cs="Calibri"/>
          <w:sz w:val="22"/>
          <w:szCs w:val="22"/>
        </w:rPr>
      </w:pPr>
    </w:p>
    <w:p w14:paraId="00000046" w14:textId="77777777" w:rsidR="005D15F8" w:rsidRDefault="00E45B97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IV.</w:t>
      </w:r>
    </w:p>
    <w:p w14:paraId="00000047" w14:textId="77777777" w:rsidR="005D15F8" w:rsidRDefault="00E45B97">
      <w:pPr>
        <w:tabs>
          <w:tab w:val="left" w:pos="720"/>
        </w:tabs>
        <w:ind w:left="36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Nekonání a zrušení představení</w:t>
      </w:r>
    </w:p>
    <w:p w14:paraId="00000048" w14:textId="77777777" w:rsidR="005D15F8" w:rsidRDefault="00E45B97">
      <w:pPr>
        <w:numPr>
          <w:ilvl w:val="0"/>
          <w:numId w:val="5"/>
        </w:numPr>
        <w:tabs>
          <w:tab w:val="left" w:pos="108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Zrušení představení z vyšší moci (nepředvídatelná, přírodní katastrofa, úřední </w:t>
      </w:r>
      <w:proofErr w:type="gramStart"/>
      <w:r>
        <w:rPr>
          <w:rFonts w:ascii="Calibri" w:eastAsia="Calibri" w:hAnsi="Calibri" w:cs="Calibri"/>
          <w:sz w:val="22"/>
          <w:szCs w:val="22"/>
        </w:rPr>
        <w:t>zákaz,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atd.) dávají oběma stranám právo, po včasném, průkazném vyrozumění, od smlouvy odstoupit, nebo změnit její podmínky, a to bez jakýchkoli nároků na finanční úhradu škody.</w:t>
      </w:r>
    </w:p>
    <w:p w14:paraId="00000049" w14:textId="77777777" w:rsidR="005D15F8" w:rsidRDefault="00E45B97">
      <w:pPr>
        <w:numPr>
          <w:ilvl w:val="0"/>
          <w:numId w:val="5"/>
        </w:numPr>
        <w:tabs>
          <w:tab w:val="left" w:pos="108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berou na vědomí, že při realizaci baletních představení můžou vznikat situace způsobené následky „vis maior“ (např. omezení nebo zrušení představení vlivem vyhlášeného nouzového stavu, opatření k omezení epidemie nebo pandemie, povětrnostních podmínek, počasí, vandalské činy, stávka, hrozba teroristického činu apod.). V takovém případě se smluvní strany dohodnou na způsobu případných řešení podle reálných podmínek v daném případě (situaci).</w:t>
      </w:r>
    </w:p>
    <w:p w14:paraId="0000004A" w14:textId="77777777" w:rsidR="005D15F8" w:rsidRDefault="00E45B97">
      <w:pPr>
        <w:numPr>
          <w:ilvl w:val="0"/>
          <w:numId w:val="5"/>
        </w:numPr>
        <w:tabs>
          <w:tab w:val="left" w:pos="108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Odřekne-li </w:t>
      </w:r>
      <w:proofErr w:type="spellStart"/>
      <w:r>
        <w:rPr>
          <w:rFonts w:ascii="Calibri" w:eastAsia="Calibri" w:hAnsi="Calibri" w:cs="Calibri"/>
          <w:sz w:val="22"/>
          <w:szCs w:val="22"/>
        </w:rPr>
        <w:t>NdB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vystoupení (kromě důvodů uvedených v odstavci 1. nebo 2.) později, než 14 dnů před termínem představení dle Čl. I. smlouvy, je povinen uhradit DJKT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prokazatelné výlohy a škody spojené s přípravou vystoupení, jestli takové DJKT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vznikly.</w:t>
      </w:r>
    </w:p>
    <w:p w14:paraId="0000004B" w14:textId="77777777" w:rsidR="005D15F8" w:rsidRDefault="00E45B97">
      <w:pPr>
        <w:numPr>
          <w:ilvl w:val="0"/>
          <w:numId w:val="5"/>
        </w:numPr>
        <w:tabs>
          <w:tab w:val="left" w:pos="108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Odřekne-li vystoupení DJKT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(kromě důvodů uvedených v odstavci 1. nebo 2.) později, než 14 dnů před termínem představení dle Čl. I. smlouvy, je povinno uhradit </w:t>
      </w:r>
      <w:proofErr w:type="spellStart"/>
      <w:r>
        <w:rPr>
          <w:rFonts w:ascii="Calibri" w:eastAsia="Calibri" w:hAnsi="Calibri" w:cs="Calibri"/>
          <w:sz w:val="22"/>
          <w:szCs w:val="22"/>
        </w:rPr>
        <w:t>NdB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prokazatelné výlohy a škody spojené s přípravou vystoupení.</w:t>
      </w:r>
    </w:p>
    <w:p w14:paraId="0000004C" w14:textId="77777777" w:rsidR="005D15F8" w:rsidRDefault="00E45B97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V. </w:t>
      </w:r>
    </w:p>
    <w:p w14:paraId="0000004D" w14:textId="77777777" w:rsidR="005D15F8" w:rsidRDefault="00E45B97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Závěrečná ustanovení</w:t>
      </w:r>
    </w:p>
    <w:p w14:paraId="0000004E" w14:textId="77777777" w:rsidR="005D15F8" w:rsidRDefault="00E45B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Tato smlouva vstupuje v platnost dnem podpisu oběma smluvními stranami.</w:t>
      </w:r>
    </w:p>
    <w:p w14:paraId="0000004F" w14:textId="77777777" w:rsidR="005D15F8" w:rsidRDefault="00E45B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Obě smluvní strany berou na vědomí, že smlouva nabývá účinnosti teprve jejím uveřejněním v registru smluv podle zákona č. 340/2015 Sb. (zákon o registru smluv) a souhlasí s uveřejněním této smlouvy v registru smluv v úplném znění. </w:t>
      </w:r>
    </w:p>
    <w:p w14:paraId="00000050" w14:textId="77777777" w:rsidR="005D15F8" w:rsidRDefault="00E45B97">
      <w:pPr>
        <w:numPr>
          <w:ilvl w:val="0"/>
          <w:numId w:val="2"/>
        </w:numPr>
        <w:ind w:left="357" w:hanging="3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Smlouvu lze měnit a doplňovat pouze písemnými, postupně číslovanými dodatky, podepsanými oběma smluvními stranami.</w:t>
      </w:r>
    </w:p>
    <w:p w14:paraId="00000051" w14:textId="77777777" w:rsidR="005D15F8" w:rsidRDefault="00E45B97">
      <w:pPr>
        <w:numPr>
          <w:ilvl w:val="0"/>
          <w:numId w:val="2"/>
        </w:numPr>
        <w:ind w:left="357" w:hanging="3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Tato smlouva je vyhotovena ve dvou exemplářích, přičemž každá smluvní strana obdrží jedno vyhotovení.</w:t>
      </w:r>
    </w:p>
    <w:p w14:paraId="00000052" w14:textId="77777777" w:rsidR="005D15F8" w:rsidRDefault="00E45B97">
      <w:pPr>
        <w:numPr>
          <w:ilvl w:val="0"/>
          <w:numId w:val="2"/>
        </w:numPr>
        <w:ind w:left="357" w:hanging="3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 důkaz souhlasu s obsahem této dohody připojují smluvní strany své podpisy.</w:t>
      </w:r>
    </w:p>
    <w:p w14:paraId="00000053" w14:textId="77777777" w:rsidR="005D15F8" w:rsidRDefault="005D15F8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54" w14:textId="77777777" w:rsidR="005D15F8" w:rsidRDefault="00E45B9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Seznam příloh:</w:t>
      </w:r>
    </w:p>
    <w:p w14:paraId="00000055" w14:textId="5602BB26" w:rsidR="005D15F8" w:rsidRDefault="00E45B9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Příloha č. 1: Školení požární ochrany a bezpečnosti práce pro hostující umělecké soubory v Národním divadle Brno, příspěvková organizace, Dvořákova 11, 657 70 Brno</w:t>
      </w:r>
    </w:p>
    <w:p w14:paraId="41D27792" w14:textId="424202EA" w:rsidR="00A54B3E" w:rsidRDefault="00A54B3E">
      <w:pPr>
        <w:rPr>
          <w:rFonts w:ascii="Calibri" w:eastAsia="Calibri" w:hAnsi="Calibri" w:cs="Calibri"/>
          <w:sz w:val="22"/>
          <w:szCs w:val="22"/>
        </w:rPr>
      </w:pPr>
    </w:p>
    <w:p w14:paraId="7976B3E7" w14:textId="59E0B082" w:rsidR="00A54B3E" w:rsidRDefault="00A54B3E">
      <w:pPr>
        <w:rPr>
          <w:rFonts w:ascii="Calibri" w:eastAsia="Calibri" w:hAnsi="Calibri" w:cs="Calibri"/>
          <w:sz w:val="22"/>
          <w:szCs w:val="22"/>
        </w:rPr>
      </w:pPr>
    </w:p>
    <w:p w14:paraId="1BE0545A" w14:textId="0810D478" w:rsidR="00A54B3E" w:rsidRDefault="00A54B3E">
      <w:pPr>
        <w:rPr>
          <w:rFonts w:ascii="Calibri" w:eastAsia="Calibri" w:hAnsi="Calibri" w:cs="Calibri"/>
          <w:sz w:val="22"/>
          <w:szCs w:val="22"/>
        </w:rPr>
      </w:pPr>
    </w:p>
    <w:p w14:paraId="08B3B5EC" w14:textId="77777777" w:rsidR="00A54B3E" w:rsidRDefault="00A54B3E">
      <w:pPr>
        <w:rPr>
          <w:rFonts w:ascii="Calibri" w:eastAsia="Calibri" w:hAnsi="Calibri" w:cs="Calibri"/>
          <w:sz w:val="22"/>
          <w:szCs w:val="22"/>
        </w:rPr>
      </w:pPr>
    </w:p>
    <w:p w14:paraId="00000056" w14:textId="77777777" w:rsidR="005D15F8" w:rsidRDefault="005D15F8">
      <w:pPr>
        <w:rPr>
          <w:rFonts w:ascii="Calibri" w:eastAsia="Calibri" w:hAnsi="Calibri" w:cs="Calibri"/>
          <w:sz w:val="22"/>
          <w:szCs w:val="22"/>
        </w:rPr>
      </w:pPr>
    </w:p>
    <w:p w14:paraId="00000057" w14:textId="77777777" w:rsidR="005D15F8" w:rsidRDefault="00E45B97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 xml:space="preserve">V Plzni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dne:  </w:t>
      </w:r>
      <w:r>
        <w:rPr>
          <w:rFonts w:ascii="Calibri" w:eastAsia="Calibri" w:hAnsi="Calibri" w:cs="Calibri"/>
          <w:b/>
          <w:sz w:val="22"/>
          <w:szCs w:val="22"/>
        </w:rPr>
        <w:tab/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V Brně dne:</w:t>
      </w:r>
    </w:p>
    <w:p w14:paraId="00000058" w14:textId="77777777" w:rsidR="005D15F8" w:rsidRDefault="005D15F8">
      <w:pPr>
        <w:rPr>
          <w:rFonts w:ascii="Calibri" w:eastAsia="Calibri" w:hAnsi="Calibri" w:cs="Calibri"/>
          <w:sz w:val="22"/>
          <w:szCs w:val="22"/>
        </w:rPr>
      </w:pPr>
    </w:p>
    <w:p w14:paraId="00000059" w14:textId="77777777" w:rsidR="005D15F8" w:rsidRDefault="005D15F8">
      <w:pPr>
        <w:rPr>
          <w:rFonts w:ascii="Calibri" w:eastAsia="Calibri" w:hAnsi="Calibri" w:cs="Calibri"/>
          <w:sz w:val="22"/>
          <w:szCs w:val="22"/>
        </w:rPr>
      </w:pPr>
    </w:p>
    <w:p w14:paraId="0000005A" w14:textId="77777777" w:rsidR="005D15F8" w:rsidRDefault="005D15F8">
      <w:pPr>
        <w:rPr>
          <w:rFonts w:ascii="Calibri" w:eastAsia="Calibri" w:hAnsi="Calibri" w:cs="Calibri"/>
          <w:sz w:val="22"/>
          <w:szCs w:val="22"/>
        </w:rPr>
      </w:pPr>
    </w:p>
    <w:p w14:paraId="0000005B" w14:textId="77777777" w:rsidR="005D15F8" w:rsidRDefault="005D15F8">
      <w:pPr>
        <w:rPr>
          <w:rFonts w:ascii="Calibri" w:eastAsia="Calibri" w:hAnsi="Calibri" w:cs="Calibri"/>
          <w:sz w:val="22"/>
          <w:szCs w:val="22"/>
        </w:rPr>
      </w:pPr>
    </w:p>
    <w:p w14:paraId="0000005C" w14:textId="77777777" w:rsidR="005D15F8" w:rsidRDefault="005D15F8">
      <w:pPr>
        <w:rPr>
          <w:rFonts w:ascii="Calibri" w:eastAsia="Calibri" w:hAnsi="Calibri" w:cs="Calibri"/>
          <w:sz w:val="22"/>
          <w:szCs w:val="22"/>
        </w:rPr>
      </w:pPr>
    </w:p>
    <w:p w14:paraId="0000005D" w14:textId="77777777" w:rsidR="005D15F8" w:rsidRDefault="00E45B9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…………………………………………..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..……………………………............</w:t>
      </w:r>
    </w:p>
    <w:p w14:paraId="0000005E" w14:textId="77777777" w:rsidR="005D15F8" w:rsidRDefault="00E45B9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Doc. MgA. Martin Otava, </w:t>
      </w:r>
      <w:proofErr w:type="spellStart"/>
      <w:r>
        <w:rPr>
          <w:rFonts w:ascii="Calibri" w:eastAsia="Calibri" w:hAnsi="Calibri" w:cs="Calibri"/>
        </w:rPr>
        <w:t>Ph</w:t>
      </w:r>
      <w:proofErr w:type="spellEnd"/>
      <w:r>
        <w:rPr>
          <w:rFonts w:ascii="Calibri" w:eastAsia="Calibri" w:hAnsi="Calibri" w:cs="Calibri"/>
        </w:rPr>
        <w:t xml:space="preserve">. D.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MgA. Martin Glaser</w:t>
      </w:r>
    </w:p>
    <w:p w14:paraId="0000005F" w14:textId="77777777" w:rsidR="005D15F8" w:rsidRDefault="00E45B97">
      <w:pPr>
        <w:ind w:right="252"/>
        <w:rPr>
          <w:rFonts w:ascii="Calibri" w:eastAsia="Calibri" w:hAnsi="Calibri" w:cs="Calibri"/>
          <w:highlight w:val="green"/>
          <w:u w:val="single"/>
        </w:rPr>
      </w:pPr>
      <w:r>
        <w:rPr>
          <w:rFonts w:ascii="Calibri" w:eastAsia="Calibri" w:hAnsi="Calibri" w:cs="Calibri"/>
        </w:rPr>
        <w:t xml:space="preserve">za Divadlo J. K. Tyla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Národní divadlo Brno</w:t>
      </w:r>
    </w:p>
    <w:p w14:paraId="00000060" w14:textId="77777777" w:rsidR="005D15F8" w:rsidRDefault="005D15F8">
      <w:pPr>
        <w:ind w:right="252"/>
        <w:rPr>
          <w:rFonts w:ascii="Calibri" w:eastAsia="Calibri" w:hAnsi="Calibri" w:cs="Calibri"/>
          <w:highlight w:val="green"/>
          <w:u w:val="single"/>
        </w:rPr>
      </w:pPr>
    </w:p>
    <w:p w14:paraId="00000061" w14:textId="77777777" w:rsidR="005D15F8" w:rsidRDefault="005D15F8">
      <w:pPr>
        <w:ind w:right="252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290227DB" w14:textId="77777777" w:rsidR="00A54B3E" w:rsidRDefault="00A54B3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14:paraId="00000062" w14:textId="7156C64B" w:rsidR="005D15F8" w:rsidRDefault="00E45B97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Příloha č. 1</w:t>
      </w:r>
    </w:p>
    <w:p w14:paraId="00000063" w14:textId="77777777" w:rsidR="005D15F8" w:rsidRDefault="005D15F8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000064" w14:textId="77777777" w:rsidR="005D15F8" w:rsidRDefault="00E45B97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Školení požární ochrany a bezpečnosti práce pro hostující umělecké soubory v Národním divadle Brno, příspěvková organizace, Dvořákova 11,602 00Brno</w:t>
      </w:r>
    </w:p>
    <w:p w14:paraId="00000065" w14:textId="77777777" w:rsidR="005D15F8" w:rsidRDefault="005D15F8">
      <w:pPr>
        <w:rPr>
          <w:rFonts w:ascii="Calibri" w:eastAsia="Calibri" w:hAnsi="Calibri" w:cs="Calibri"/>
          <w:sz w:val="22"/>
          <w:szCs w:val="22"/>
        </w:rPr>
      </w:pPr>
    </w:p>
    <w:p w14:paraId="00000066" w14:textId="77777777" w:rsidR="005D15F8" w:rsidRDefault="00E45B97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A.</w:t>
      </w:r>
    </w:p>
    <w:p w14:paraId="00000067" w14:textId="77777777" w:rsidR="005D15F8" w:rsidRDefault="00E45B97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Všichni hostující umělečtí pracovníci v NDB jsou v zájmu zajištění PO povinni:</w:t>
      </w:r>
    </w:p>
    <w:p w14:paraId="00000068" w14:textId="77777777" w:rsidR="005D15F8" w:rsidRDefault="005D15F8">
      <w:pPr>
        <w:rPr>
          <w:rFonts w:ascii="Calibri" w:eastAsia="Calibri" w:hAnsi="Calibri" w:cs="Calibri"/>
          <w:sz w:val="22"/>
          <w:szCs w:val="22"/>
        </w:rPr>
      </w:pPr>
    </w:p>
    <w:p w14:paraId="00000069" w14:textId="77777777" w:rsidR="005D15F8" w:rsidRDefault="00E45B97">
      <w:pPr>
        <w:ind w:left="708" w:hanging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1.</w:t>
      </w:r>
      <w:r>
        <w:rPr>
          <w:rFonts w:ascii="Calibri" w:eastAsia="Calibri" w:hAnsi="Calibri" w:cs="Calibri"/>
          <w:sz w:val="22"/>
          <w:szCs w:val="22"/>
        </w:rPr>
        <w:tab/>
        <w:t xml:space="preserve">Počínat si při práci a jiné činnosti tak, aby nezapříčinili vznik požáru, dodržovat předpisy o PO a vydané příkazy, zákazy a pokyny týkající se PO. Seznámit se požárním řádem pracoviště, požárními poplachovými směrnicemi </w:t>
      </w:r>
      <w:proofErr w:type="spellStart"/>
      <w:r>
        <w:rPr>
          <w:rFonts w:ascii="Calibri" w:eastAsia="Calibri" w:hAnsi="Calibri" w:cs="Calibri"/>
          <w:sz w:val="22"/>
          <w:szCs w:val="22"/>
        </w:rPr>
        <w:t>NdB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evakuačním plánem.</w:t>
      </w:r>
    </w:p>
    <w:p w14:paraId="0000006A" w14:textId="77777777" w:rsidR="005D15F8" w:rsidRDefault="00E45B97">
      <w:pPr>
        <w:ind w:left="708" w:hanging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</w:t>
      </w:r>
      <w:r>
        <w:rPr>
          <w:rFonts w:ascii="Calibri" w:eastAsia="Calibri" w:hAnsi="Calibri" w:cs="Calibri"/>
          <w:sz w:val="22"/>
          <w:szCs w:val="22"/>
        </w:rPr>
        <w:tab/>
        <w:t xml:space="preserve">Zpozorovaný požár neprodleně uhasit dostupnými hasebními prostředky, není-li možné, neodkladně vyhlásit požární poplach a přivolat pomoc podle požárních poplachových směrnic. V objektech </w:t>
      </w:r>
      <w:proofErr w:type="spellStart"/>
      <w:r>
        <w:rPr>
          <w:rFonts w:ascii="Calibri" w:eastAsia="Calibri" w:hAnsi="Calibri" w:cs="Calibri"/>
          <w:sz w:val="22"/>
          <w:szCs w:val="22"/>
        </w:rPr>
        <w:t>NdB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se požár ohlašuje na vrátnici divadla, ohlašovně požáru. Při zamezování, zdolávání požáru a jiných živelných pohrom nebo nehod je každý na vyzvání velitele zásahu povinen poskytnout potřebnou osobní a věcnou pomoc (viz zákon 67/2001 Sb. § 18 a 19).</w:t>
      </w:r>
    </w:p>
    <w:p w14:paraId="0000006B" w14:textId="77777777" w:rsidR="005D15F8" w:rsidRDefault="00E45B97">
      <w:pPr>
        <w:ind w:left="708" w:hanging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</w:t>
      </w:r>
      <w:r>
        <w:rPr>
          <w:rFonts w:ascii="Calibri" w:eastAsia="Calibri" w:hAnsi="Calibri" w:cs="Calibri"/>
          <w:sz w:val="22"/>
          <w:szCs w:val="22"/>
        </w:rPr>
        <w:tab/>
        <w:t>Každý pracovník je povinen oznámit vznik každého požáru na pracovišti vedoucímu zaměstnanci nebo ohlašovně požáru.</w:t>
      </w:r>
    </w:p>
    <w:p w14:paraId="0000006C" w14:textId="77777777" w:rsidR="005D15F8" w:rsidRDefault="00E45B97">
      <w:pPr>
        <w:ind w:left="708" w:hanging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4.</w:t>
      </w:r>
      <w:r>
        <w:rPr>
          <w:rFonts w:ascii="Calibri" w:eastAsia="Calibri" w:hAnsi="Calibri" w:cs="Calibri"/>
          <w:sz w:val="22"/>
          <w:szCs w:val="22"/>
        </w:rPr>
        <w:tab/>
        <w:t>Dbát na to, aby pracoviště po ukončení práce bylo v požárně bezpečném stavu, závady, které by mohly být příčinou vzniku požáru neodkladně hlásit vedoucímu pracovníkovi.</w:t>
      </w:r>
    </w:p>
    <w:p w14:paraId="0000006D" w14:textId="77777777" w:rsidR="005D15F8" w:rsidRDefault="00E45B97">
      <w:pPr>
        <w:ind w:left="708" w:hanging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V objektech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NdB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je přísný zákaz kouření.</w:t>
      </w:r>
      <w:r>
        <w:rPr>
          <w:rFonts w:ascii="Calibri" w:eastAsia="Calibri" w:hAnsi="Calibri" w:cs="Calibri"/>
          <w:sz w:val="22"/>
          <w:szCs w:val="22"/>
        </w:rPr>
        <w:t xml:space="preserve"> Objekty jsou viditelně označeny bezpečnostní tabulkou „Zákaz kouření“. Vařiče nebo jiné spotřebiče, které nejsou v majetku </w:t>
      </w:r>
      <w:proofErr w:type="spellStart"/>
      <w:r>
        <w:rPr>
          <w:rFonts w:ascii="Calibri" w:eastAsia="Calibri" w:hAnsi="Calibri" w:cs="Calibri"/>
          <w:sz w:val="22"/>
          <w:szCs w:val="22"/>
        </w:rPr>
        <w:t>NdB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je v objektech </w:t>
      </w:r>
      <w:proofErr w:type="spellStart"/>
      <w:r>
        <w:rPr>
          <w:rFonts w:ascii="Calibri" w:eastAsia="Calibri" w:hAnsi="Calibri" w:cs="Calibri"/>
          <w:sz w:val="22"/>
          <w:szCs w:val="22"/>
        </w:rPr>
        <w:t>NdB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zakázáno používat.</w:t>
      </w:r>
    </w:p>
    <w:p w14:paraId="0000006E" w14:textId="77777777" w:rsidR="005D15F8" w:rsidRDefault="005D15F8">
      <w:pPr>
        <w:rPr>
          <w:rFonts w:ascii="Calibri" w:eastAsia="Calibri" w:hAnsi="Calibri" w:cs="Calibri"/>
          <w:sz w:val="22"/>
          <w:szCs w:val="22"/>
        </w:rPr>
      </w:pPr>
    </w:p>
    <w:p w14:paraId="0000006F" w14:textId="77777777" w:rsidR="005D15F8" w:rsidRDefault="005D15F8">
      <w:pPr>
        <w:rPr>
          <w:rFonts w:ascii="Calibri" w:eastAsia="Calibri" w:hAnsi="Calibri" w:cs="Calibri"/>
          <w:sz w:val="22"/>
          <w:szCs w:val="22"/>
        </w:rPr>
      </w:pPr>
    </w:p>
    <w:p w14:paraId="00000070" w14:textId="77777777" w:rsidR="005D15F8" w:rsidRDefault="00E45B97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B.</w:t>
      </w:r>
    </w:p>
    <w:p w14:paraId="00000071" w14:textId="77777777" w:rsidR="005D15F8" w:rsidRDefault="00E45B97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Všichni hostující umělečtí pracovníci v NDB jsou v zájmu BOZP povinni:</w:t>
      </w:r>
    </w:p>
    <w:p w14:paraId="00000072" w14:textId="77777777" w:rsidR="005D15F8" w:rsidRDefault="005D15F8">
      <w:pPr>
        <w:rPr>
          <w:rFonts w:ascii="Calibri" w:eastAsia="Calibri" w:hAnsi="Calibri" w:cs="Calibri"/>
          <w:sz w:val="22"/>
          <w:szCs w:val="22"/>
        </w:rPr>
      </w:pPr>
    </w:p>
    <w:p w14:paraId="00000073" w14:textId="77777777" w:rsidR="005D15F8" w:rsidRDefault="00E45B9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1.</w:t>
      </w:r>
      <w:r>
        <w:rPr>
          <w:rFonts w:ascii="Calibri" w:eastAsia="Calibri" w:hAnsi="Calibri" w:cs="Calibri"/>
          <w:sz w:val="22"/>
          <w:szCs w:val="22"/>
        </w:rPr>
        <w:tab/>
        <w:t>Dodržovat právní předpisy k zajištění BOZP, s nimiž byli řádně seznámeni.</w:t>
      </w:r>
    </w:p>
    <w:p w14:paraId="00000074" w14:textId="77777777" w:rsidR="005D15F8" w:rsidRDefault="00E45B9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</w:t>
      </w:r>
      <w:r>
        <w:rPr>
          <w:rFonts w:ascii="Calibri" w:eastAsia="Calibri" w:hAnsi="Calibri" w:cs="Calibri"/>
          <w:sz w:val="22"/>
          <w:szCs w:val="22"/>
        </w:rPr>
        <w:tab/>
        <w:t>Počínat si tak, aby neohrožovali své zdraví ani zdraví svých spolupracovníků.</w:t>
      </w:r>
    </w:p>
    <w:p w14:paraId="00000075" w14:textId="77777777" w:rsidR="005D15F8" w:rsidRDefault="00E45B97">
      <w:pPr>
        <w:ind w:left="708" w:hanging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</w:t>
      </w:r>
      <w:r>
        <w:rPr>
          <w:rFonts w:ascii="Calibri" w:eastAsia="Calibri" w:hAnsi="Calibri" w:cs="Calibri"/>
          <w:sz w:val="22"/>
          <w:szCs w:val="22"/>
        </w:rPr>
        <w:tab/>
        <w:t>Jakékoliv poranění správně ošetřit (lékárničky jsou umístěny v divadle) a oznámit ihned nejblíže nadřízenému vedoucímu zaměstnanci (inspicientovi), který provede zápis do „Hlášení z představení“.</w:t>
      </w:r>
    </w:p>
    <w:p w14:paraId="00000076" w14:textId="77777777" w:rsidR="005D15F8" w:rsidRDefault="00E45B97">
      <w:pPr>
        <w:ind w:left="708" w:hanging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4.</w:t>
      </w:r>
      <w:r>
        <w:rPr>
          <w:rFonts w:ascii="Calibri" w:eastAsia="Calibri" w:hAnsi="Calibri" w:cs="Calibri"/>
          <w:sz w:val="22"/>
          <w:szCs w:val="22"/>
        </w:rPr>
        <w:tab/>
        <w:t xml:space="preserve">Nepoužívat alkoholické nápoje a neužívat jiné omamné prostředky na pracovištích </w:t>
      </w:r>
      <w:proofErr w:type="spellStart"/>
      <w:r>
        <w:rPr>
          <w:rFonts w:ascii="Calibri" w:eastAsia="Calibri" w:hAnsi="Calibri" w:cs="Calibri"/>
          <w:sz w:val="22"/>
          <w:szCs w:val="22"/>
        </w:rPr>
        <w:t>NdB</w:t>
      </w:r>
      <w:proofErr w:type="spellEnd"/>
      <w:r>
        <w:rPr>
          <w:rFonts w:ascii="Calibri" w:eastAsia="Calibri" w:hAnsi="Calibri" w:cs="Calibri"/>
          <w:sz w:val="22"/>
          <w:szCs w:val="22"/>
        </w:rPr>
        <w:t>, nenastupovat pod jejich vlivem do práce a dodržovat stanovený zákaz kouření.</w:t>
      </w:r>
    </w:p>
    <w:p w14:paraId="00000077" w14:textId="77777777" w:rsidR="005D15F8" w:rsidRDefault="00E45B97">
      <w:pPr>
        <w:ind w:left="708" w:hanging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5.</w:t>
      </w:r>
      <w:r>
        <w:rPr>
          <w:rFonts w:ascii="Calibri" w:eastAsia="Calibri" w:hAnsi="Calibri" w:cs="Calibri"/>
          <w:sz w:val="22"/>
          <w:szCs w:val="22"/>
        </w:rPr>
        <w:tab/>
        <w:t>Neprovádět žádné práce na el. zařízeních, pokud k tomu pracovník nemá předepsanou kvalifikaci (</w:t>
      </w:r>
      <w:proofErr w:type="spellStart"/>
      <w:r>
        <w:rPr>
          <w:rFonts w:ascii="Calibri" w:eastAsia="Calibri" w:hAnsi="Calibri" w:cs="Calibri"/>
          <w:sz w:val="22"/>
          <w:szCs w:val="22"/>
        </w:rPr>
        <w:t>vyhl</w:t>
      </w:r>
      <w:proofErr w:type="spellEnd"/>
      <w:r>
        <w:rPr>
          <w:rFonts w:ascii="Calibri" w:eastAsia="Calibri" w:hAnsi="Calibri" w:cs="Calibri"/>
          <w:sz w:val="22"/>
          <w:szCs w:val="22"/>
        </w:rPr>
        <w:t>. č. 50/1978 Sb.), přísně se omezit pouze na obsluhu strojů, přístrojů a zařízení k jejichž obsluze má pracovník oprávnění nebo poučení. Nesnímat kryty a samovolně zasahovat do živých částí, při poruše okamžitě stroj nebo zařízení vypnout a závadu oznámit vedoucímu zaměstnanci.</w:t>
      </w:r>
    </w:p>
    <w:p w14:paraId="00000078" w14:textId="77777777" w:rsidR="005D15F8" w:rsidRDefault="00E45B97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6.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>S elektrickým proudem mohou zacházet jen odborně způsobilé osoby.</w:t>
      </w:r>
    </w:p>
    <w:p w14:paraId="00000079" w14:textId="77777777" w:rsidR="005D15F8" w:rsidRDefault="00E45B97">
      <w:pPr>
        <w:ind w:left="708" w:hanging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7.</w:t>
      </w:r>
      <w:r>
        <w:rPr>
          <w:rFonts w:ascii="Calibri" w:eastAsia="Calibri" w:hAnsi="Calibri" w:cs="Calibri"/>
          <w:sz w:val="22"/>
          <w:szCs w:val="22"/>
        </w:rPr>
        <w:tab/>
        <w:t>Oznamovat svému nadřízenému nedostatky a závady, které by mohly ohrozit BOZP a podle svých možností se zúčastnit ne jejich odstraňování.</w:t>
      </w:r>
    </w:p>
    <w:p w14:paraId="0000007A" w14:textId="77777777" w:rsidR="005D15F8" w:rsidRDefault="00E45B97">
      <w:pPr>
        <w:ind w:left="708" w:hanging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8.</w:t>
      </w:r>
      <w:r>
        <w:rPr>
          <w:rFonts w:ascii="Calibri" w:eastAsia="Calibri" w:hAnsi="Calibri" w:cs="Calibri"/>
          <w:sz w:val="22"/>
          <w:szCs w:val="22"/>
        </w:rPr>
        <w:tab/>
        <w:t xml:space="preserve">Podrobit se vyšetření, které provádí vedoucí zaměstnanci </w:t>
      </w:r>
      <w:proofErr w:type="spellStart"/>
      <w:r>
        <w:rPr>
          <w:rFonts w:ascii="Calibri" w:eastAsia="Calibri" w:hAnsi="Calibri" w:cs="Calibri"/>
          <w:sz w:val="22"/>
          <w:szCs w:val="22"/>
        </w:rPr>
        <w:t>NdB</w:t>
      </w:r>
      <w:proofErr w:type="spellEnd"/>
      <w:r>
        <w:rPr>
          <w:rFonts w:ascii="Calibri" w:eastAsia="Calibri" w:hAnsi="Calibri" w:cs="Calibri"/>
          <w:sz w:val="22"/>
          <w:szCs w:val="22"/>
        </w:rPr>
        <w:t>, bezpečností technik nebo orgán státní správy, aby zjistily, zda pracovníci nejsou pod vlivem alkoholu nebo jiných omamných látek.</w:t>
      </w:r>
    </w:p>
    <w:p w14:paraId="0000007B" w14:textId="77777777" w:rsidR="005D15F8" w:rsidRDefault="00E45B9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9.</w:t>
      </w:r>
      <w:r>
        <w:rPr>
          <w:rFonts w:ascii="Calibri" w:eastAsia="Calibri" w:hAnsi="Calibri" w:cs="Calibri"/>
          <w:sz w:val="22"/>
          <w:szCs w:val="22"/>
        </w:rPr>
        <w:tab/>
        <w:t xml:space="preserve">Za provedení školení odpovídá určený pracovník hostujícího souboru: </w:t>
      </w:r>
      <w:r>
        <w:rPr>
          <w:rFonts w:ascii="Calibri" w:eastAsia="Calibri" w:hAnsi="Calibri" w:cs="Calibri"/>
          <w:b/>
          <w:sz w:val="22"/>
          <w:szCs w:val="22"/>
        </w:rPr>
        <w:t>Martin Šefl.</w:t>
      </w:r>
    </w:p>
    <w:sectPr w:rsidR="005D15F8">
      <w:headerReference w:type="default" r:id="rId10"/>
      <w:footerReference w:type="default" r:id="rId11"/>
      <w:pgSz w:w="11906" w:h="16838"/>
      <w:pgMar w:top="851" w:right="851" w:bottom="851" w:left="85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57F40" w14:textId="77777777" w:rsidR="00F44F34" w:rsidRDefault="00F44F34">
      <w:r>
        <w:separator/>
      </w:r>
    </w:p>
  </w:endnote>
  <w:endnote w:type="continuationSeparator" w:id="0">
    <w:p w14:paraId="149821F4" w14:textId="77777777" w:rsidR="00F44F34" w:rsidRDefault="00F4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D" w14:textId="3B570AA2" w:rsidR="005D15F8" w:rsidRDefault="00E45B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A54B3E">
      <w:rPr>
        <w:rFonts w:ascii="Calibri" w:eastAsia="Calibri" w:hAnsi="Calibri" w:cs="Calibri"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0000007E" w14:textId="77777777" w:rsidR="005D15F8" w:rsidRDefault="005D15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72702" w14:textId="77777777" w:rsidR="00F44F34" w:rsidRDefault="00F44F34">
      <w:r>
        <w:separator/>
      </w:r>
    </w:p>
  </w:footnote>
  <w:footnote w:type="continuationSeparator" w:id="0">
    <w:p w14:paraId="6F8CCCCD" w14:textId="77777777" w:rsidR="00F44F34" w:rsidRDefault="00F44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C" w14:textId="77777777" w:rsidR="005D15F8" w:rsidRDefault="00E45B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0</wp:posOffset>
          </wp:positionH>
          <wp:positionV relativeFrom="topMargin">
            <wp:posOffset>624840</wp:posOffset>
          </wp:positionV>
          <wp:extent cx="4282440" cy="640715"/>
          <wp:effectExtent l="0" t="0" r="0" b="0"/>
          <wp:wrapTopAndBottom distT="0" distB="0"/>
          <wp:docPr id="2" name="image1.png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82440" cy="640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D455A"/>
    <w:multiLevelType w:val="multilevel"/>
    <w:tmpl w:val="8A927B88"/>
    <w:lvl w:ilvl="0">
      <w:start w:val="1"/>
      <w:numFmt w:val="bullet"/>
      <w:lvlText w:val="-"/>
      <w:lvlJc w:val="left"/>
      <w:pPr>
        <w:ind w:left="709" w:hanging="359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5650E2"/>
    <w:multiLevelType w:val="multilevel"/>
    <w:tmpl w:val="5FC2FF02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D0653D4"/>
    <w:multiLevelType w:val="multilevel"/>
    <w:tmpl w:val="4CCC8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95472"/>
    <w:multiLevelType w:val="multilevel"/>
    <w:tmpl w:val="D47EA49C"/>
    <w:lvl w:ilvl="0">
      <w:start w:val="9"/>
      <w:numFmt w:val="bullet"/>
      <w:lvlText w:val="-"/>
      <w:lvlJc w:val="left"/>
      <w:pPr>
        <w:ind w:left="1069" w:hanging="360"/>
      </w:pPr>
      <w:rPr>
        <w:rFonts w:ascii="Calibri" w:eastAsia="Calibri" w:hAnsi="Calibri" w:cs="Calibri"/>
        <w:b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30A5CC3"/>
    <w:multiLevelType w:val="multilevel"/>
    <w:tmpl w:val="F8CA1CE4"/>
    <w:lvl w:ilvl="0">
      <w:start w:val="1"/>
      <w:numFmt w:val="lowerLetter"/>
      <w:lvlText w:val="%1)"/>
      <w:lvlJc w:val="left"/>
      <w:pPr>
        <w:ind w:left="709" w:hanging="359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5C6C69F3"/>
    <w:multiLevelType w:val="multilevel"/>
    <w:tmpl w:val="D0664D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D3C1F88"/>
    <w:multiLevelType w:val="hybridMultilevel"/>
    <w:tmpl w:val="F2C4E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207ED"/>
    <w:multiLevelType w:val="multilevel"/>
    <w:tmpl w:val="6ECCDF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856698"/>
    <w:multiLevelType w:val="multilevel"/>
    <w:tmpl w:val="609A5B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F626F"/>
    <w:multiLevelType w:val="multilevel"/>
    <w:tmpl w:val="FF8419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5F8"/>
    <w:rsid w:val="000B460A"/>
    <w:rsid w:val="00207B73"/>
    <w:rsid w:val="00550950"/>
    <w:rsid w:val="005D15F8"/>
    <w:rsid w:val="00A54B3E"/>
    <w:rsid w:val="00E45B97"/>
    <w:rsid w:val="00F4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8E387"/>
  <w15:docId w15:val="{F2454F5F-F47E-4280-A51F-C78432E9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323B"/>
  </w:style>
  <w:style w:type="paragraph" w:styleId="Nadpis1">
    <w:name w:val="heading 1"/>
    <w:basedOn w:val="Normln"/>
    <w:link w:val="Nadpis1Char"/>
    <w:uiPriority w:val="9"/>
    <w:qFormat/>
    <w:rsid w:val="009A601C"/>
    <w:pPr>
      <w:keepNext/>
      <w:snapToGrid w:val="0"/>
      <w:outlineLvl w:val="0"/>
    </w:pPr>
    <w:rPr>
      <w:b/>
      <w:bCs/>
      <w:kern w:val="36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0"/>
    <w:qFormat/>
    <w:rsid w:val="0044323B"/>
    <w:pPr>
      <w:jc w:val="center"/>
    </w:pPr>
    <w:rPr>
      <w:rFonts w:ascii="Arial" w:hAnsi="Arial" w:cs="Arial"/>
      <w:b/>
      <w:bCs/>
    </w:rPr>
  </w:style>
  <w:style w:type="paragraph" w:styleId="Normlnweb">
    <w:name w:val="Normal (Web)"/>
    <w:basedOn w:val="Normln"/>
    <w:rsid w:val="0044323B"/>
  </w:style>
  <w:style w:type="character" w:customStyle="1" w:styleId="NzevChar">
    <w:name w:val="Název Char"/>
    <w:basedOn w:val="Standardnpsmoodstavce"/>
    <w:link w:val="Nzev"/>
    <w:rsid w:val="0044323B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44323B"/>
    <w:pPr>
      <w:ind w:left="720"/>
      <w:jc w:val="both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4323B"/>
    <w:rPr>
      <w:rFonts w:ascii="Arial" w:eastAsia="Times New Roman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44323B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4323B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role">
    <w:name w:val="role"/>
    <w:basedOn w:val="Standardnpsmoodstavce"/>
    <w:rsid w:val="0044323B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44323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9A601C"/>
    <w:rPr>
      <w:rFonts w:ascii="Times New Roman" w:eastAsia="Times New Roman" w:hAnsi="Times New Roman" w:cs="Times New Roman"/>
      <w:b/>
      <w:bCs/>
      <w:kern w:val="36"/>
      <w:sz w:val="24"/>
      <w:szCs w:val="24"/>
      <w:lang w:eastAsia="cs-CZ"/>
    </w:rPr>
  </w:style>
  <w:style w:type="character" w:styleId="Hypertextovodkaz">
    <w:name w:val="Hyperlink"/>
    <w:uiPriority w:val="99"/>
    <w:rsid w:val="002249A1"/>
    <w:rPr>
      <w:rFonts w:cs="Times New Roman"/>
      <w:color w:val="0000FF"/>
      <w:u w:val="single"/>
    </w:rPr>
  </w:style>
  <w:style w:type="paragraph" w:customStyle="1" w:styleId="Body1">
    <w:name w:val="Body 1"/>
    <w:uiPriority w:val="99"/>
    <w:rsid w:val="002249A1"/>
    <w:pPr>
      <w:outlineLvl w:val="0"/>
    </w:pPr>
    <w:rPr>
      <w:color w:val="00000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6B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BD4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52B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2B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2B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2B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2BB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F05E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1F05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F05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05E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F05E4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a.lastovkova@djkt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efanova@nd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ns2wPbVLPphKfyupxDbcpQqSyg==">AMUW2mWmlcMd5FvoMNs/5IkzW7P131eLOh/RJTcHIhhwBY8lrWjyqDpphMGyySnLvePZWxNSHYrM9ZRcBW5OUM8V3OI30kEn3EeASjLXtPYgNrZuB/bv2Is=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1672</Words>
  <Characters>9865</Characters>
  <Application>Microsoft Office Word</Application>
  <DocSecurity>0</DocSecurity>
  <Lines>82</Lines>
  <Paragraphs>23</Paragraphs>
  <ScaleCrop>false</ScaleCrop>
  <Company/>
  <LinksUpToDate>false</LinksUpToDate>
  <CharactersWithSpaces>11514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plsek</dc:creator>
  <cp:lastModifiedBy>Štefanová Markéta</cp:lastModifiedBy>
  <cp:revision>4</cp:revision>
  <dcterms:created xsi:type="dcterms:W3CDTF">2019-10-01T12:57:00Z</dcterms:created>
  <dcterms:modified xsi:type="dcterms:W3CDTF">2021-06-14T08:04:00Z</dcterms:modified>
</cp:coreProperties>
</file>