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4" w:rsidRDefault="006C4D44" w:rsidP="001F5CE3">
      <w:pPr>
        <w:widowControl/>
        <w:rPr>
          <w:b/>
          <w:sz w:val="24"/>
          <w:szCs w:val="24"/>
        </w:rPr>
      </w:pPr>
      <w:r w:rsidRPr="006C4D44">
        <w:rPr>
          <w:b/>
          <w:sz w:val="24"/>
          <w:szCs w:val="24"/>
        </w:rPr>
        <w:t>SPU 356371/2016/508100/</w:t>
      </w:r>
      <w:proofErr w:type="spellStart"/>
      <w:r w:rsidRPr="006C4D44">
        <w:rPr>
          <w:b/>
          <w:sz w:val="24"/>
          <w:szCs w:val="24"/>
        </w:rPr>
        <w:t>Kři</w:t>
      </w:r>
      <w:proofErr w:type="spellEnd"/>
    </w:p>
    <w:p w:rsidR="006C4D44" w:rsidRDefault="006C4D44" w:rsidP="001F5CE3">
      <w:pPr>
        <w:widowControl/>
        <w:rPr>
          <w:b/>
          <w:sz w:val="24"/>
          <w:szCs w:val="24"/>
        </w:rPr>
      </w:pPr>
    </w:p>
    <w:p w:rsidR="001F5CE3" w:rsidRDefault="001F5CE3" w:rsidP="001F5CE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>
        <w:rPr>
          <w:sz w:val="24"/>
          <w:szCs w:val="24"/>
        </w:rPr>
        <w:t>Husinecká</w:t>
      </w:r>
      <w:proofErr w:type="spellEnd"/>
      <w:r>
        <w:rPr>
          <w:sz w:val="24"/>
          <w:szCs w:val="24"/>
        </w:rPr>
        <w:t xml:space="preserve"> 1024/11a, 130 00 Praha 3,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FD6D0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319AD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1001671668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463D9C" w:rsidRDefault="00463D9C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63D9C" w:rsidRDefault="00463D9C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Kubíček Pavel</w:t>
      </w:r>
      <w:r>
        <w:rPr>
          <w:color w:val="000000"/>
          <w:sz w:val="24"/>
          <w:szCs w:val="24"/>
        </w:rPr>
        <w:t xml:space="preserve">,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Kubíčková Lenka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463D9C" w:rsidRDefault="00463D9C">
      <w:pPr>
        <w:pStyle w:val="para"/>
        <w:widowControl/>
      </w:pPr>
      <w:r>
        <w:t>KUPNÍ SMLOUVU</w:t>
      </w:r>
    </w:p>
    <w:p w:rsidR="00463D9C" w:rsidRDefault="00463D9C">
      <w:pPr>
        <w:widowControl/>
        <w:rPr>
          <w:b/>
          <w:bCs/>
          <w:sz w:val="28"/>
          <w:szCs w:val="28"/>
        </w:rPr>
      </w:pPr>
    </w:p>
    <w:p w:rsidR="00463D9C" w:rsidRDefault="00463D9C">
      <w:pPr>
        <w:pStyle w:val="para"/>
        <w:widowControl/>
      </w:pPr>
      <w:r>
        <w:t xml:space="preserve">č. </w:t>
      </w:r>
      <w:r>
        <w:rPr>
          <w:color w:val="000000"/>
        </w:rPr>
        <w:t>1001671668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I.</w:t>
      </w:r>
    </w:p>
    <w:p w:rsidR="00463D9C" w:rsidRDefault="00537563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463D9C">
        <w:rPr>
          <w:sz w:val="24"/>
          <w:szCs w:val="24"/>
        </w:rPr>
        <w:t xml:space="preserve"> u Katastrálního úřadu pro Ústecký kraj se sídlem v Ústí nad Labem, Katastrální pracoviště Most  na LV 10 002: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675/7</w:t>
      </w:r>
      <w:r>
        <w:rPr>
          <w:sz w:val="20"/>
          <w:szCs w:val="20"/>
        </w:rPr>
        <w:tab/>
        <w:t>zahrada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3 zákona č. </w:t>
      </w:r>
      <w:r w:rsidR="00537563" w:rsidRPr="00D01C6E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="00537563" w:rsidRPr="00C70A46">
        <w:rPr>
          <w:sz w:val="24"/>
          <w:szCs w:val="24"/>
        </w:rPr>
        <w:t>.</w:t>
      </w:r>
    </w:p>
    <w:p w:rsidR="00463D9C" w:rsidRDefault="00463D9C">
      <w:pPr>
        <w:widowControl/>
      </w:pPr>
    </w:p>
    <w:p w:rsidR="00463D9C" w:rsidRDefault="00463D9C">
      <w:pPr>
        <w:pStyle w:val="para"/>
        <w:widowControl/>
      </w:pPr>
      <w:r>
        <w:t>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smlouvy.</w:t>
      </w:r>
    </w:p>
    <w:p w:rsidR="006C4D44" w:rsidRDefault="006C4D44">
      <w:pPr>
        <w:widowControl/>
        <w:ind w:firstLine="426"/>
        <w:jc w:val="both"/>
        <w:rPr>
          <w:sz w:val="24"/>
          <w:szCs w:val="24"/>
        </w:rPr>
      </w:pPr>
    </w:p>
    <w:p w:rsidR="006C4D44" w:rsidRDefault="006C4D44">
      <w:pPr>
        <w:widowControl/>
        <w:ind w:firstLine="426"/>
        <w:jc w:val="both"/>
        <w:rPr>
          <w:sz w:val="24"/>
          <w:szCs w:val="24"/>
        </w:rPr>
      </w:pPr>
    </w:p>
    <w:p w:rsidR="006C4D44" w:rsidRDefault="006C4D44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382312" w:rsidRDefault="00A14C3E" w:rsidP="00382312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82312"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697"/>
        <w:gridCol w:w="1701"/>
        <w:gridCol w:w="1701"/>
      </w:tblGrid>
      <w:tr w:rsidR="00382312" w:rsidTr="00541D7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Parc.č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697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382312" w:rsidRDefault="00382312" w:rsidP="00541D73">
            <w:pPr>
              <w:widowControl/>
              <w:rPr>
                <w:rFonts w:eastAsiaTheme="minorEastAsia"/>
              </w:rPr>
            </w:pP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382312" w:rsidTr="00541D7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Hamr u Litvínova</w:t>
            </w:r>
          </w:p>
        </w:tc>
        <w:tc>
          <w:tcPr>
            <w:tcW w:w="1134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675/7</w:t>
            </w:r>
          </w:p>
        </w:tc>
        <w:tc>
          <w:tcPr>
            <w:tcW w:w="1697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54 600,00 Kč</w:t>
            </w:r>
          </w:p>
        </w:tc>
        <w:tc>
          <w:tcPr>
            <w:tcW w:w="1701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5 460,00 Kč</w:t>
            </w:r>
          </w:p>
        </w:tc>
        <w:tc>
          <w:tcPr>
            <w:tcW w:w="1701" w:type="dxa"/>
          </w:tcPr>
          <w:p w:rsidR="00382312" w:rsidRDefault="00382312" w:rsidP="0038231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49 140,00 Kč</w:t>
            </w:r>
          </w:p>
        </w:tc>
      </w:tr>
    </w:tbl>
    <w:p w:rsidR="00382312" w:rsidRDefault="00382312" w:rsidP="00382312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4536"/>
        <w:gridCol w:w="1705"/>
        <w:gridCol w:w="1701"/>
        <w:gridCol w:w="1701"/>
      </w:tblGrid>
      <w:tr w:rsidR="00382312" w:rsidTr="00541D7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54 600,00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5 460,00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12" w:rsidRDefault="0038231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49 140,00 Kč</w:t>
            </w:r>
          </w:p>
        </w:tc>
      </w:tr>
    </w:tbl>
    <w:p w:rsidR="00A14C3E" w:rsidRDefault="00382312" w:rsidP="00382312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2) Část kupní ceny ve výši 5 460,00 Kč (slovy: </w:t>
      </w:r>
      <w:proofErr w:type="spellStart"/>
      <w:r>
        <w:rPr>
          <w:rFonts w:eastAsiaTheme="minorEastAsia"/>
          <w:sz w:val="24"/>
          <w:szCs w:val="24"/>
        </w:rPr>
        <w:t>pěttisícčtyřistašedesát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49 140,00 Kč (slovy: </w:t>
      </w:r>
      <w:proofErr w:type="spellStart"/>
      <w:r>
        <w:rPr>
          <w:rFonts w:eastAsiaTheme="minorEastAsia"/>
          <w:sz w:val="24"/>
          <w:szCs w:val="24"/>
        </w:rPr>
        <w:t>čtyřicetdevěttisícjednostočtyřicet</w:t>
      </w:r>
      <w:proofErr w:type="spellEnd"/>
      <w:r>
        <w:rPr>
          <w:rFonts w:eastAsiaTheme="minorEastAsia"/>
          <w:sz w:val="24"/>
          <w:szCs w:val="24"/>
        </w:rPr>
        <w:t xml:space="preserve">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696711">
        <w:rPr>
          <w:rFonts w:eastAsiaTheme="minorEastAsia"/>
          <w:sz w:val="24"/>
          <w:szCs w:val="24"/>
        </w:rPr>
        <w:t xml:space="preserve">nejpozději </w:t>
      </w:r>
      <w:r w:rsidR="0012425D">
        <w:rPr>
          <w:rFonts w:eastAsiaTheme="minorEastAsia"/>
          <w:sz w:val="24"/>
          <w:szCs w:val="24"/>
        </w:rPr>
        <w:t xml:space="preserve">do </w:t>
      </w:r>
      <w:r w:rsidR="00FF3437">
        <w:rPr>
          <w:rFonts w:eastAsiaTheme="minorEastAsia"/>
          <w:sz w:val="24"/>
          <w:szCs w:val="24"/>
        </w:rPr>
        <w:t>10 let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2B79D5">
        <w:rPr>
          <w:rFonts w:eastAsiaTheme="minorEastAsia"/>
          <w:sz w:val="24"/>
          <w:szCs w:val="24"/>
        </w:rPr>
        <w:t>ve výši 4,46 % </w:t>
      </w:r>
      <w:proofErr w:type="spellStart"/>
      <w:r w:rsidR="002B79D5">
        <w:rPr>
          <w:rFonts w:eastAsiaTheme="minorEastAsia"/>
          <w:sz w:val="24"/>
          <w:szCs w:val="24"/>
        </w:rPr>
        <w:t>p.a</w:t>
      </w:r>
      <w:proofErr w:type="spellEnd"/>
      <w:r w:rsidR="002B79D5">
        <w:rPr>
          <w:rFonts w:eastAsiaTheme="minorEastAsia"/>
          <w:sz w:val="24"/>
          <w:szCs w:val="24"/>
        </w:rPr>
        <w:t xml:space="preserve">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696711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19.7.2017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19.7.2018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19.7.2019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19.7.2020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19.7.2021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19.7.2022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19.7.2023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19.7.2024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19.7.2025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1 284,00 Kč</w:t>
      </w:r>
      <w:r>
        <w:rPr>
          <w:rFonts w:eastAsiaTheme="minorEastAsia"/>
          <w:sz w:val="24"/>
          <w:szCs w:val="24"/>
        </w:rPr>
        <w:tab/>
        <w:t>6 198,00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18.7.2026</w:t>
      </w:r>
      <w:r>
        <w:rPr>
          <w:rFonts w:eastAsiaTheme="minorEastAsia"/>
          <w:sz w:val="24"/>
          <w:szCs w:val="24"/>
        </w:rPr>
        <w:tab/>
        <w:t>4 914,00 Kč</w:t>
      </w:r>
      <w:r>
        <w:rPr>
          <w:rFonts w:eastAsiaTheme="minorEastAsia"/>
          <w:sz w:val="24"/>
          <w:szCs w:val="24"/>
        </w:rPr>
        <w:tab/>
        <w:t>1 285,00 Kč</w:t>
      </w:r>
      <w:r>
        <w:rPr>
          <w:rFonts w:eastAsiaTheme="minorEastAsia"/>
          <w:sz w:val="24"/>
          <w:szCs w:val="24"/>
        </w:rPr>
        <w:tab/>
        <w:t>6 199,00 Kč</w:t>
      </w:r>
    </w:p>
    <w:p w:rsidR="00346918" w:rsidRDefault="00346918" w:rsidP="00346918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696711" w:rsidRDefault="00696711" w:rsidP="00696711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převáděného pozemku, převed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ou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vlastnické právo k pozemku na jinou osobu.V tomto případě j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sou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kupující povinn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i</w:t>
      </w:r>
      <w:r w:rsidRPr="00F90950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doplatit neuhrazenou část kupní ceny pozemku Státnímu pozemkovému úřadu do 30 dnů ode dne nabytí právní moci rozhodnutí o povolení vkladu vlastnického práva k převáděnému pozemku.</w:t>
      </w:r>
    </w:p>
    <w:p w:rsidR="0093685B" w:rsidRPr="00010182" w:rsidRDefault="0093685B" w:rsidP="009368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AA5602" w:rsidRPr="002A0D16" w:rsidRDefault="00AA5602" w:rsidP="00AA5602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dojde k odnětí vlastnického práva k pozemku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pozemku prodávajícímu do 30 dnů ode dne nabytí právní moci rozhodnutí</w:t>
      </w:r>
      <w:r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vyvlastněnému pozemku.</w:t>
      </w:r>
    </w:p>
    <w:p w:rsidR="00A14C3E" w:rsidRDefault="00AA5602" w:rsidP="00696711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696711" w:rsidRPr="00F90950">
        <w:rPr>
          <w:sz w:val="24"/>
          <w:szCs w:val="24"/>
        </w:rPr>
        <w:t>Poskytnutá výhoda splátek nezaniká, převede-li zemědělský podnikatel podnik, včetně pozemk</w:t>
      </w:r>
      <w:r w:rsidR="00696711">
        <w:rPr>
          <w:rFonts w:eastAsiaTheme="minorEastAsia"/>
          <w:sz w:val="24"/>
          <w:szCs w:val="24"/>
        </w:rPr>
        <w:t>ů</w:t>
      </w:r>
      <w:r w:rsidR="00696711" w:rsidRPr="00F90950">
        <w:rPr>
          <w:sz w:val="24"/>
          <w:szCs w:val="24"/>
        </w:rPr>
        <w:t xml:space="preserve">, příbuznému v řadě přímé, sourozenci nebo manželovi (manželce). Převod na takovouto osobu je nabyvatel povinen oznámit Státnímu pozemkovému úřadu do 30 kalendářních dnů ode dne, kdy byl vyrozuměn katastrálním úřadem o vkladu vlastnického práva </w:t>
      </w:r>
      <w:r w:rsidR="00696711" w:rsidRPr="00F90950">
        <w:rPr>
          <w:sz w:val="24"/>
          <w:szCs w:val="24"/>
        </w:rPr>
        <w:lastRenderedPageBreak/>
        <w:t>ve prospěch nového vlastníka, a doložit Státnímu pozemkovému úřadu, že nový nabyvatel je jeho příbuzný v řadě přímé, sourozenec, manžel (manželka).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-li kupující lhůtu pro úhradu kupní ceny podle tohoto článku, jsou povinni podle </w:t>
      </w:r>
      <w:r w:rsidR="0093685B" w:rsidRPr="00820F0C">
        <w:rPr>
          <w:rFonts w:eastAsiaTheme="minorEastAsia"/>
          <w:sz w:val="24"/>
          <w:szCs w:val="24"/>
        </w:rPr>
        <w:t xml:space="preserve">§ 1968 a </w:t>
      </w:r>
      <w:proofErr w:type="spellStart"/>
      <w:r w:rsidR="0093685B" w:rsidRPr="00820F0C">
        <w:rPr>
          <w:rFonts w:eastAsiaTheme="minorEastAsia"/>
          <w:sz w:val="24"/>
          <w:szCs w:val="24"/>
        </w:rPr>
        <w:t>násl</w:t>
      </w:r>
      <w:proofErr w:type="spellEnd"/>
      <w:r w:rsidR="0093685B" w:rsidRPr="00820F0C">
        <w:rPr>
          <w:rFonts w:eastAsiaTheme="minorEastAsia"/>
          <w:sz w:val="24"/>
          <w:szCs w:val="24"/>
        </w:rPr>
        <w:t>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696711" w:rsidRPr="009E7B25">
        <w:rPr>
          <w:sz w:val="24"/>
          <w:szCs w:val="24"/>
        </w:rPr>
        <w:t>K zajištění dosud nesplacené kupní ceny pozemku nebo její části vzniká státu zástavní právo k pozemku k okamžiku převodu pozemku podle zákona č. 503/2012 Sb., o Státním pozemkovém úřadu</w:t>
      </w:r>
      <w:r w:rsidR="00696711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K pozemku prodávanému touto smlouvou má stát ze zákona podle </w:t>
      </w:r>
      <w:r w:rsidR="00696711">
        <w:rPr>
          <w:rFonts w:eastAsiaTheme="minorEastAsia"/>
          <w:sz w:val="24"/>
          <w:szCs w:val="24"/>
        </w:rPr>
        <w:t xml:space="preserve">§ 15 zákona č. </w:t>
      </w:r>
      <w:r w:rsidR="002C5929">
        <w:rPr>
          <w:rFonts w:eastAsiaTheme="minorEastAsia"/>
          <w:sz w:val="24"/>
          <w:szCs w:val="24"/>
        </w:rPr>
        <w:t>503/2012</w:t>
      </w:r>
      <w:r w:rsidR="00696711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>předkupní právo jako právo věcné. Smluvní strany prohlašují, že vznik tohoto práva není sporný ani pochybný. V případě uvažovaného zcizení jsou kupující povinni státu nabídnout takovýto pozemek ke koupi za cenu, za kterou jej získali od prodávajícího.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7) Pozemek, na němž je státem uplatněno předkupní nebo zástavní právo, nesmějí kupující učinit předmětem </w:t>
      </w:r>
      <w:r w:rsidR="00696711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zavazují se za každé jednotlivé porušení zaplatit prodávajícímu smluvní pokutu ve výši 10% z kupní ceny.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</w:t>
      </w:r>
      <w:r>
        <w:rPr>
          <w:rFonts w:eastAsiaTheme="minorEastAsia"/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A14C3E" w:rsidRDefault="00A14C3E">
      <w:pPr>
        <w:widowControl/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bude kupní cena hrazena v penězích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A14C3E" w:rsidRDefault="00A14C3E">
      <w:pPr>
        <w:widowControl/>
        <w:rPr>
          <w:rFonts w:eastAsiaTheme="minorEastAsia"/>
        </w:rPr>
      </w:pPr>
    </w:p>
    <w:p w:rsidR="00000000" w:rsidRDefault="00860F8D">
      <w:pPr>
        <w:widowControl/>
        <w:rPr>
          <w:rFonts w:eastAsiaTheme="minorEastAsia"/>
        </w:rPr>
      </w:pPr>
    </w:p>
    <w:p w:rsidR="00463D9C" w:rsidRDefault="00463D9C">
      <w:pPr>
        <w:pStyle w:val="para"/>
        <w:widowControl/>
      </w:pPr>
      <w:r>
        <w:t>V.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633ED6">
        <w:rPr>
          <w:sz w:val="24"/>
          <w:szCs w:val="24"/>
        </w:rPr>
        <w:t>ust</w:t>
      </w:r>
      <w:proofErr w:type="spellEnd"/>
      <w:r w:rsidR="00633ED6">
        <w:rPr>
          <w:sz w:val="24"/>
          <w:szCs w:val="24"/>
        </w:rPr>
        <w:t>. </w:t>
      </w:r>
      <w:r w:rsidR="00633ED6" w:rsidRPr="0014681B">
        <w:rPr>
          <w:sz w:val="24"/>
          <w:szCs w:val="24"/>
        </w:rPr>
        <w:t>§</w:t>
      </w:r>
      <w:r w:rsidR="00633ED6">
        <w:rPr>
          <w:sz w:val="24"/>
          <w:szCs w:val="24"/>
        </w:rPr>
        <w:t> </w:t>
      </w:r>
      <w:r w:rsidR="00633ED6" w:rsidRPr="0014681B">
        <w:rPr>
          <w:sz w:val="24"/>
          <w:szCs w:val="24"/>
        </w:rPr>
        <w:t xml:space="preserve">2001 a </w:t>
      </w:r>
      <w:proofErr w:type="spellStart"/>
      <w:r w:rsidR="00633ED6" w:rsidRPr="0014681B">
        <w:rPr>
          <w:sz w:val="24"/>
          <w:szCs w:val="24"/>
        </w:rPr>
        <w:t>násl</w:t>
      </w:r>
      <w:proofErr w:type="spellEnd"/>
      <w:r w:rsidR="00633ED6" w:rsidRPr="0014681B">
        <w:rPr>
          <w:sz w:val="24"/>
          <w:szCs w:val="24"/>
        </w:rPr>
        <w:t>. zákona č. 89/2012 Sb., občanský zákoník</w:t>
      </w:r>
      <w:r>
        <w:rPr>
          <w:sz w:val="24"/>
          <w:szCs w:val="24"/>
        </w:rPr>
        <w:t xml:space="preserve">. 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jsou povinni protokolárně předat prodávaný pozemek prodávajícímu neprodleně, nejpozději do 30 dnů ode dne odstoupení od smlouvy, nedohodnou - li se smluvní strany jinak.</w:t>
      </w:r>
      <w:r w:rsidR="00B130A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B130AF" w:rsidRPr="00454FF0" w:rsidRDefault="00B130AF" w:rsidP="00B130A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berou na vědomí, že jsou při odstoupení od této smlouvy povinni zaplatit prodávajícímu (ze zákona) náhradu za celou dobu trvání vlastnického práva k prodávanému pozemku. Výše náhrady činí ročně 1% z ceny pozemku za kterou jej kupující získali od prodávajícího, tj. 1/12 z roční náhrady za každý započatý měsíc trvání vlastnického práva.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DC6E8A" w:rsidRPr="00DB1C52" w:rsidRDefault="00DC6E8A" w:rsidP="00DC6E8A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 xml:space="preserve"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</w:t>
      </w:r>
      <w:r w:rsidRPr="00DB1C52">
        <w:rPr>
          <w:bCs/>
          <w:sz w:val="24"/>
          <w:szCs w:val="24"/>
        </w:rPr>
        <w:lastRenderedPageBreak/>
        <w:t>evidence nemovitostí, ani katastru nemovitostí. Tato omezení a oprávnění přecházejí na nabyvatele pozemku.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Prodávaný pozemek není zatížen užívacími právy třetích osob.</w:t>
      </w:r>
    </w:p>
    <w:p w:rsidR="00463D9C" w:rsidRDefault="00463D9C">
      <w:pPr>
        <w:pStyle w:val="vnitrniText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>
        <w:rPr>
          <w:sz w:val="24"/>
          <w:szCs w:val="24"/>
        </w:rPr>
        <w:t>současně u katastrálního úřadu podá návrh na vklad</w:t>
      </w:r>
      <w:r>
        <w:rPr>
          <w:sz w:val="24"/>
          <w:szCs w:val="24"/>
        </w:rPr>
        <w:t xml:space="preserve"> předkupního a zástavního práva k prodávanému pozemku.</w:t>
      </w:r>
      <w:r w:rsidR="00633ED6">
        <w:rPr>
          <w:sz w:val="24"/>
          <w:szCs w:val="24"/>
        </w:rPr>
        <w:t xml:space="preserve"> </w:t>
      </w:r>
      <w:r w:rsidR="00633ED6" w:rsidRPr="00374E10">
        <w:rPr>
          <w:sz w:val="24"/>
          <w:szCs w:val="24"/>
        </w:rPr>
        <w:t xml:space="preserve">Po úhradě celé kupní ceny a </w:t>
      </w:r>
      <w:proofErr w:type="spellStart"/>
      <w:r w:rsidR="00633ED6" w:rsidRPr="00374E10">
        <w:rPr>
          <w:sz w:val="24"/>
          <w:szCs w:val="24"/>
        </w:rPr>
        <w:t>event</w:t>
      </w:r>
      <w:proofErr w:type="spellEnd"/>
      <w:r w:rsidR="00633ED6" w:rsidRPr="00374E10">
        <w:rPr>
          <w:sz w:val="24"/>
          <w:szCs w:val="24"/>
        </w:rPr>
        <w:t>. příslušenství prodávající podá návrh na výmaz zástavního práva vkladem.</w:t>
      </w:r>
    </w:p>
    <w:p w:rsidR="00526D1B" w:rsidRPr="00B5069F" w:rsidRDefault="00463D9C" w:rsidP="00526D1B">
      <w:pPr>
        <w:pStyle w:val="vnintext"/>
        <w:ind w:firstLine="360"/>
      </w:pPr>
      <w:r>
        <w:rPr>
          <w:szCs w:val="24"/>
        </w:rPr>
        <w:t>2)</w:t>
      </w:r>
      <w:r w:rsidR="00526D1B">
        <w:rPr>
          <w:szCs w:val="24"/>
        </w:rPr>
        <w:t xml:space="preserve"> </w:t>
      </w:r>
      <w:r w:rsidR="00526D1B" w:rsidRPr="00B5069F">
        <w:t>Prodávající je ve smyslu zákona č. 634/2004 Sb., o správních poplatcích, ve znění pozdějších předpisů, osvobozen od správních poplatků.</w:t>
      </w:r>
    </w:p>
    <w:p w:rsidR="00526D1B" w:rsidRDefault="00B5069F" w:rsidP="00526D1B">
      <w:pPr>
        <w:widowControl/>
        <w:ind w:firstLine="426"/>
        <w:jc w:val="both"/>
        <w:rPr>
          <w:sz w:val="24"/>
          <w:szCs w:val="24"/>
        </w:rPr>
      </w:pPr>
      <w:r w:rsidRPr="00526D1B">
        <w:rPr>
          <w:sz w:val="24"/>
          <w:szCs w:val="24"/>
        </w:rPr>
        <w:t>3)</w:t>
      </w:r>
      <w:r w:rsidRPr="00633ED6">
        <w:rPr>
          <w:sz w:val="24"/>
          <w:szCs w:val="24"/>
        </w:rPr>
        <w:tab/>
      </w:r>
      <w:r w:rsidR="00633ED6" w:rsidRPr="00633ED6">
        <w:rPr>
          <w:sz w:val="24"/>
          <w:szCs w:val="24"/>
        </w:rPr>
        <w:t>Smluvní strany se ve smyslu zákona č. 89/2012 Sb., občanský zákoník, dohodly, že poplatníkem daně z nabytí převáděné nemovitosti vyplývající ze zákonného opatření senátu č. 340/2013 Sb., o dani z nabytí nemovitých věcí, j</w:t>
      </w:r>
      <w:r w:rsidR="008C259F">
        <w:rPr>
          <w:sz w:val="24"/>
          <w:szCs w:val="24"/>
        </w:rPr>
        <w:t>sou</w:t>
      </w:r>
      <w:r w:rsidR="00633ED6" w:rsidRPr="00633ED6">
        <w:rPr>
          <w:sz w:val="24"/>
          <w:szCs w:val="24"/>
        </w:rPr>
        <w:t xml:space="preserve"> kupující.</w:t>
      </w:r>
    </w:p>
    <w:p w:rsidR="00B5069F" w:rsidRDefault="00B5069F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originálu. Kupující obdrží 1 stejnopis(y) a ostatní jsou určeny pro prodávajícího.</w:t>
      </w:r>
    </w:p>
    <w:p w:rsidR="006D7734" w:rsidRDefault="006D7734" w:rsidP="006D7734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6D7734" w:rsidRDefault="006D7734" w:rsidP="006D7734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IX.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ve znění pozdějších předpisů.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3 zákona č. </w:t>
      </w:r>
      <w:r w:rsidR="00526D1B" w:rsidRPr="00B56780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převeden.</w:t>
      </w:r>
    </w:p>
    <w:p w:rsidR="00795915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795915">
        <w:rPr>
          <w:sz w:val="24"/>
          <w:szCs w:val="24"/>
        </w:rPr>
        <w:t xml:space="preserve"> </w:t>
      </w:r>
    </w:p>
    <w:p w:rsidR="00B42B51" w:rsidRDefault="0079591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4368C3" w:rsidRDefault="00B25B35" w:rsidP="00B42B51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795915" w:rsidRPr="000E3E64">
        <w:rPr>
          <w:sz w:val="24"/>
          <w:szCs w:val="24"/>
        </w:rPr>
        <w:t xml:space="preserve">zbývající část kupní ceny </w:t>
      </w:r>
      <w:r w:rsidR="00795915" w:rsidRPr="00234120">
        <w:rPr>
          <w:sz w:val="24"/>
          <w:szCs w:val="24"/>
        </w:rPr>
        <w:t>uhradí ve splátkách s úrokem vypočteným v souladu s </w:t>
      </w:r>
      <w:r w:rsidR="00795915" w:rsidRPr="000E3E64">
        <w:rPr>
          <w:sz w:val="24"/>
          <w:szCs w:val="24"/>
        </w:rPr>
        <w:t>právem</w:t>
      </w:r>
      <w:r w:rsidR="00795915" w:rsidRPr="00234120">
        <w:rPr>
          <w:sz w:val="24"/>
          <w:szCs w:val="24"/>
        </w:rPr>
        <w:t xml:space="preserve"> </w:t>
      </w:r>
      <w:r w:rsidR="00B42B51" w:rsidRPr="00234120">
        <w:rPr>
          <w:sz w:val="24"/>
          <w:szCs w:val="24"/>
        </w:rPr>
        <w:t>Evropské unie.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X.</w:t>
      </w:r>
    </w:p>
    <w:p w:rsidR="00463D9C" w:rsidRDefault="00A922DF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</w:t>
      </w:r>
      <w:r w:rsidRPr="002055A2">
        <w:lastRenderedPageBreak/>
        <w:t>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XI.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63D9C" w:rsidRDefault="00463D9C">
      <w:pPr>
        <w:pStyle w:val="para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19.7.2016</w:t>
      </w:r>
      <w:r>
        <w:rPr>
          <w:sz w:val="24"/>
          <w:szCs w:val="24"/>
        </w:rPr>
        <w:tab/>
      </w:r>
      <w:r w:rsidR="006C4D44">
        <w:rPr>
          <w:sz w:val="24"/>
          <w:szCs w:val="24"/>
        </w:rPr>
        <w:t>V Teplicích dne 19.7.2016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Kubíček Pavel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Kubíčková Lenka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D6022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2381568</w:t>
      </w:r>
      <w:r>
        <w:rPr>
          <w:color w:val="000000"/>
          <w:sz w:val="24"/>
          <w:szCs w:val="24"/>
        </w:rPr>
        <w:br/>
      </w:r>
    </w:p>
    <w:p w:rsidR="00463D9C" w:rsidRDefault="00463D9C">
      <w:pPr>
        <w:widowControl/>
        <w:rPr>
          <w:sz w:val="24"/>
          <w:szCs w:val="24"/>
        </w:rPr>
      </w:pPr>
    </w:p>
    <w:p w:rsidR="0054046D" w:rsidRPr="00C9419D" w:rsidRDefault="0054046D" w:rsidP="0054046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4046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6C4D44" w:rsidRDefault="006C4D44" w:rsidP="0054046D">
      <w:pPr>
        <w:widowControl/>
        <w:rPr>
          <w:sz w:val="24"/>
          <w:szCs w:val="24"/>
        </w:rPr>
      </w:pPr>
    </w:p>
    <w:p w:rsidR="0054046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Pavel </w:t>
      </w:r>
      <w:proofErr w:type="spellStart"/>
      <w:r>
        <w:rPr>
          <w:sz w:val="24"/>
          <w:szCs w:val="24"/>
        </w:rPr>
        <w:t>Pojer</w:t>
      </w:r>
      <w:proofErr w:type="spellEnd"/>
    </w:p>
    <w:p w:rsidR="006C4D44" w:rsidRDefault="006C4D44" w:rsidP="0054046D">
      <w:pPr>
        <w:widowControl/>
        <w:rPr>
          <w:sz w:val="24"/>
          <w:szCs w:val="24"/>
        </w:rPr>
      </w:pPr>
    </w:p>
    <w:p w:rsidR="006C4D44" w:rsidRPr="00C9419D" w:rsidRDefault="006C4D44" w:rsidP="0054046D">
      <w:pPr>
        <w:widowControl/>
        <w:rPr>
          <w:sz w:val="24"/>
          <w:szCs w:val="24"/>
        </w:rPr>
      </w:pPr>
    </w:p>
    <w:p w:rsidR="0054046D" w:rsidRDefault="0054046D" w:rsidP="0054046D">
      <w:pPr>
        <w:widowControl/>
        <w:rPr>
          <w:sz w:val="24"/>
          <w:szCs w:val="24"/>
        </w:rPr>
      </w:pPr>
    </w:p>
    <w:p w:rsidR="0010618D" w:rsidRDefault="0010618D" w:rsidP="001061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4046D" w:rsidRPr="00C9419D" w:rsidRDefault="0054046D" w:rsidP="0054046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6D7734" w:rsidRDefault="00463D9C" w:rsidP="006D7734">
      <w:pPr>
        <w:widowControl/>
      </w:pPr>
      <w:r>
        <w:rPr>
          <w:sz w:val="24"/>
          <w:szCs w:val="24"/>
        </w:rPr>
        <w:tab/>
        <w:t>podpis</w:t>
      </w:r>
    </w:p>
    <w:p w:rsidR="006D7734" w:rsidRDefault="006D7734" w:rsidP="006D7734">
      <w:pPr>
        <w:widowControl/>
      </w:pPr>
    </w:p>
    <w:p w:rsidR="006D7734" w:rsidRDefault="006D773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Default="006C4D44" w:rsidP="006D7734">
      <w:pPr>
        <w:widowControl/>
        <w:jc w:val="both"/>
        <w:rPr>
          <w:sz w:val="24"/>
          <w:szCs w:val="24"/>
        </w:rPr>
      </w:pPr>
    </w:p>
    <w:p w:rsidR="006C4D44" w:rsidRPr="00A31C3B" w:rsidRDefault="006C4D44" w:rsidP="006D7734">
      <w:pPr>
        <w:widowControl/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6D7734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6C4D44" w:rsidRPr="00A31C3B" w:rsidRDefault="006C4D4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6D7734" w:rsidRPr="00A31C3B" w:rsidRDefault="006D7734" w:rsidP="006D7734">
      <w:pPr>
        <w:jc w:val="both"/>
        <w:rPr>
          <w:i/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6D7734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</w:p>
    <w:p w:rsidR="006D7734" w:rsidRPr="00A31C3B" w:rsidRDefault="006D7734" w:rsidP="006D7734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6D7734" w:rsidRDefault="006D7734" w:rsidP="006D7734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6D7734" w:rsidRDefault="006D7734" w:rsidP="006D7734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6D7734" w:rsidRPr="00A31C3B" w:rsidRDefault="006D7734" w:rsidP="006D7734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463D9C" w:rsidRPr="00A922DF" w:rsidRDefault="00463D9C" w:rsidP="00A922DF">
      <w:pPr>
        <w:widowControl/>
        <w:jc w:val="both"/>
        <w:rPr>
          <w:sz w:val="24"/>
          <w:szCs w:val="24"/>
        </w:rPr>
      </w:pPr>
    </w:p>
    <w:sectPr w:rsidR="00463D9C" w:rsidRPr="00A922DF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44" w:rsidRDefault="006C4D44">
      <w:r>
        <w:separator/>
      </w:r>
    </w:p>
  </w:endnote>
  <w:endnote w:type="continuationSeparator" w:id="0">
    <w:p w:rsidR="006C4D44" w:rsidRDefault="006C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44" w:rsidRDefault="006C4D44">
      <w:r>
        <w:separator/>
      </w:r>
    </w:p>
  </w:footnote>
  <w:footnote w:type="continuationSeparator" w:id="0">
    <w:p w:rsidR="006C4D44" w:rsidRDefault="006C4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3D9C"/>
    <w:rsid w:val="00010182"/>
    <w:rsid w:val="000E3E64"/>
    <w:rsid w:val="0010618D"/>
    <w:rsid w:val="0012425D"/>
    <w:rsid w:val="0014681B"/>
    <w:rsid w:val="001D67A3"/>
    <w:rsid w:val="001F5CE3"/>
    <w:rsid w:val="002055A2"/>
    <w:rsid w:val="00234120"/>
    <w:rsid w:val="002750DE"/>
    <w:rsid w:val="002A0D16"/>
    <w:rsid w:val="002B79D5"/>
    <w:rsid w:val="002C5929"/>
    <w:rsid w:val="00336D94"/>
    <w:rsid w:val="00346918"/>
    <w:rsid w:val="00374E10"/>
    <w:rsid w:val="00382312"/>
    <w:rsid w:val="003B6443"/>
    <w:rsid w:val="00420B36"/>
    <w:rsid w:val="0043604A"/>
    <w:rsid w:val="004368C3"/>
    <w:rsid w:val="00454FF0"/>
    <w:rsid w:val="00463D9C"/>
    <w:rsid w:val="00526D1B"/>
    <w:rsid w:val="00537563"/>
    <w:rsid w:val="0054046D"/>
    <w:rsid w:val="00541D73"/>
    <w:rsid w:val="00625710"/>
    <w:rsid w:val="00633ED6"/>
    <w:rsid w:val="006871DE"/>
    <w:rsid w:val="00696711"/>
    <w:rsid w:val="006C4D44"/>
    <w:rsid w:val="006D7734"/>
    <w:rsid w:val="00795915"/>
    <w:rsid w:val="007E3A0A"/>
    <w:rsid w:val="00820F0C"/>
    <w:rsid w:val="00860F8D"/>
    <w:rsid w:val="00893845"/>
    <w:rsid w:val="008C259F"/>
    <w:rsid w:val="008F4BCB"/>
    <w:rsid w:val="009319AD"/>
    <w:rsid w:val="0093685B"/>
    <w:rsid w:val="009E7B25"/>
    <w:rsid w:val="009F6CBE"/>
    <w:rsid w:val="00A14C3E"/>
    <w:rsid w:val="00A31C3B"/>
    <w:rsid w:val="00A922DF"/>
    <w:rsid w:val="00AA5272"/>
    <w:rsid w:val="00AA5602"/>
    <w:rsid w:val="00B130AF"/>
    <w:rsid w:val="00B25B35"/>
    <w:rsid w:val="00B42B51"/>
    <w:rsid w:val="00B5069F"/>
    <w:rsid w:val="00B56780"/>
    <w:rsid w:val="00BC5BC5"/>
    <w:rsid w:val="00C56596"/>
    <w:rsid w:val="00C70A46"/>
    <w:rsid w:val="00C9419D"/>
    <w:rsid w:val="00D01C6E"/>
    <w:rsid w:val="00D20AA5"/>
    <w:rsid w:val="00D6022C"/>
    <w:rsid w:val="00DB1C52"/>
    <w:rsid w:val="00DC6E8A"/>
    <w:rsid w:val="00E43661"/>
    <w:rsid w:val="00EC3E05"/>
    <w:rsid w:val="00F8442C"/>
    <w:rsid w:val="00F90950"/>
    <w:rsid w:val="00FD6D0C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CB2C-77A3-4E2A-B095-872B27E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2016-07-19T08:00:00Z</cp:lastPrinted>
  <dcterms:created xsi:type="dcterms:W3CDTF">2016-07-19T08:08:00Z</dcterms:created>
  <dcterms:modified xsi:type="dcterms:W3CDTF">2016-07-19T08:08:00Z</dcterms:modified>
</cp:coreProperties>
</file>