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7C95" w14:textId="4B2B69FB" w:rsidR="004F64A2" w:rsidRPr="00EB66CA" w:rsidRDefault="004F64A2" w:rsidP="005B2D38">
      <w:pPr>
        <w:snapToGrid w:val="0"/>
        <w:spacing w:line="360" w:lineRule="auto"/>
        <w:jc w:val="center"/>
        <w:rPr>
          <w:rFonts w:asciiTheme="minorHAnsi" w:hAnsiTheme="minorHAnsi" w:cs="Arial"/>
          <w:bCs/>
          <w:color w:val="BFBFBF" w:themeColor="background1" w:themeShade="BF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 w:rsidR="00093138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993AD2">
        <w:rPr>
          <w:rFonts w:ascii="Calibri" w:hAnsi="Calibri"/>
          <w:b/>
          <w:color w:val="000000"/>
          <w:sz w:val="32"/>
          <w:szCs w:val="32"/>
        </w:rPr>
        <w:t xml:space="preserve">       </w:t>
      </w:r>
      <w:r w:rsidR="00EB66CA">
        <w:rPr>
          <w:rFonts w:ascii="Calibri" w:hAnsi="Calibri"/>
          <w:b/>
          <w:color w:val="000000"/>
          <w:sz w:val="32"/>
          <w:szCs w:val="32"/>
        </w:rPr>
        <w:t xml:space="preserve">   </w:t>
      </w:r>
      <w:r w:rsidR="00583D2D" w:rsidRPr="00EB66CA">
        <w:rPr>
          <w:rFonts w:asciiTheme="minorHAnsi" w:hAnsiTheme="minorHAnsi" w:cs="Arial"/>
          <w:bCs/>
          <w:color w:val="BFBFBF" w:themeColor="background1" w:themeShade="BF"/>
          <w:sz w:val="20"/>
          <w:szCs w:val="20"/>
          <w:lang w:eastAsia="cs-CZ"/>
        </w:rPr>
        <w:t>2021/4993/NM (KGŘ2)</w:t>
      </w:r>
    </w:p>
    <w:p w14:paraId="084574D4" w14:textId="47F50B69" w:rsidR="005B2D38" w:rsidRDefault="005B2D38" w:rsidP="00CC487A">
      <w:pPr>
        <w:snapToGrid w:val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6B6990">
        <w:rPr>
          <w:rFonts w:ascii="Calibri" w:hAnsi="Calibri"/>
          <w:b/>
          <w:color w:val="000000"/>
          <w:sz w:val="32"/>
          <w:szCs w:val="32"/>
        </w:rPr>
        <w:t>Smlouva o dílo</w:t>
      </w:r>
    </w:p>
    <w:p w14:paraId="1EC39EF4" w14:textId="1840FF6C" w:rsidR="00EA11FA" w:rsidRPr="00EA11FA" w:rsidRDefault="00EA11FA" w:rsidP="00CC487A">
      <w:pPr>
        <w:snapToGrid w:val="0"/>
        <w:spacing w:line="360" w:lineRule="auto"/>
        <w:jc w:val="center"/>
        <w:rPr>
          <w:rFonts w:ascii="Calibri" w:hAnsi="Calibri"/>
          <w:b/>
          <w:color w:val="000000"/>
        </w:rPr>
      </w:pPr>
      <w:r w:rsidRPr="00EA11FA">
        <w:rPr>
          <w:rFonts w:ascii="Calibri" w:hAnsi="Calibri"/>
          <w:b/>
          <w:color w:val="000000"/>
        </w:rPr>
        <w:t>č. 211 081</w:t>
      </w:r>
    </w:p>
    <w:p w14:paraId="670C6AE1" w14:textId="77777777" w:rsidR="005B2D38" w:rsidRPr="006B6990" w:rsidRDefault="005B2D38" w:rsidP="005B2D38">
      <w:pPr>
        <w:pStyle w:val="Tunsted"/>
        <w:keepNext w:val="0"/>
        <w:spacing w:before="0" w:line="276" w:lineRule="auto"/>
        <w:outlineLvl w:val="9"/>
        <w:rPr>
          <w:rFonts w:asciiTheme="minorHAnsi" w:hAnsiTheme="minorHAnsi" w:cs="Arial"/>
          <w:b w:val="0"/>
          <w:bCs/>
          <w:szCs w:val="22"/>
        </w:rPr>
      </w:pPr>
      <w:r w:rsidRPr="006B6990">
        <w:rPr>
          <w:rFonts w:asciiTheme="minorHAnsi" w:hAnsiTheme="minorHAnsi" w:cs="Arial"/>
          <w:b w:val="0"/>
          <w:bCs/>
          <w:szCs w:val="22"/>
        </w:rPr>
        <w:t>uzavřená níže uvedeného dne, měsíce a roku na základě ustanovení § 2631 a násl. zákona č. 89/2012 Sb., občanský zákoník, mezi těmito smluvními stranami:</w:t>
      </w:r>
    </w:p>
    <w:p w14:paraId="626D367E" w14:textId="77777777" w:rsidR="005B2D38" w:rsidRPr="006B6990" w:rsidRDefault="005B2D38" w:rsidP="009B522B">
      <w:pPr>
        <w:snapToGrid w:val="0"/>
        <w:spacing w:line="360" w:lineRule="auto"/>
        <w:rPr>
          <w:rFonts w:ascii="Calibri" w:hAnsi="Calibri"/>
          <w:color w:val="000000"/>
          <w:sz w:val="22"/>
          <w:szCs w:val="22"/>
        </w:rPr>
      </w:pPr>
    </w:p>
    <w:p w14:paraId="45A60221" w14:textId="77777777" w:rsidR="006B6990" w:rsidRDefault="009B522B" w:rsidP="009B522B">
      <w:pPr>
        <w:jc w:val="both"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>Národní muzeum</w:t>
      </w:r>
    </w:p>
    <w:p w14:paraId="12D06A2D" w14:textId="521E019C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příspěvková organizace </w:t>
      </w:r>
      <w:r w:rsidR="00FF4CB7" w:rsidRPr="006B6990">
        <w:rPr>
          <w:rFonts w:ascii="Calibri" w:hAnsi="Calibri"/>
          <w:sz w:val="22"/>
          <w:szCs w:val="22"/>
        </w:rPr>
        <w:t>nepodléhající zápisu do obchodního rejstříku</w:t>
      </w:r>
      <w:r w:rsidR="009B3C29" w:rsidRPr="006B6990">
        <w:rPr>
          <w:rFonts w:ascii="Calibri" w:hAnsi="Calibri"/>
          <w:sz w:val="22"/>
          <w:szCs w:val="22"/>
        </w:rPr>
        <w:t>, zřizovací listina MK ČR</w:t>
      </w:r>
    </w:p>
    <w:p w14:paraId="6085F120" w14:textId="33939123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se sídlem: Václavské náměstí 68, </w:t>
      </w:r>
      <w:r w:rsidR="00162A05">
        <w:rPr>
          <w:rFonts w:ascii="Calibri" w:hAnsi="Calibri"/>
          <w:sz w:val="22"/>
          <w:szCs w:val="22"/>
        </w:rPr>
        <w:t>Praha 1, 110 00</w:t>
      </w:r>
    </w:p>
    <w:p w14:paraId="0D803BFC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IČ: 00023272, DIČ: CZ00023272</w:t>
      </w:r>
    </w:p>
    <w:p w14:paraId="6E4213DB" w14:textId="5D89DBBE" w:rsidR="00F82844" w:rsidRPr="00F82844" w:rsidRDefault="009B522B" w:rsidP="000A1BBF">
      <w:pPr>
        <w:spacing w:after="120"/>
        <w:jc w:val="both"/>
        <w:rPr>
          <w:rFonts w:ascii="Calibri" w:hAnsi="Calibri"/>
          <w:sz w:val="22"/>
          <w:szCs w:val="22"/>
        </w:rPr>
      </w:pPr>
      <w:r w:rsidRPr="00F82844">
        <w:rPr>
          <w:rFonts w:ascii="Calibri" w:hAnsi="Calibri"/>
          <w:sz w:val="22"/>
          <w:szCs w:val="22"/>
        </w:rPr>
        <w:t xml:space="preserve">zastoupené: </w:t>
      </w:r>
      <w:r w:rsidR="00747290">
        <w:rPr>
          <w:rFonts w:ascii="Calibri" w:hAnsi="Calibri"/>
          <w:sz w:val="22"/>
          <w:szCs w:val="22"/>
        </w:rPr>
        <w:t>Mgr. Patrik Košický, ředitel Kanceláře</w:t>
      </w:r>
      <w:r w:rsidR="00BC79DE">
        <w:rPr>
          <w:rFonts w:ascii="Calibri" w:hAnsi="Calibri"/>
          <w:sz w:val="22"/>
          <w:szCs w:val="22"/>
        </w:rPr>
        <w:t xml:space="preserve"> generálního ředitele</w:t>
      </w:r>
    </w:p>
    <w:p w14:paraId="100BF9AE" w14:textId="12E0F7D4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(dále jen NM)</w:t>
      </w:r>
    </w:p>
    <w:p w14:paraId="36763AB7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70B7424A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a</w:t>
      </w:r>
    </w:p>
    <w:p w14:paraId="4176F97C" w14:textId="448C9B4C" w:rsidR="009B522B" w:rsidRDefault="009B522B" w:rsidP="009B522B">
      <w:pPr>
        <w:jc w:val="both"/>
        <w:rPr>
          <w:rFonts w:ascii="Calibri" w:hAnsi="Calibri"/>
          <w:b/>
          <w:sz w:val="22"/>
          <w:szCs w:val="22"/>
        </w:rPr>
      </w:pPr>
    </w:p>
    <w:p w14:paraId="4F5A7841" w14:textId="77777777" w:rsidR="000A1BBF" w:rsidRDefault="000A1BBF" w:rsidP="000A1BB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ADJUST ART, spol. s.r.o.</w:t>
      </w:r>
    </w:p>
    <w:p w14:paraId="41F7EA2B" w14:textId="77777777" w:rsidR="006836EC" w:rsidRPr="006B6990" w:rsidRDefault="000A1BBF" w:rsidP="006836E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Národní 961/25, </w:t>
      </w:r>
      <w:r w:rsidR="006836EC">
        <w:rPr>
          <w:rFonts w:ascii="Calibri" w:hAnsi="Calibri"/>
          <w:sz w:val="22"/>
          <w:szCs w:val="22"/>
        </w:rPr>
        <w:t>Praha 1, 110 00</w:t>
      </w:r>
    </w:p>
    <w:p w14:paraId="6EAAB7CF" w14:textId="5EDF473D" w:rsidR="000A1BBF" w:rsidRDefault="000A1BBF" w:rsidP="000A1B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25636057</w:t>
      </w:r>
      <w:r w:rsidR="00B83F8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DIČ: CZ25636057</w:t>
      </w:r>
    </w:p>
    <w:p w14:paraId="265A6E45" w14:textId="414E0435" w:rsidR="000A1BBF" w:rsidRDefault="000A1BBF" w:rsidP="000A1B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 w:rsidR="002255E8">
        <w:rPr>
          <w:rFonts w:ascii="Calibri" w:hAnsi="Calibri"/>
          <w:sz w:val="22"/>
          <w:szCs w:val="22"/>
        </w:rPr>
        <w:t>xxxxxxx</w:t>
      </w:r>
    </w:p>
    <w:p w14:paraId="76452075" w14:textId="77777777" w:rsidR="000A1BBF" w:rsidRDefault="000A1BBF" w:rsidP="00B83F8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zastoupen: Ivana Zemancová, jednatelka</w:t>
      </w:r>
    </w:p>
    <w:p w14:paraId="443B22BD" w14:textId="75196D30" w:rsidR="009B522B" w:rsidRPr="006B6990" w:rsidRDefault="009B522B" w:rsidP="008C5F9C">
      <w:pPr>
        <w:jc w:val="both"/>
        <w:rPr>
          <w:rFonts w:ascii="Calibri" w:hAnsi="Calibri"/>
          <w:sz w:val="22"/>
          <w:szCs w:val="22"/>
        </w:rPr>
      </w:pPr>
      <w:r w:rsidRPr="000A1BBF">
        <w:rPr>
          <w:rFonts w:ascii="Calibri" w:hAnsi="Calibri"/>
          <w:sz w:val="22"/>
          <w:szCs w:val="22"/>
        </w:rPr>
        <w:t>(dále jen dodavatel)</w:t>
      </w:r>
    </w:p>
    <w:p w14:paraId="2BB0976F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22B684B2" w14:textId="56551ECB" w:rsidR="009B522B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1A8B23DF" w14:textId="77777777" w:rsidR="001D6BFA" w:rsidRPr="006B6990" w:rsidRDefault="001D6BFA" w:rsidP="009B522B">
      <w:pPr>
        <w:jc w:val="both"/>
        <w:rPr>
          <w:rFonts w:ascii="Calibri" w:hAnsi="Calibri"/>
          <w:sz w:val="22"/>
          <w:szCs w:val="22"/>
        </w:rPr>
      </w:pPr>
    </w:p>
    <w:p w14:paraId="50727771" w14:textId="77777777" w:rsidR="009B522B" w:rsidRPr="006B6990" w:rsidRDefault="009B522B" w:rsidP="0026456A">
      <w:pPr>
        <w:pStyle w:val="Odstavecseseznamem"/>
        <w:widowControl w:val="0"/>
        <w:numPr>
          <w:ilvl w:val="0"/>
          <w:numId w:val="11"/>
        </w:numPr>
        <w:spacing w:after="120"/>
        <w:ind w:left="1077"/>
        <w:contextualSpacing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>Předmět plnění smlouvy</w:t>
      </w:r>
    </w:p>
    <w:p w14:paraId="593987A8" w14:textId="17DF3471" w:rsidR="009B522B" w:rsidRPr="006B6990" w:rsidRDefault="009B522B" w:rsidP="009B522B">
      <w:pPr>
        <w:pStyle w:val="Odstavecseseznamem1"/>
        <w:numPr>
          <w:ilvl w:val="1"/>
          <w:numId w:val="11"/>
        </w:numPr>
        <w:tabs>
          <w:tab w:val="clear" w:pos="1440"/>
        </w:tabs>
        <w:suppressAutoHyphens w:val="0"/>
        <w:ind w:left="1080"/>
        <w:contextualSpacing/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Předmětem této smlouvy je zajištění </w:t>
      </w:r>
      <w:r w:rsidRPr="009040FE">
        <w:rPr>
          <w:rFonts w:ascii="Calibri" w:hAnsi="Calibri"/>
          <w:sz w:val="22"/>
          <w:szCs w:val="22"/>
        </w:rPr>
        <w:t>výlepových ploch</w:t>
      </w:r>
      <w:r w:rsidR="004F38CC" w:rsidRPr="009040FE">
        <w:rPr>
          <w:rFonts w:ascii="Calibri" w:hAnsi="Calibri"/>
          <w:sz w:val="22"/>
          <w:szCs w:val="22"/>
        </w:rPr>
        <w:t>, tisk a výlep podkladů</w:t>
      </w:r>
      <w:r w:rsidRPr="009040FE">
        <w:rPr>
          <w:rFonts w:ascii="Calibri" w:hAnsi="Calibri"/>
          <w:sz w:val="22"/>
          <w:szCs w:val="22"/>
        </w:rPr>
        <w:t xml:space="preserve"> </w:t>
      </w:r>
      <w:r w:rsidRPr="006B6990">
        <w:rPr>
          <w:rFonts w:ascii="Calibri" w:hAnsi="Calibri"/>
          <w:sz w:val="22"/>
          <w:szCs w:val="22"/>
        </w:rPr>
        <w:t xml:space="preserve">pro reklamní kampaň </w:t>
      </w:r>
      <w:r w:rsidR="00BC79DE">
        <w:rPr>
          <w:rFonts w:ascii="Calibri" w:hAnsi="Calibri"/>
          <w:sz w:val="22"/>
          <w:szCs w:val="22"/>
        </w:rPr>
        <w:t xml:space="preserve">Bejvávalo dobře? </w:t>
      </w:r>
      <w:r w:rsidRPr="006B6990">
        <w:rPr>
          <w:rFonts w:ascii="Calibri" w:hAnsi="Calibri"/>
          <w:sz w:val="22"/>
          <w:szCs w:val="22"/>
        </w:rPr>
        <w:t xml:space="preserve">dle specifikace </w:t>
      </w:r>
      <w:r w:rsidRPr="0040089C">
        <w:rPr>
          <w:rFonts w:ascii="Calibri" w:hAnsi="Calibri"/>
          <w:sz w:val="22"/>
          <w:szCs w:val="22"/>
        </w:rPr>
        <w:t xml:space="preserve">v Příloze č. 1, </w:t>
      </w:r>
      <w:r w:rsidRPr="006B6990">
        <w:rPr>
          <w:rFonts w:ascii="Calibri" w:hAnsi="Calibri"/>
          <w:sz w:val="22"/>
          <w:szCs w:val="22"/>
        </w:rPr>
        <w:t>která je nedílnou součástí této smlouvy, ve stanovených termínech, v dobré a odpovídající kvalitě.</w:t>
      </w:r>
    </w:p>
    <w:p w14:paraId="0F1627D4" w14:textId="77777777" w:rsidR="009B522B" w:rsidRPr="006B6990" w:rsidRDefault="009B522B" w:rsidP="009B522B">
      <w:pPr>
        <w:pStyle w:val="Odstavecseseznamem1"/>
        <w:suppressAutoHyphens w:val="0"/>
        <w:ind w:left="720"/>
        <w:contextualSpacing/>
        <w:rPr>
          <w:rFonts w:ascii="Calibri" w:hAnsi="Calibri"/>
          <w:sz w:val="22"/>
          <w:szCs w:val="22"/>
        </w:rPr>
      </w:pPr>
    </w:p>
    <w:p w14:paraId="6002A3CA" w14:textId="01F3F6B5" w:rsidR="009B522B" w:rsidRPr="006B6990" w:rsidRDefault="008A7A4F" w:rsidP="009B522B">
      <w:pPr>
        <w:pStyle w:val="Odstavecseseznamem1"/>
        <w:numPr>
          <w:ilvl w:val="1"/>
          <w:numId w:val="11"/>
        </w:numPr>
        <w:tabs>
          <w:tab w:val="clear" w:pos="1440"/>
        </w:tabs>
        <w:suppressAutoHyphens w:val="0"/>
        <w:ind w:left="108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 reklamní plochy</w:t>
      </w:r>
      <w:r w:rsidR="00667576">
        <w:rPr>
          <w:rFonts w:ascii="Calibri" w:hAnsi="Calibri"/>
          <w:sz w:val="22"/>
          <w:szCs w:val="22"/>
        </w:rPr>
        <w:t xml:space="preserve">, </w:t>
      </w:r>
      <w:r w:rsidR="009B522B" w:rsidRPr="006B6990">
        <w:rPr>
          <w:rFonts w:ascii="Calibri" w:hAnsi="Calibri"/>
          <w:sz w:val="22"/>
          <w:szCs w:val="22"/>
        </w:rPr>
        <w:t>ceny</w:t>
      </w:r>
      <w:r w:rsidR="00667576">
        <w:rPr>
          <w:rFonts w:ascii="Calibri" w:hAnsi="Calibri"/>
          <w:sz w:val="22"/>
          <w:szCs w:val="22"/>
        </w:rPr>
        <w:t xml:space="preserve"> pronájmu a </w:t>
      </w:r>
      <w:r w:rsidR="00A26098">
        <w:rPr>
          <w:rFonts w:ascii="Calibri" w:hAnsi="Calibri"/>
          <w:sz w:val="22"/>
          <w:szCs w:val="22"/>
        </w:rPr>
        <w:t>výroby</w:t>
      </w:r>
      <w:r w:rsidR="00FF4CB7" w:rsidRPr="006B6990">
        <w:rPr>
          <w:rFonts w:ascii="Calibri" w:hAnsi="Calibri"/>
          <w:sz w:val="22"/>
          <w:szCs w:val="22"/>
        </w:rPr>
        <w:t xml:space="preserve"> (dále jen segmenty)</w:t>
      </w:r>
      <w:r w:rsidR="009B522B" w:rsidRPr="006B6990">
        <w:rPr>
          <w:rFonts w:ascii="Calibri" w:hAnsi="Calibri"/>
          <w:sz w:val="22"/>
          <w:szCs w:val="22"/>
        </w:rPr>
        <w:t>:</w:t>
      </w:r>
    </w:p>
    <w:p w14:paraId="25B6FB50" w14:textId="77777777" w:rsidR="009B3C29" w:rsidRPr="006B6990" w:rsidRDefault="009B3C29" w:rsidP="009B3C29">
      <w:pPr>
        <w:pStyle w:val="Odstavecseseznamem"/>
        <w:rPr>
          <w:rFonts w:ascii="Calibri" w:hAnsi="Calibri"/>
          <w:sz w:val="22"/>
          <w:szCs w:val="22"/>
        </w:rPr>
      </w:pPr>
    </w:p>
    <w:p w14:paraId="54B6985D" w14:textId="6ACDAC18" w:rsidR="009B522B" w:rsidRPr="00914066" w:rsidRDefault="009B522B" w:rsidP="009B522B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914066">
        <w:rPr>
          <w:rFonts w:ascii="Calibri" w:hAnsi="Calibri"/>
          <w:b/>
          <w:sz w:val="22"/>
          <w:szCs w:val="22"/>
        </w:rPr>
        <w:t>a) Plakát C</w:t>
      </w:r>
      <w:r w:rsidR="00370723" w:rsidRPr="00914066">
        <w:rPr>
          <w:rFonts w:ascii="Calibri" w:hAnsi="Calibri"/>
          <w:b/>
          <w:sz w:val="22"/>
          <w:szCs w:val="22"/>
        </w:rPr>
        <w:t>LV</w:t>
      </w:r>
      <w:r w:rsidR="005069CB" w:rsidRPr="00914066">
        <w:rPr>
          <w:rFonts w:ascii="Calibri" w:hAnsi="Calibri"/>
          <w:b/>
          <w:sz w:val="22"/>
          <w:szCs w:val="22"/>
        </w:rPr>
        <w:t xml:space="preserve"> (citylight)</w:t>
      </w:r>
      <w:r w:rsidR="00565498" w:rsidRPr="00914066">
        <w:rPr>
          <w:rFonts w:ascii="Calibri" w:hAnsi="Calibri"/>
          <w:b/>
          <w:sz w:val="22"/>
          <w:szCs w:val="22"/>
        </w:rPr>
        <w:t xml:space="preserve"> Praha - metro</w:t>
      </w:r>
    </w:p>
    <w:p w14:paraId="0DA48C11" w14:textId="77777777" w:rsidR="00914066" w:rsidRDefault="00914066" w:rsidP="0091406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Formát: 118,5 cm x 175 cm</w:t>
      </w:r>
    </w:p>
    <w:p w14:paraId="7C9E168E" w14:textId="77BAB36C" w:rsidR="00914066" w:rsidRDefault="00914066" w:rsidP="0091406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Papír: a</w:t>
      </w:r>
      <w:r w:rsidR="00CC487A">
        <w:rPr>
          <w:rFonts w:ascii="Calibri" w:hAnsi="Calibri"/>
          <w:sz w:val="22"/>
          <w:szCs w:val="22"/>
        </w:rPr>
        <w:t>ir</w:t>
      </w:r>
      <w:r>
        <w:rPr>
          <w:rFonts w:ascii="Calibri" w:hAnsi="Calibri"/>
          <w:sz w:val="22"/>
          <w:szCs w:val="22"/>
        </w:rPr>
        <w:t>busový papír na prosvětlení</w:t>
      </w:r>
    </w:p>
    <w:p w14:paraId="57D43022" w14:textId="77777777" w:rsidR="00914066" w:rsidRDefault="00914066" w:rsidP="0091406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Barevnost: 4/0</w:t>
      </w:r>
    </w:p>
    <w:p w14:paraId="02476D95" w14:textId="77777777" w:rsidR="00914066" w:rsidRDefault="00914066" w:rsidP="0091406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Počet ploch: 35</w:t>
      </w:r>
    </w:p>
    <w:p w14:paraId="0943AFD2" w14:textId="77777777" w:rsidR="00914066" w:rsidRDefault="00914066" w:rsidP="0091406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 výlepu: Praha, viz Příloha č. 2 smlouvy</w:t>
      </w:r>
    </w:p>
    <w:p w14:paraId="04BCB1BC" w14:textId="77777777" w:rsidR="00914066" w:rsidRDefault="00914066" w:rsidP="0091406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výlepu: 1. – 15.10., 1.11. – 15.11., 16.11. – 29.11.2021</w:t>
      </w:r>
    </w:p>
    <w:p w14:paraId="55FB245F" w14:textId="77777777" w:rsidR="00914066" w:rsidRDefault="00914066" w:rsidP="0091406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výlepu: 98 000,-Kč +DPH (bez tisku)</w:t>
      </w:r>
    </w:p>
    <w:p w14:paraId="7CE1EE90" w14:textId="77777777" w:rsidR="001236F7" w:rsidRPr="00784270" w:rsidRDefault="001236F7" w:rsidP="009B522B">
      <w:pPr>
        <w:ind w:left="1080"/>
        <w:jc w:val="both"/>
        <w:rPr>
          <w:rFonts w:ascii="Calibri" w:hAnsi="Calibri"/>
          <w:sz w:val="22"/>
          <w:szCs w:val="22"/>
          <w:highlight w:val="yellow"/>
        </w:rPr>
      </w:pPr>
    </w:p>
    <w:p w14:paraId="463C8F05" w14:textId="0E84F901" w:rsidR="009B522B" w:rsidRPr="002A7D50" w:rsidRDefault="00771014" w:rsidP="009B522B">
      <w:pPr>
        <w:ind w:left="1080"/>
        <w:jc w:val="both"/>
        <w:rPr>
          <w:rFonts w:ascii="Calibri" w:hAnsi="Calibri"/>
          <w:b/>
          <w:bCs/>
          <w:sz w:val="22"/>
          <w:szCs w:val="22"/>
        </w:rPr>
      </w:pPr>
      <w:r w:rsidRPr="002A7D50">
        <w:rPr>
          <w:rFonts w:ascii="Calibri" w:hAnsi="Calibri"/>
          <w:b/>
          <w:bCs/>
          <w:sz w:val="22"/>
          <w:szCs w:val="22"/>
        </w:rPr>
        <w:t>b</w:t>
      </w:r>
      <w:r w:rsidR="009B522B" w:rsidRPr="002A7D50">
        <w:rPr>
          <w:rFonts w:ascii="Calibri" w:hAnsi="Calibri"/>
          <w:b/>
          <w:bCs/>
          <w:sz w:val="22"/>
          <w:szCs w:val="22"/>
        </w:rPr>
        <w:t xml:space="preserve">) </w:t>
      </w:r>
      <w:r w:rsidR="00CF4E1C" w:rsidRPr="002A7D50">
        <w:rPr>
          <w:rFonts w:ascii="Calibri" w:hAnsi="Calibri"/>
          <w:b/>
          <w:sz w:val="22"/>
          <w:szCs w:val="22"/>
        </w:rPr>
        <w:t xml:space="preserve">Plakát CLV (citylight) Praha - </w:t>
      </w:r>
      <w:r w:rsidR="008D1A54" w:rsidRPr="002A7D50">
        <w:rPr>
          <w:rFonts w:ascii="Calibri" w:hAnsi="Calibri"/>
          <w:b/>
          <w:sz w:val="22"/>
          <w:szCs w:val="22"/>
        </w:rPr>
        <w:t>povrch</w:t>
      </w:r>
    </w:p>
    <w:p w14:paraId="0A0C2372" w14:textId="77777777" w:rsidR="002A7D50" w:rsidRDefault="002A7D50" w:rsidP="002A7D50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Formát: 118,5 cm x 175 cm</w:t>
      </w:r>
    </w:p>
    <w:p w14:paraId="0EB89446" w14:textId="77777777" w:rsidR="002A7D50" w:rsidRDefault="002A7D50" w:rsidP="002A7D50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Papír: airbusový papír na prosvětlení</w:t>
      </w:r>
    </w:p>
    <w:p w14:paraId="5A1CFC52" w14:textId="77777777" w:rsidR="002A7D50" w:rsidRDefault="002A7D50" w:rsidP="002A7D50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Barevnost: 4/0 </w:t>
      </w:r>
    </w:p>
    <w:p w14:paraId="2508CD27" w14:textId="77777777" w:rsidR="002A7D50" w:rsidRDefault="002A7D50" w:rsidP="002A7D50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Počet ploch: 73</w:t>
      </w:r>
    </w:p>
    <w:p w14:paraId="5DB31234" w14:textId="77777777" w:rsidR="002A7D50" w:rsidRDefault="002A7D50" w:rsidP="002A7D50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 výlepu: Praha, viz Příloha č. 2 smlouvy</w:t>
      </w:r>
    </w:p>
    <w:p w14:paraId="39CE4835" w14:textId="77777777" w:rsidR="002A7D50" w:rsidRDefault="002A7D50" w:rsidP="002A7D50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výlepu: 19.10. – 1.11., 2.11. – 15.11., 16.11 – 30.11.2021</w:t>
      </w:r>
    </w:p>
    <w:p w14:paraId="39B4E1A3" w14:textId="77777777" w:rsidR="002A7D50" w:rsidRDefault="002A7D50" w:rsidP="002A7D50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výlepu: 137 240,- Kč +DPH (bez tisku)</w:t>
      </w:r>
    </w:p>
    <w:p w14:paraId="4A94E8B8" w14:textId="77777777" w:rsidR="00820D09" w:rsidRDefault="00820D09" w:rsidP="00CF4E1C">
      <w:pPr>
        <w:ind w:left="1080"/>
        <w:jc w:val="both"/>
        <w:rPr>
          <w:rFonts w:ascii="Calibri" w:hAnsi="Calibri"/>
          <w:sz w:val="22"/>
          <w:szCs w:val="22"/>
        </w:rPr>
      </w:pPr>
    </w:p>
    <w:p w14:paraId="686847BF" w14:textId="0CC793DF" w:rsidR="00726FBA" w:rsidRPr="00A33996" w:rsidRDefault="00771014" w:rsidP="00726FBA">
      <w:pPr>
        <w:ind w:left="1080"/>
        <w:jc w:val="both"/>
        <w:rPr>
          <w:rFonts w:ascii="Calibri" w:hAnsi="Calibri"/>
          <w:b/>
          <w:sz w:val="22"/>
          <w:szCs w:val="22"/>
        </w:rPr>
      </w:pPr>
      <w:r w:rsidRPr="00A33996">
        <w:rPr>
          <w:rFonts w:ascii="Calibri" w:hAnsi="Calibri"/>
          <w:b/>
          <w:bCs/>
          <w:sz w:val="22"/>
          <w:szCs w:val="22"/>
        </w:rPr>
        <w:t>c</w:t>
      </w:r>
      <w:r w:rsidR="009B522B" w:rsidRPr="00A33996">
        <w:rPr>
          <w:rFonts w:ascii="Calibri" w:hAnsi="Calibri"/>
          <w:b/>
          <w:bCs/>
          <w:sz w:val="22"/>
          <w:szCs w:val="22"/>
        </w:rPr>
        <w:t xml:space="preserve">) </w:t>
      </w:r>
      <w:r w:rsidR="00726FBA" w:rsidRPr="00A33996">
        <w:rPr>
          <w:rFonts w:ascii="Calibri" w:hAnsi="Calibri"/>
          <w:b/>
          <w:sz w:val="22"/>
          <w:szCs w:val="22"/>
        </w:rPr>
        <w:t xml:space="preserve">Plakát CLV (citylight) Praha - </w:t>
      </w:r>
      <w:r w:rsidR="008D1A54" w:rsidRPr="00A33996">
        <w:rPr>
          <w:rFonts w:ascii="Calibri" w:hAnsi="Calibri"/>
          <w:b/>
          <w:sz w:val="22"/>
          <w:szCs w:val="22"/>
        </w:rPr>
        <w:t>rotundy</w:t>
      </w:r>
    </w:p>
    <w:p w14:paraId="2912F26B" w14:textId="77777777" w:rsidR="00A33996" w:rsidRDefault="00A33996" w:rsidP="00A3399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Formát: 118,5 cm x 175 cm</w:t>
      </w:r>
    </w:p>
    <w:p w14:paraId="56EAC7B0" w14:textId="77777777" w:rsidR="00A33996" w:rsidRDefault="00A33996" w:rsidP="00A3399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Papír: airbusový papír na prosvětlení</w:t>
      </w:r>
    </w:p>
    <w:p w14:paraId="07FB9C75" w14:textId="77777777" w:rsidR="00A33996" w:rsidRDefault="00A33996" w:rsidP="00A3399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Barevnost: 4/0</w:t>
      </w:r>
    </w:p>
    <w:p w14:paraId="5AADEF19" w14:textId="77777777" w:rsidR="00A33996" w:rsidRDefault="00A33996" w:rsidP="00A3399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Počet ploch: 25</w:t>
      </w:r>
    </w:p>
    <w:p w14:paraId="5DBA6D91" w14:textId="77777777" w:rsidR="00A33996" w:rsidRDefault="00A33996" w:rsidP="00A3399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 výlepu: Praha, viz Příloha č. 2 Smlouvy</w:t>
      </w:r>
    </w:p>
    <w:p w14:paraId="540A4B8F" w14:textId="77777777" w:rsidR="00A33996" w:rsidRDefault="00A33996" w:rsidP="00A3399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výlepu: 19.10. – 1.11., 2.11. – 15.11., 16.11. – 30.11.2021</w:t>
      </w:r>
    </w:p>
    <w:p w14:paraId="2A019EC4" w14:textId="77777777" w:rsidR="00A33996" w:rsidRDefault="00A33996" w:rsidP="00A33996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výlepu: 63 750,-Kč + DPH (bez tisku)</w:t>
      </w:r>
    </w:p>
    <w:p w14:paraId="722DF553" w14:textId="68296118" w:rsidR="00241085" w:rsidRPr="00784270" w:rsidRDefault="00241085" w:rsidP="009B522B">
      <w:pPr>
        <w:ind w:left="1080"/>
        <w:jc w:val="both"/>
        <w:rPr>
          <w:rFonts w:ascii="Calibri" w:hAnsi="Calibri"/>
          <w:sz w:val="22"/>
          <w:szCs w:val="22"/>
          <w:highlight w:val="yellow"/>
        </w:rPr>
      </w:pPr>
    </w:p>
    <w:p w14:paraId="561C9333" w14:textId="078DCA57" w:rsidR="00274177" w:rsidRPr="00241085" w:rsidRDefault="00274177" w:rsidP="009B1CFA">
      <w:pPr>
        <w:pStyle w:val="Odstavecseseznamem"/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p w14:paraId="1E73C8E5" w14:textId="77777777" w:rsidR="009B522B" w:rsidRPr="006B6990" w:rsidRDefault="009B522B" w:rsidP="009B522B">
      <w:pPr>
        <w:pStyle w:val="Odstavecseseznamem"/>
        <w:widowControl w:val="0"/>
        <w:numPr>
          <w:ilvl w:val="1"/>
          <w:numId w:val="11"/>
        </w:numPr>
        <w:tabs>
          <w:tab w:val="clear" w:pos="1440"/>
        </w:tabs>
        <w:ind w:left="1080"/>
        <w:contextualSpacing/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Předmět plnění této smlouvy bude proveden v souladu s odsouhlasenými podklady a eventuálními změnami. Při jeho provádění budou dodrženy veškeré závazné normy k němu se vztahující a všechny podmínky určené touto smlouvou a platnými právními předpisy.</w:t>
      </w:r>
    </w:p>
    <w:p w14:paraId="5AEEAA6B" w14:textId="77777777" w:rsidR="009B522B" w:rsidRPr="006B6990" w:rsidRDefault="009B522B" w:rsidP="009B522B">
      <w:pPr>
        <w:pStyle w:val="Odstavecseseznamem"/>
        <w:widowControl w:val="0"/>
        <w:numPr>
          <w:ilvl w:val="1"/>
          <w:numId w:val="11"/>
        </w:numPr>
        <w:tabs>
          <w:tab w:val="clear" w:pos="1440"/>
        </w:tabs>
        <w:ind w:left="1080"/>
        <w:contextualSpacing/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NM je oprávněno upravit předmět plnění i v průběhu prací, případně omezit rozsah některých prací a dodávek nebo jejich rozsah rozšířit a zhotovitel je povinen požadované změny akceptovat.</w:t>
      </w:r>
    </w:p>
    <w:p w14:paraId="110CB1AD" w14:textId="77777777" w:rsidR="009B522B" w:rsidRPr="006B6990" w:rsidRDefault="009B522B" w:rsidP="009B522B">
      <w:pPr>
        <w:pStyle w:val="Odstavecseseznamem"/>
        <w:ind w:left="1080"/>
        <w:rPr>
          <w:rFonts w:ascii="Calibri" w:hAnsi="Calibri"/>
          <w:b/>
          <w:sz w:val="22"/>
          <w:szCs w:val="22"/>
        </w:rPr>
      </w:pPr>
    </w:p>
    <w:p w14:paraId="2F08F56B" w14:textId="77777777" w:rsidR="009B522B" w:rsidRPr="006B6990" w:rsidRDefault="009B522B" w:rsidP="00EC296C">
      <w:pPr>
        <w:pStyle w:val="Odstavecseseznamem"/>
        <w:widowControl w:val="0"/>
        <w:numPr>
          <w:ilvl w:val="0"/>
          <w:numId w:val="11"/>
        </w:numPr>
        <w:spacing w:after="120"/>
        <w:ind w:left="1077"/>
        <w:contextualSpacing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>Doba plnění</w:t>
      </w:r>
    </w:p>
    <w:p w14:paraId="10AED63D" w14:textId="0BCEA881" w:rsidR="009B522B" w:rsidRPr="006B6990" w:rsidRDefault="009B522B" w:rsidP="00FF4CB7">
      <w:pPr>
        <w:widowControl w:val="0"/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Dodavatel se zavazuje provádět tisk a výlep jednotlivých segmentů v požadovaných dílčích termínech, které jsou uvedeny v</w:t>
      </w:r>
      <w:r w:rsidR="00D24E26" w:rsidRPr="006B6990">
        <w:rPr>
          <w:rFonts w:ascii="Calibri" w:hAnsi="Calibri"/>
          <w:sz w:val="22"/>
          <w:szCs w:val="22"/>
        </w:rPr>
        <w:t> </w:t>
      </w:r>
      <w:r w:rsidR="00F516E0" w:rsidRPr="006B6990">
        <w:rPr>
          <w:rFonts w:ascii="Calibri" w:hAnsi="Calibri"/>
          <w:sz w:val="22"/>
          <w:szCs w:val="22"/>
        </w:rPr>
        <w:t>čl</w:t>
      </w:r>
      <w:r w:rsidR="00D24E26" w:rsidRPr="006B6990">
        <w:rPr>
          <w:rFonts w:ascii="Calibri" w:hAnsi="Calibri"/>
          <w:sz w:val="22"/>
          <w:szCs w:val="22"/>
        </w:rPr>
        <w:t xml:space="preserve">. </w:t>
      </w:r>
      <w:r w:rsidR="00F516E0" w:rsidRPr="006B6990">
        <w:rPr>
          <w:rFonts w:ascii="Calibri" w:hAnsi="Calibri"/>
          <w:sz w:val="22"/>
          <w:szCs w:val="22"/>
        </w:rPr>
        <w:t>I této smlouvy</w:t>
      </w:r>
      <w:r w:rsidRPr="006B6990">
        <w:rPr>
          <w:rFonts w:ascii="Calibri" w:hAnsi="Calibri"/>
          <w:sz w:val="22"/>
          <w:szCs w:val="22"/>
        </w:rPr>
        <w:t>.</w:t>
      </w:r>
    </w:p>
    <w:p w14:paraId="1E5D8C1F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05D55051" w14:textId="77777777" w:rsidR="009B522B" w:rsidRPr="006B6990" w:rsidRDefault="009B522B" w:rsidP="00FF4CB7">
      <w:pPr>
        <w:widowControl w:val="0"/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NM se zavazuje dodávat dodavateli podklady k jednotlivým segmentům vždy nejpozději </w:t>
      </w:r>
      <w:r w:rsidRPr="003E04E9">
        <w:rPr>
          <w:rFonts w:ascii="Calibri" w:hAnsi="Calibri"/>
          <w:sz w:val="22"/>
          <w:szCs w:val="22"/>
        </w:rPr>
        <w:t>5 pracovních</w:t>
      </w:r>
      <w:r w:rsidRPr="006B6990">
        <w:rPr>
          <w:rFonts w:ascii="Calibri" w:hAnsi="Calibri"/>
          <w:sz w:val="22"/>
          <w:szCs w:val="22"/>
        </w:rPr>
        <w:t xml:space="preserve"> dní před zadaným termínem tisku v odpovídající kvalitě a to v elektronické formě.</w:t>
      </w:r>
    </w:p>
    <w:p w14:paraId="7AA6A3CE" w14:textId="77777777" w:rsidR="00A46684" w:rsidRPr="006B6990" w:rsidRDefault="00A46684" w:rsidP="00EC296C">
      <w:pPr>
        <w:widowControl w:val="0"/>
        <w:tabs>
          <w:tab w:val="left" w:pos="12240"/>
        </w:tabs>
        <w:spacing w:after="120"/>
        <w:jc w:val="both"/>
        <w:rPr>
          <w:rFonts w:ascii="Calibri" w:hAnsi="Calibri"/>
          <w:sz w:val="22"/>
          <w:szCs w:val="22"/>
        </w:rPr>
      </w:pPr>
    </w:p>
    <w:p w14:paraId="160535EA" w14:textId="77777777" w:rsidR="009B522B" w:rsidRPr="006B6990" w:rsidRDefault="009B522B" w:rsidP="00EC296C">
      <w:pPr>
        <w:pStyle w:val="Odstavecseseznamem"/>
        <w:widowControl w:val="0"/>
        <w:numPr>
          <w:ilvl w:val="0"/>
          <w:numId w:val="11"/>
        </w:numPr>
        <w:spacing w:after="120"/>
        <w:contextualSpacing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 xml:space="preserve"> Cena</w:t>
      </w:r>
    </w:p>
    <w:p w14:paraId="3EEEC18C" w14:textId="59F647D6" w:rsidR="009B522B" w:rsidRPr="006B6990" w:rsidRDefault="009B522B" w:rsidP="009B522B">
      <w:pPr>
        <w:widowControl w:val="0"/>
        <w:numPr>
          <w:ilvl w:val="0"/>
          <w:numId w:val="3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Ceny za jednotlivé segmenty jsou uvedeny v</w:t>
      </w:r>
      <w:r w:rsidR="00F516E0" w:rsidRPr="006B6990">
        <w:rPr>
          <w:rFonts w:ascii="Calibri" w:hAnsi="Calibri"/>
          <w:sz w:val="22"/>
          <w:szCs w:val="22"/>
        </w:rPr>
        <w:t> čl. I této smlouvy</w:t>
      </w:r>
      <w:r w:rsidRPr="006B6990">
        <w:rPr>
          <w:rFonts w:ascii="Calibri" w:hAnsi="Calibri"/>
          <w:sz w:val="22"/>
          <w:szCs w:val="22"/>
        </w:rPr>
        <w:t>.</w:t>
      </w:r>
    </w:p>
    <w:p w14:paraId="6883F78A" w14:textId="59BE53F1" w:rsidR="009B522B" w:rsidRPr="006B6990" w:rsidRDefault="009B522B" w:rsidP="009B522B">
      <w:pPr>
        <w:widowControl w:val="0"/>
        <w:numPr>
          <w:ilvl w:val="0"/>
          <w:numId w:val="3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Celková cena se stanovuje na</w:t>
      </w:r>
      <w:r w:rsidR="0064001B">
        <w:rPr>
          <w:rFonts w:ascii="Calibri" w:hAnsi="Calibri"/>
          <w:sz w:val="22"/>
          <w:szCs w:val="22"/>
        </w:rPr>
        <w:t xml:space="preserve"> </w:t>
      </w:r>
      <w:r w:rsidR="0064001B">
        <w:rPr>
          <w:rFonts w:ascii="Calibri" w:hAnsi="Calibri"/>
          <w:b/>
          <w:bCs/>
          <w:sz w:val="22"/>
          <w:szCs w:val="22"/>
        </w:rPr>
        <w:t>314 490 Kč bez DPH</w:t>
      </w:r>
      <w:r w:rsidR="0064001B">
        <w:rPr>
          <w:rFonts w:ascii="Calibri" w:hAnsi="Calibri"/>
          <w:sz w:val="22"/>
          <w:szCs w:val="22"/>
        </w:rPr>
        <w:t>, cena s DPH 380</w:t>
      </w:r>
      <w:r w:rsidR="00447C10">
        <w:rPr>
          <w:rFonts w:ascii="Calibri" w:hAnsi="Calibri"/>
          <w:sz w:val="22"/>
          <w:szCs w:val="22"/>
        </w:rPr>
        <w:t> </w:t>
      </w:r>
      <w:r w:rsidR="0064001B">
        <w:rPr>
          <w:rFonts w:ascii="Calibri" w:hAnsi="Calibri"/>
          <w:sz w:val="22"/>
          <w:szCs w:val="22"/>
        </w:rPr>
        <w:t>533</w:t>
      </w:r>
      <w:r w:rsidR="00447C10">
        <w:rPr>
          <w:rFonts w:ascii="Calibri" w:hAnsi="Calibri"/>
          <w:sz w:val="22"/>
          <w:szCs w:val="22"/>
        </w:rPr>
        <w:t xml:space="preserve"> </w:t>
      </w:r>
      <w:r w:rsidR="0064001B">
        <w:rPr>
          <w:rFonts w:ascii="Calibri" w:hAnsi="Calibri"/>
          <w:sz w:val="22"/>
          <w:szCs w:val="22"/>
        </w:rPr>
        <w:t>Kč</w:t>
      </w:r>
      <w:r w:rsidR="00447C10">
        <w:rPr>
          <w:rFonts w:ascii="Calibri" w:hAnsi="Calibri"/>
          <w:sz w:val="22"/>
          <w:szCs w:val="22"/>
        </w:rPr>
        <w:t>.</w:t>
      </w:r>
      <w:r w:rsidRPr="006B6990">
        <w:rPr>
          <w:rFonts w:ascii="Calibri" w:hAnsi="Calibri"/>
          <w:sz w:val="22"/>
          <w:szCs w:val="22"/>
        </w:rPr>
        <w:t xml:space="preserve"> Uvedené ceny se stanovují jako konečné.</w:t>
      </w:r>
    </w:p>
    <w:p w14:paraId="29BC679D" w14:textId="77777777" w:rsidR="009B522B" w:rsidRPr="006B6990" w:rsidRDefault="009B522B" w:rsidP="009B522B">
      <w:pPr>
        <w:widowControl w:val="0"/>
        <w:numPr>
          <w:ilvl w:val="0"/>
          <w:numId w:val="3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Případná změna ceny jednotlivých segmentů je možná pouze v případě změny zadání ze strany NM s tím, že se změnou musí písemně souhlasit obě strany. Případná změna celkové ceny je možná pouze formou číslovaného dodatku smlouvy, který se po připojení podpisu obou smluvních stran stane její nedílnou součástí.</w:t>
      </w:r>
    </w:p>
    <w:p w14:paraId="115E3BEA" w14:textId="77777777" w:rsidR="009B522B" w:rsidRPr="006B6990" w:rsidRDefault="009B522B" w:rsidP="00D24E26">
      <w:pPr>
        <w:ind w:left="720"/>
        <w:jc w:val="both"/>
        <w:rPr>
          <w:rFonts w:ascii="Calibri" w:hAnsi="Calibri"/>
          <w:sz w:val="22"/>
          <w:szCs w:val="22"/>
        </w:rPr>
      </w:pPr>
    </w:p>
    <w:p w14:paraId="672D459D" w14:textId="77777777" w:rsidR="009B522B" w:rsidRPr="006B6990" w:rsidRDefault="009B522B" w:rsidP="009B522B">
      <w:pPr>
        <w:jc w:val="center"/>
        <w:rPr>
          <w:rFonts w:ascii="Calibri" w:hAnsi="Calibri"/>
          <w:b/>
          <w:sz w:val="22"/>
          <w:szCs w:val="22"/>
        </w:rPr>
      </w:pPr>
    </w:p>
    <w:p w14:paraId="4ED48E6C" w14:textId="77777777" w:rsidR="009B522B" w:rsidRPr="006B6990" w:rsidRDefault="009B522B" w:rsidP="00EC296C">
      <w:pPr>
        <w:pStyle w:val="Odstavecseseznamem"/>
        <w:widowControl w:val="0"/>
        <w:numPr>
          <w:ilvl w:val="0"/>
          <w:numId w:val="11"/>
        </w:numPr>
        <w:spacing w:after="120"/>
        <w:ind w:left="1077"/>
        <w:contextualSpacing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>Platební podmínky</w:t>
      </w:r>
    </w:p>
    <w:p w14:paraId="079FEE18" w14:textId="77777777" w:rsidR="009B522B" w:rsidRPr="006B6990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Vyúčtování bude dodavatel provádět formou faktury – daňového dokladu.</w:t>
      </w:r>
    </w:p>
    <w:p w14:paraId="1D7DD23B" w14:textId="77777777" w:rsidR="009B522B" w:rsidRPr="006B6990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Dodavatel je oprávněn fakturovat vždy po provedení tisku a výlepu jednotlivého segmentu, a to nejdříve v den zdanitelného plnění.</w:t>
      </w:r>
    </w:p>
    <w:p w14:paraId="7EF6EE28" w14:textId="77777777" w:rsidR="009B522B" w:rsidRPr="006B6990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Daňový doklad bude obsahovat všechny náležitosti dle zákona č. 235/2004 Sb. ve znění pozdějších změn a doplňků.</w:t>
      </w:r>
    </w:p>
    <w:p w14:paraId="621B74BB" w14:textId="77777777" w:rsidR="005B2D38" w:rsidRPr="006B6990" w:rsidRDefault="005B2D38" w:rsidP="005B2D38">
      <w:pPr>
        <w:pStyle w:val="Zkladntextodsazen1"/>
        <w:ind w:left="708" w:firstLine="0"/>
        <w:rPr>
          <w:rFonts w:asciiTheme="minorHAnsi" w:hAnsiTheme="minorHAnsi" w:cs="Times New Roman"/>
          <w:sz w:val="22"/>
          <w:szCs w:val="22"/>
        </w:rPr>
      </w:pPr>
      <w:r w:rsidRPr="006B6990">
        <w:rPr>
          <w:rFonts w:asciiTheme="minorHAnsi" w:hAnsiTheme="minorHAnsi" w:cs="Times New Roman"/>
          <w:sz w:val="22"/>
          <w:szCs w:val="22"/>
        </w:rPr>
        <w:t xml:space="preserve">Každá faktura (daňový doklad) musí v souladu s platnou právní úpravou (zejm. ust. § 28 zákona č. 235/2004 Sb. v platném znění) obsahovat mimo jiné tyto náležitosti: </w:t>
      </w:r>
    </w:p>
    <w:p w14:paraId="525A220B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označení: daňový doklad číslo</w:t>
      </w:r>
    </w:p>
    <w:p w14:paraId="66D8E05A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název a sídlo zhotovitele i objednatele nebo jiný identifikátor</w:t>
      </w:r>
    </w:p>
    <w:p w14:paraId="2923CD2A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rozsah a předmět plnění</w:t>
      </w:r>
    </w:p>
    <w:p w14:paraId="5D829062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číslo smlouvy</w:t>
      </w:r>
    </w:p>
    <w:p w14:paraId="74E9EE6B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bankovní spojení zhotovitele</w:t>
      </w:r>
    </w:p>
    <w:p w14:paraId="4D6C7183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fakturovanou částku</w:t>
      </w:r>
    </w:p>
    <w:p w14:paraId="544B8522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lastRenderedPageBreak/>
        <w:t>označení díla a rozpis provedených prací</w:t>
      </w:r>
    </w:p>
    <w:p w14:paraId="703F3B52" w14:textId="77777777" w:rsidR="005B2D38" w:rsidRPr="006B6990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color w:val="000000"/>
          <w:sz w:val="22"/>
          <w:szCs w:val="22"/>
        </w:rPr>
      </w:pPr>
      <w:r w:rsidRPr="006B6990">
        <w:rPr>
          <w:rFonts w:asciiTheme="minorHAnsi" w:hAnsiTheme="minorHAnsi"/>
          <w:color w:val="000000"/>
          <w:sz w:val="22"/>
          <w:szCs w:val="22"/>
        </w:rPr>
        <w:t>soupis provedených prací dokladující oprávněnost fakturované částky potvrzený objednatelem</w:t>
      </w:r>
    </w:p>
    <w:p w14:paraId="44D3AE0D" w14:textId="77777777" w:rsidR="005B2D38" w:rsidRPr="006B6990" w:rsidRDefault="005B2D38" w:rsidP="005B2D38">
      <w:pPr>
        <w:numPr>
          <w:ilvl w:val="0"/>
          <w:numId w:val="5"/>
        </w:numPr>
        <w:tabs>
          <w:tab w:val="clear" w:pos="720"/>
          <w:tab w:val="left" w:pos="1512"/>
        </w:tabs>
        <w:ind w:left="1512"/>
        <w:jc w:val="both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doklad o předání a převzetí díla nebo jeho části</w:t>
      </w:r>
    </w:p>
    <w:p w14:paraId="07C90CE8" w14:textId="77777777" w:rsidR="00FF4CB7" w:rsidRPr="006B6990" w:rsidRDefault="005B2D38" w:rsidP="005B2D38">
      <w:pPr>
        <w:numPr>
          <w:ilvl w:val="0"/>
          <w:numId w:val="5"/>
        </w:numPr>
        <w:tabs>
          <w:tab w:val="clear" w:pos="720"/>
          <w:tab w:val="left" w:pos="1512"/>
        </w:tabs>
        <w:ind w:left="1512"/>
        <w:jc w:val="both"/>
        <w:rPr>
          <w:rFonts w:asciiTheme="minorHAnsi" w:hAnsiTheme="minorHAnsi"/>
          <w:sz w:val="22"/>
          <w:szCs w:val="22"/>
        </w:rPr>
      </w:pPr>
      <w:r w:rsidRPr="006B6990">
        <w:rPr>
          <w:rFonts w:asciiTheme="minorHAnsi" w:hAnsiTheme="minorHAnsi"/>
          <w:sz w:val="22"/>
          <w:szCs w:val="22"/>
        </w:rPr>
        <w:t>datum zdanitelného plnění a další náležitosti daňového dokladu v souladu s § 28 zákona č. 235/2004 Sb., o DPH ve znění pozdějších předpisů (výpočet DPH na haléře)</w:t>
      </w:r>
    </w:p>
    <w:p w14:paraId="4700CE23" w14:textId="77777777" w:rsidR="009B522B" w:rsidRPr="006B6990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V případě, že daňový doklad nebude obsahovat náležitosti daňového dokladu dle zákona o dani z přidané hodnoty nebo nebudou přiloženy řádné doklad (přílohy) smlouvou vyžadované, je NM oprávněno vrátit doklad dodavateli a požadovat vystavení řádného daňového dokladu. Tím se přerušuje lhůta splatnosti a doručením opraveného, doplněného daňového dokladu začne běžet nová lhůta splatnosti. Vrácení daňového dokladu uplatní NM do 7 pracovních dní ode dne jeho doručení od dodavatele.</w:t>
      </w:r>
    </w:p>
    <w:p w14:paraId="04F0F4DA" w14:textId="19127A0F" w:rsidR="005B2D38" w:rsidRPr="006B6990" w:rsidRDefault="005B2D38" w:rsidP="005B2D38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NM je povinno uhradit řádně vystavený daňový doklad dodavateli vždy nejpozději </w:t>
      </w:r>
      <w:r w:rsidR="00D24E26" w:rsidRPr="006B6990">
        <w:rPr>
          <w:rFonts w:ascii="Calibri" w:hAnsi="Calibri"/>
          <w:sz w:val="22"/>
          <w:szCs w:val="22"/>
        </w:rPr>
        <w:t>30</w:t>
      </w:r>
      <w:r w:rsidRPr="006B6990">
        <w:rPr>
          <w:rFonts w:ascii="Calibri" w:hAnsi="Calibri"/>
          <w:sz w:val="22"/>
          <w:szCs w:val="22"/>
        </w:rPr>
        <w:t xml:space="preserve"> kalendářních dnů ode dne jeho přijetí.</w:t>
      </w:r>
    </w:p>
    <w:p w14:paraId="2AEE0465" w14:textId="77777777" w:rsidR="009B522B" w:rsidRPr="006B6990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Daňový doklad je považován za uhrazený dnem odepsání fakturační částky z účtu NM.</w:t>
      </w:r>
    </w:p>
    <w:p w14:paraId="082B6F2F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53AB0A9B" w14:textId="5872C827" w:rsidR="009B522B" w:rsidRPr="00EC296C" w:rsidRDefault="009B522B" w:rsidP="008E04D9">
      <w:pPr>
        <w:pStyle w:val="Odstavecseseznamem"/>
        <w:widowControl w:val="0"/>
        <w:numPr>
          <w:ilvl w:val="0"/>
          <w:numId w:val="11"/>
        </w:numPr>
        <w:spacing w:after="120"/>
        <w:ind w:left="1077"/>
        <w:rPr>
          <w:rFonts w:ascii="Calibri" w:hAnsi="Calibri"/>
          <w:b/>
          <w:sz w:val="22"/>
          <w:szCs w:val="22"/>
        </w:rPr>
      </w:pPr>
      <w:r w:rsidRPr="00EC296C">
        <w:rPr>
          <w:rFonts w:ascii="Calibri" w:hAnsi="Calibri"/>
          <w:b/>
          <w:sz w:val="22"/>
          <w:szCs w:val="22"/>
        </w:rPr>
        <w:t>Smluvní pokuta</w:t>
      </w:r>
    </w:p>
    <w:p w14:paraId="63C2C116" w14:textId="67B7D9F2" w:rsidR="009B522B" w:rsidRPr="006B6990" w:rsidRDefault="009B522B" w:rsidP="00D24E26">
      <w:pPr>
        <w:pStyle w:val="Odstavecseseznamem"/>
        <w:widowControl w:val="0"/>
        <w:numPr>
          <w:ilvl w:val="0"/>
          <w:numId w:val="6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Dodavatel odpovídá za včasné, řádné a kvalitní plnění předmětu smlouvy.</w:t>
      </w:r>
    </w:p>
    <w:p w14:paraId="41764E98" w14:textId="77777777" w:rsidR="009B522B" w:rsidRPr="006B6990" w:rsidRDefault="009B522B" w:rsidP="009B522B">
      <w:pPr>
        <w:widowControl w:val="0"/>
        <w:numPr>
          <w:ilvl w:val="0"/>
          <w:numId w:val="6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NM je oprávněno v případě zjištění pozdního nebo nekvalitního plnění předmětu smlouvy, nejpozději však do deseti dnů po termínu stanoveném pro splnění jednotlivých segmentů, požadovat okamžitou nápravu, a to na náklady dodavatele. Nápravu nemůže požadovat v případě, že pozdní, respektive nekvalitní plnění bylo zaviněno prokazatelně opožděným dodáním podkladů k jednotlivým segmentům, respektive jejich špatnou kvalitou.</w:t>
      </w:r>
    </w:p>
    <w:p w14:paraId="72B202BE" w14:textId="77777777" w:rsidR="009B522B" w:rsidRPr="006B6990" w:rsidRDefault="009B522B" w:rsidP="009B522B">
      <w:pPr>
        <w:widowControl w:val="0"/>
        <w:numPr>
          <w:ilvl w:val="0"/>
          <w:numId w:val="7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V případě zaviněného prodlení při tisku nebo výlepu jednotlivých segmentů je NM oprávněno uložit dodavateli smluvní pokutu ve výši 0,1% z celkové ceny za každý i započatý den prodlení.</w:t>
      </w:r>
    </w:p>
    <w:p w14:paraId="190F21BF" w14:textId="77777777" w:rsidR="009B522B" w:rsidRPr="006B6990" w:rsidRDefault="009B522B" w:rsidP="009B522B">
      <w:p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</w:p>
    <w:p w14:paraId="748E6643" w14:textId="77777777" w:rsidR="009B522B" w:rsidRPr="006B6990" w:rsidRDefault="009B522B" w:rsidP="00EC296C">
      <w:pPr>
        <w:tabs>
          <w:tab w:val="left" w:pos="12240"/>
        </w:tabs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>VII. Odpovědnost za vady a záruky</w:t>
      </w:r>
    </w:p>
    <w:p w14:paraId="1DA817C7" w14:textId="77777777" w:rsidR="009B522B" w:rsidRPr="006B6990" w:rsidRDefault="009B522B" w:rsidP="009B522B">
      <w:pPr>
        <w:tabs>
          <w:tab w:val="left" w:pos="12240"/>
        </w:tabs>
        <w:ind w:left="720"/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Dodavatel je povinen provést předmět této Smlouvy tj. veškeré práce kompletně, v patřičné kvalitě odpovídající platným technickým normám ČR. Dodavatel odpovídá za odborné a kvalifikované provedení všech prací.</w:t>
      </w:r>
    </w:p>
    <w:p w14:paraId="54A4FF6A" w14:textId="77777777" w:rsidR="009B522B" w:rsidRPr="006B6990" w:rsidRDefault="009B522B" w:rsidP="009B522B">
      <w:pPr>
        <w:tabs>
          <w:tab w:val="left" w:pos="1224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58E76258" w14:textId="77777777" w:rsidR="009B522B" w:rsidRPr="006B6990" w:rsidRDefault="009B522B" w:rsidP="00EC296C">
      <w:pPr>
        <w:spacing w:after="120"/>
        <w:ind w:left="357"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>VIII.  Zvláštní ujednání</w:t>
      </w:r>
    </w:p>
    <w:p w14:paraId="104AAA62" w14:textId="77777777" w:rsidR="009B522B" w:rsidRPr="006B6990" w:rsidRDefault="009B522B" w:rsidP="00D24E26">
      <w:pPr>
        <w:widowControl w:val="0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NM se zavazuje poskytnout dodavateli součinnost nutnou pro splnění předmětu smlouvy.</w:t>
      </w:r>
    </w:p>
    <w:p w14:paraId="1B772874" w14:textId="77777777" w:rsidR="009B522B" w:rsidRPr="006B6990" w:rsidRDefault="009B522B" w:rsidP="00D24E26">
      <w:pPr>
        <w:widowControl w:val="0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Pokud NM neposkytne dodavateli součinnost podle ustanovení předchozího odstavce, vyhrazuje si dodavatel právo na změnu termínu provedení předmětných prací dle této smlouvy.</w:t>
      </w:r>
    </w:p>
    <w:p w14:paraId="45579C1E" w14:textId="77777777" w:rsidR="009B522B" w:rsidRPr="006B6990" w:rsidRDefault="009B522B" w:rsidP="00D24E26">
      <w:pPr>
        <w:widowControl w:val="0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Bude-li NM požadovat změny nebo doplňky předmětu plnění této smlouvy, vyhrazuje dodavateli právo na změnu termínu provedení předmětných prací, případně na změnu ceny.</w:t>
      </w:r>
    </w:p>
    <w:p w14:paraId="085EAE1E" w14:textId="77777777" w:rsidR="009B522B" w:rsidRPr="006B6990" w:rsidRDefault="009B522B" w:rsidP="00D24E2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334A7BA2" w14:textId="77777777" w:rsidR="009B522B" w:rsidRPr="006B6990" w:rsidRDefault="009B522B" w:rsidP="00EC296C">
      <w:pPr>
        <w:spacing w:after="120"/>
        <w:ind w:left="357"/>
        <w:rPr>
          <w:rFonts w:ascii="Calibri" w:hAnsi="Calibri"/>
          <w:b/>
          <w:sz w:val="22"/>
          <w:szCs w:val="22"/>
        </w:rPr>
      </w:pPr>
      <w:r w:rsidRPr="006B6990">
        <w:rPr>
          <w:rFonts w:ascii="Calibri" w:hAnsi="Calibri"/>
          <w:b/>
          <w:sz w:val="22"/>
          <w:szCs w:val="22"/>
        </w:rPr>
        <w:t>IX.  Závěrečná ustanovení</w:t>
      </w:r>
    </w:p>
    <w:p w14:paraId="7E9FAE25" w14:textId="76FEC78A" w:rsidR="009B522B" w:rsidRPr="006B6990" w:rsidRDefault="009B522B" w:rsidP="009B522B">
      <w:pPr>
        <w:widowControl w:val="0"/>
        <w:numPr>
          <w:ilvl w:val="0"/>
          <w:numId w:val="8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Po ukončení výlepů je dodavatel povinen dodat závěrečnou zprávu zásahovosti kampaně, kvalitní fotodokumentaci a přesný popis míst, kde byly </w:t>
      </w:r>
      <w:r w:rsidR="00C9288C" w:rsidRPr="006B6990">
        <w:rPr>
          <w:rFonts w:ascii="Calibri" w:hAnsi="Calibri"/>
          <w:sz w:val="22"/>
          <w:szCs w:val="22"/>
        </w:rPr>
        <w:t xml:space="preserve">plakáty </w:t>
      </w:r>
      <w:r w:rsidRPr="006B6990">
        <w:rPr>
          <w:rFonts w:ascii="Calibri" w:hAnsi="Calibri"/>
          <w:sz w:val="22"/>
          <w:szCs w:val="22"/>
        </w:rPr>
        <w:t xml:space="preserve">vylepeny a to </w:t>
      </w:r>
      <w:r w:rsidR="00C52440" w:rsidRPr="006B6990">
        <w:rPr>
          <w:rFonts w:ascii="Calibri" w:hAnsi="Calibri"/>
          <w:sz w:val="22"/>
          <w:szCs w:val="22"/>
        </w:rPr>
        <w:t xml:space="preserve">elektronicky na adresu </w:t>
      </w:r>
      <w:r w:rsidR="002255E8">
        <w:rPr>
          <w:rFonts w:ascii="Calibri" w:hAnsi="Calibri"/>
          <w:sz w:val="22"/>
          <w:szCs w:val="22"/>
        </w:rPr>
        <w:t>xxxxxxxxxxxxx</w:t>
      </w:r>
    </w:p>
    <w:p w14:paraId="4EE8C996" w14:textId="77777777" w:rsidR="009B522B" w:rsidRPr="006B6990" w:rsidRDefault="009B522B" w:rsidP="009B522B">
      <w:pPr>
        <w:widowControl w:val="0"/>
        <w:numPr>
          <w:ilvl w:val="0"/>
          <w:numId w:val="8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Veškeré vztahy, které nejsou přímo touto smlouvou upraveny</w:t>
      </w:r>
      <w:r w:rsidR="005B2D38" w:rsidRPr="006B6990">
        <w:rPr>
          <w:rFonts w:ascii="Calibri" w:hAnsi="Calibri"/>
          <w:sz w:val="22"/>
          <w:szCs w:val="22"/>
        </w:rPr>
        <w:t>,</w:t>
      </w:r>
      <w:r w:rsidRPr="006B6990">
        <w:rPr>
          <w:rFonts w:ascii="Calibri" w:hAnsi="Calibri"/>
          <w:sz w:val="22"/>
          <w:szCs w:val="22"/>
        </w:rPr>
        <w:t xml:space="preserve"> se řídí příslušnými ustanoveními občanského zákoníku.</w:t>
      </w:r>
    </w:p>
    <w:p w14:paraId="538A5AFB" w14:textId="77777777" w:rsidR="009B522B" w:rsidRPr="006B6990" w:rsidRDefault="009B522B" w:rsidP="009B522B">
      <w:pPr>
        <w:widowControl w:val="0"/>
        <w:numPr>
          <w:ilvl w:val="0"/>
          <w:numId w:val="9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Veškeré změny či doplňky této smlouvy jsou možné pouze formou písemných dodatků, které se po připojení podpisu obou smluvních stran stanou nedílnou součástí této smlouvy.</w:t>
      </w:r>
    </w:p>
    <w:p w14:paraId="40AB922D" w14:textId="26C64A74" w:rsidR="00C9288C" w:rsidRPr="006B6990" w:rsidRDefault="000A149E" w:rsidP="009B522B">
      <w:pPr>
        <w:widowControl w:val="0"/>
        <w:numPr>
          <w:ilvl w:val="0"/>
          <w:numId w:val="9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C52440" w:rsidRPr="006B6990">
        <w:rPr>
          <w:rFonts w:ascii="Calibri" w:hAnsi="Calibri"/>
          <w:sz w:val="22"/>
          <w:szCs w:val="22"/>
        </w:rPr>
        <w:t xml:space="preserve">ato smlouva nabývá platnosti dnem podpisu oběma smluvními stranami a účinnosti dnem uveřejnění v registru smluv podle zákona o registru smluv. </w:t>
      </w:r>
    </w:p>
    <w:p w14:paraId="289BAD27" w14:textId="20516099" w:rsidR="00C9288C" w:rsidRPr="006B6990" w:rsidRDefault="009B522B" w:rsidP="005D54CC">
      <w:pPr>
        <w:widowControl w:val="0"/>
        <w:numPr>
          <w:ilvl w:val="0"/>
          <w:numId w:val="10"/>
        </w:numPr>
        <w:tabs>
          <w:tab w:val="left" w:pos="12240"/>
        </w:tabs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lastRenderedPageBreak/>
        <w:t xml:space="preserve">Tato smlouva </w:t>
      </w:r>
      <w:r w:rsidR="00C9288C" w:rsidRPr="006B6990">
        <w:rPr>
          <w:rFonts w:ascii="Calibri" w:hAnsi="Calibri"/>
          <w:sz w:val="22"/>
          <w:szCs w:val="22"/>
        </w:rPr>
        <w:t xml:space="preserve">je </w:t>
      </w:r>
      <w:r w:rsidRPr="006B6990">
        <w:rPr>
          <w:rFonts w:ascii="Calibri" w:hAnsi="Calibri"/>
          <w:sz w:val="22"/>
          <w:szCs w:val="22"/>
        </w:rPr>
        <w:t>vyhotov</w:t>
      </w:r>
      <w:r w:rsidR="00C9288C" w:rsidRPr="006B6990">
        <w:rPr>
          <w:rFonts w:ascii="Calibri" w:hAnsi="Calibri"/>
          <w:sz w:val="22"/>
          <w:szCs w:val="22"/>
        </w:rPr>
        <w:t xml:space="preserve">ena </w:t>
      </w:r>
      <w:r w:rsidRPr="006B6990">
        <w:rPr>
          <w:rFonts w:ascii="Calibri" w:hAnsi="Calibri"/>
          <w:sz w:val="22"/>
          <w:szCs w:val="22"/>
        </w:rPr>
        <w:t xml:space="preserve">ve </w:t>
      </w:r>
      <w:r w:rsidR="00DD5944">
        <w:rPr>
          <w:rFonts w:ascii="Calibri" w:hAnsi="Calibri"/>
          <w:sz w:val="22"/>
          <w:szCs w:val="22"/>
        </w:rPr>
        <w:t>třech</w:t>
      </w:r>
      <w:r w:rsidRPr="006B6990">
        <w:rPr>
          <w:rFonts w:ascii="Calibri" w:hAnsi="Calibri"/>
          <w:sz w:val="22"/>
          <w:szCs w:val="22"/>
        </w:rPr>
        <w:t xml:space="preserve"> stejnopisech</w:t>
      </w:r>
      <w:r w:rsidR="00C9288C" w:rsidRPr="006B6990">
        <w:rPr>
          <w:rFonts w:ascii="Calibri" w:hAnsi="Calibri"/>
          <w:sz w:val="22"/>
          <w:szCs w:val="22"/>
        </w:rPr>
        <w:t xml:space="preserve">, </w:t>
      </w:r>
      <w:r w:rsidR="000E400A">
        <w:rPr>
          <w:rFonts w:ascii="Calibri" w:hAnsi="Calibri"/>
          <w:sz w:val="22"/>
          <w:szCs w:val="22"/>
        </w:rPr>
        <w:t>dva</w:t>
      </w:r>
      <w:r w:rsidR="0059201C">
        <w:rPr>
          <w:rFonts w:ascii="Calibri" w:hAnsi="Calibri"/>
          <w:sz w:val="22"/>
          <w:szCs w:val="22"/>
        </w:rPr>
        <w:t xml:space="preserve"> </w:t>
      </w:r>
      <w:r w:rsidR="00632848">
        <w:rPr>
          <w:rFonts w:ascii="Calibri" w:hAnsi="Calibri"/>
          <w:sz w:val="22"/>
          <w:szCs w:val="22"/>
        </w:rPr>
        <w:t xml:space="preserve">obdrží </w:t>
      </w:r>
      <w:r w:rsidR="0059201C">
        <w:rPr>
          <w:rFonts w:ascii="Calibri" w:hAnsi="Calibri"/>
          <w:sz w:val="22"/>
          <w:szCs w:val="22"/>
        </w:rPr>
        <w:t xml:space="preserve">NM a jeden </w:t>
      </w:r>
      <w:r w:rsidR="00632848">
        <w:rPr>
          <w:rFonts w:ascii="Calibri" w:hAnsi="Calibri"/>
          <w:sz w:val="22"/>
          <w:szCs w:val="22"/>
        </w:rPr>
        <w:t>dodavatel</w:t>
      </w:r>
      <w:r w:rsidR="00C9288C" w:rsidRPr="006B6990">
        <w:rPr>
          <w:rFonts w:ascii="Calibri" w:hAnsi="Calibri"/>
          <w:sz w:val="22"/>
          <w:szCs w:val="22"/>
        </w:rPr>
        <w:t>.</w:t>
      </w:r>
    </w:p>
    <w:p w14:paraId="41E13EAE" w14:textId="77777777" w:rsidR="009B522B" w:rsidRPr="006B6990" w:rsidRDefault="009B522B" w:rsidP="009B522B">
      <w:pPr>
        <w:pStyle w:val="Odstavecseseznamem"/>
        <w:numPr>
          <w:ilvl w:val="0"/>
          <w:numId w:val="10"/>
        </w:numPr>
        <w:suppressAutoHyphens w:val="0"/>
        <w:spacing w:after="240" w:line="240" w:lineRule="atLeast"/>
        <w:contextualSpacing/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Případné odstoupení od smlouvy musí být učiněno písemně a je účinné doručením druhé smluvní straně.</w:t>
      </w:r>
    </w:p>
    <w:p w14:paraId="21137784" w14:textId="02D6ABF9" w:rsidR="00C9288C" w:rsidRPr="006B6990" w:rsidRDefault="00C9288C" w:rsidP="009B522B">
      <w:pPr>
        <w:pStyle w:val="Odstavecseseznamem"/>
        <w:numPr>
          <w:ilvl w:val="0"/>
          <w:numId w:val="10"/>
        </w:numPr>
        <w:suppressAutoHyphens w:val="0"/>
        <w:spacing w:after="240" w:line="240" w:lineRule="atLeast"/>
        <w:contextualSpacing/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Smluvní strany prohlašují, že se zněním této smlouvy se podrobně seznámily, že tato smlouva je projevem jejich pravé a vážné vůle, důkaz čehož připojují své vlastnoruční podpisy. Dále prohlašují, že tuto smlouvu neuzavřeli v tísni za nápadně nevýhodných podmínek.</w:t>
      </w:r>
    </w:p>
    <w:p w14:paraId="792E64E3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03E143D7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73F44DD1" w14:textId="602DBE64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>V Praze dne</w:t>
      </w:r>
      <w:r w:rsidRPr="006B6990">
        <w:rPr>
          <w:rFonts w:ascii="Calibri" w:hAnsi="Calibri"/>
          <w:sz w:val="22"/>
          <w:szCs w:val="22"/>
        </w:rPr>
        <w:tab/>
        <w:t xml:space="preserve">                                                           </w:t>
      </w:r>
      <w:r w:rsidR="008E04D9">
        <w:rPr>
          <w:rFonts w:ascii="Calibri" w:hAnsi="Calibri"/>
          <w:sz w:val="22"/>
          <w:szCs w:val="22"/>
        </w:rPr>
        <w:tab/>
      </w:r>
      <w:r w:rsidR="0069329F" w:rsidRPr="006B6990">
        <w:rPr>
          <w:rFonts w:ascii="Calibri" w:hAnsi="Calibri"/>
          <w:sz w:val="22"/>
          <w:szCs w:val="22"/>
        </w:rPr>
        <w:t>V Praze dne</w:t>
      </w:r>
      <w:r w:rsidR="0069329F" w:rsidRPr="00943A34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7E5A4C66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6931E076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397CEF00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08E9AE91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07DAA2CE" w14:textId="77777777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</w:p>
    <w:p w14:paraId="69A4802A" w14:textId="1C0A038A" w:rsidR="009B522B" w:rsidRPr="006B6990" w:rsidRDefault="009B522B" w:rsidP="009B522B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...................................................                               </w:t>
      </w:r>
      <w:r w:rsidR="008E04D9">
        <w:rPr>
          <w:rFonts w:ascii="Calibri" w:hAnsi="Calibri"/>
          <w:sz w:val="22"/>
          <w:szCs w:val="22"/>
        </w:rPr>
        <w:tab/>
      </w:r>
      <w:r w:rsidRPr="006B6990">
        <w:rPr>
          <w:rFonts w:ascii="Calibri" w:hAnsi="Calibri"/>
          <w:sz w:val="22"/>
          <w:szCs w:val="22"/>
        </w:rPr>
        <w:t>..................................................</w:t>
      </w:r>
    </w:p>
    <w:p w14:paraId="0EE53363" w14:textId="77777777" w:rsidR="008C7FA0" w:rsidRDefault="009B522B" w:rsidP="008C5F9C">
      <w:pPr>
        <w:jc w:val="both"/>
        <w:rPr>
          <w:rFonts w:ascii="Calibri" w:hAnsi="Calibri"/>
          <w:sz w:val="22"/>
          <w:szCs w:val="22"/>
        </w:rPr>
      </w:pPr>
      <w:r w:rsidRPr="006B6990">
        <w:rPr>
          <w:rFonts w:ascii="Calibri" w:hAnsi="Calibri"/>
          <w:sz w:val="22"/>
          <w:szCs w:val="22"/>
        </w:rPr>
        <w:t xml:space="preserve">Národní muzeum                                                </w:t>
      </w:r>
      <w:r w:rsidRPr="006B6990">
        <w:rPr>
          <w:rFonts w:ascii="Calibri" w:hAnsi="Calibri"/>
          <w:sz w:val="22"/>
          <w:szCs w:val="22"/>
        </w:rPr>
        <w:tab/>
      </w:r>
      <w:r w:rsidR="00DE790B">
        <w:rPr>
          <w:rFonts w:ascii="Calibri" w:hAnsi="Calibri"/>
          <w:sz w:val="22"/>
          <w:szCs w:val="22"/>
        </w:rPr>
        <w:t xml:space="preserve">   </w:t>
      </w:r>
      <w:r w:rsidR="008E04D9">
        <w:rPr>
          <w:rFonts w:ascii="Calibri" w:hAnsi="Calibri"/>
          <w:sz w:val="22"/>
          <w:szCs w:val="22"/>
        </w:rPr>
        <w:tab/>
      </w:r>
      <w:r w:rsidR="008C7FA0">
        <w:rPr>
          <w:rFonts w:ascii="Calibri" w:hAnsi="Calibri"/>
          <w:sz w:val="22"/>
          <w:szCs w:val="22"/>
        </w:rPr>
        <w:t xml:space="preserve">ADJUST ART, spol. s.r.o. </w:t>
      </w:r>
    </w:p>
    <w:p w14:paraId="1D039B33" w14:textId="77777777" w:rsidR="003A6059" w:rsidRDefault="001D3EAB" w:rsidP="003A605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Patrik Košický</w:t>
      </w:r>
      <w:r w:rsidR="008C5F9C">
        <w:rPr>
          <w:rFonts w:ascii="Calibri" w:hAnsi="Calibri"/>
          <w:sz w:val="22"/>
          <w:szCs w:val="22"/>
        </w:rPr>
        <w:tab/>
      </w:r>
      <w:r w:rsidR="008C5F9C">
        <w:rPr>
          <w:rFonts w:ascii="Calibri" w:hAnsi="Calibri"/>
          <w:sz w:val="22"/>
          <w:szCs w:val="22"/>
        </w:rPr>
        <w:tab/>
      </w:r>
      <w:r w:rsidR="008C5F9C">
        <w:rPr>
          <w:rFonts w:ascii="Calibri" w:hAnsi="Calibri"/>
          <w:sz w:val="22"/>
          <w:szCs w:val="22"/>
        </w:rPr>
        <w:tab/>
      </w:r>
      <w:r w:rsidR="008C5F9C">
        <w:rPr>
          <w:rFonts w:ascii="Calibri" w:hAnsi="Calibri"/>
          <w:sz w:val="22"/>
          <w:szCs w:val="22"/>
        </w:rPr>
        <w:tab/>
      </w:r>
      <w:r w:rsidR="008C5F9C" w:rsidRPr="00F57D2D">
        <w:rPr>
          <w:rFonts w:ascii="Calibri" w:hAnsi="Calibri"/>
          <w:sz w:val="22"/>
          <w:szCs w:val="22"/>
        </w:rPr>
        <w:t xml:space="preserve"> </w:t>
      </w:r>
      <w:r w:rsidR="008C7FA0">
        <w:rPr>
          <w:rFonts w:ascii="Calibri" w:hAnsi="Calibri"/>
          <w:sz w:val="22"/>
          <w:szCs w:val="22"/>
        </w:rPr>
        <w:tab/>
      </w:r>
      <w:r w:rsidR="003A6059">
        <w:rPr>
          <w:rFonts w:ascii="Calibri" w:hAnsi="Calibri"/>
          <w:sz w:val="22"/>
          <w:szCs w:val="22"/>
        </w:rPr>
        <w:t>Ivana Zemancová</w:t>
      </w:r>
    </w:p>
    <w:p w14:paraId="5AC20B1E" w14:textId="54FD0193" w:rsidR="00195A08" w:rsidRDefault="002052B2" w:rsidP="009B52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</w:t>
      </w:r>
      <w:r w:rsidR="001D3EAB">
        <w:rPr>
          <w:rFonts w:ascii="Calibri" w:hAnsi="Calibri"/>
          <w:sz w:val="22"/>
          <w:szCs w:val="22"/>
        </w:rPr>
        <w:t>editel Kanceláře generál</w:t>
      </w:r>
      <w:r>
        <w:rPr>
          <w:rFonts w:ascii="Calibri" w:hAnsi="Calibri"/>
          <w:sz w:val="22"/>
          <w:szCs w:val="22"/>
        </w:rPr>
        <w:t>ního ředitele</w:t>
      </w:r>
      <w:r w:rsidR="009B522B" w:rsidRPr="006B6990">
        <w:rPr>
          <w:rFonts w:ascii="Calibri" w:hAnsi="Calibri"/>
          <w:sz w:val="22"/>
          <w:szCs w:val="22"/>
        </w:rPr>
        <w:tab/>
      </w:r>
      <w:r w:rsidR="00A022CA">
        <w:rPr>
          <w:rFonts w:ascii="Calibri" w:hAnsi="Calibri"/>
          <w:sz w:val="22"/>
          <w:szCs w:val="22"/>
        </w:rPr>
        <w:tab/>
      </w:r>
      <w:r w:rsidR="003A6059">
        <w:rPr>
          <w:rFonts w:ascii="Calibri" w:hAnsi="Calibri"/>
          <w:sz w:val="22"/>
          <w:szCs w:val="22"/>
        </w:rPr>
        <w:tab/>
        <w:t>jednatelka</w:t>
      </w:r>
      <w:r w:rsidR="002C22D2">
        <w:rPr>
          <w:rFonts w:ascii="Calibri" w:hAnsi="Calibri"/>
          <w:sz w:val="22"/>
          <w:szCs w:val="22"/>
        </w:rPr>
        <w:tab/>
      </w:r>
      <w:r w:rsidR="002C22D2">
        <w:rPr>
          <w:rFonts w:ascii="Calibri" w:hAnsi="Calibri"/>
          <w:sz w:val="22"/>
          <w:szCs w:val="22"/>
        </w:rPr>
        <w:tab/>
      </w:r>
    </w:p>
    <w:p w14:paraId="3DE894DB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009BFAB8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1C4A2667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7242F5A2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6EEDA5F8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15599FE8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1939EEF7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0506DED5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3F160342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57DF68E4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7C5F89A7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0074D982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42EDAA15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2898BDBB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3025AA84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4067AFC3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67690DDD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428BD492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455F534A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46D057E9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679FCFDA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0887A194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1914B018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222B5F33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352F534E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370B5B78" w14:textId="681B373C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7722D987" w14:textId="3DD182CA" w:rsidR="00DA1612" w:rsidRDefault="00DA1612" w:rsidP="009B522B">
      <w:pPr>
        <w:jc w:val="both"/>
        <w:rPr>
          <w:rFonts w:ascii="Calibri" w:hAnsi="Calibri"/>
          <w:sz w:val="22"/>
          <w:szCs w:val="22"/>
        </w:rPr>
      </w:pPr>
    </w:p>
    <w:p w14:paraId="299341C5" w14:textId="77777777" w:rsidR="00962348" w:rsidRDefault="00962348" w:rsidP="009B522B">
      <w:pPr>
        <w:jc w:val="both"/>
        <w:rPr>
          <w:rFonts w:ascii="Calibri" w:hAnsi="Calibri"/>
          <w:sz w:val="22"/>
          <w:szCs w:val="22"/>
        </w:rPr>
      </w:pPr>
    </w:p>
    <w:p w14:paraId="0D9953F3" w14:textId="4E36432E" w:rsidR="00DA1612" w:rsidRDefault="00DA1612" w:rsidP="009B522B">
      <w:pPr>
        <w:jc w:val="both"/>
        <w:rPr>
          <w:rFonts w:ascii="Calibri" w:hAnsi="Calibri"/>
          <w:sz w:val="22"/>
          <w:szCs w:val="22"/>
        </w:rPr>
      </w:pPr>
    </w:p>
    <w:p w14:paraId="12BC1481" w14:textId="77777777" w:rsidR="00DA1612" w:rsidRDefault="00DA1612" w:rsidP="009B522B">
      <w:pPr>
        <w:jc w:val="both"/>
        <w:rPr>
          <w:rFonts w:ascii="Calibri" w:hAnsi="Calibri"/>
          <w:sz w:val="22"/>
          <w:szCs w:val="22"/>
        </w:rPr>
      </w:pPr>
    </w:p>
    <w:p w14:paraId="06535BA8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7F95CAF2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426B3A10" w14:textId="77777777" w:rsidR="00195A08" w:rsidRDefault="00195A08" w:rsidP="009B522B">
      <w:pPr>
        <w:jc w:val="both"/>
        <w:rPr>
          <w:rFonts w:ascii="Calibri" w:hAnsi="Calibri"/>
          <w:sz w:val="22"/>
          <w:szCs w:val="22"/>
        </w:rPr>
      </w:pPr>
    </w:p>
    <w:p w14:paraId="1EBADC5D" w14:textId="1A2C7494" w:rsidR="00195A08" w:rsidRPr="00EF7284" w:rsidRDefault="00195A08" w:rsidP="00195A08">
      <w:pPr>
        <w:jc w:val="both"/>
        <w:rPr>
          <w:rFonts w:ascii="Calibri" w:hAnsi="Calibri"/>
          <w:sz w:val="22"/>
          <w:szCs w:val="22"/>
        </w:rPr>
      </w:pPr>
      <w:r w:rsidRPr="00EF7284">
        <w:rPr>
          <w:rFonts w:ascii="Calibri" w:hAnsi="Calibri"/>
          <w:sz w:val="22"/>
          <w:szCs w:val="22"/>
        </w:rPr>
        <w:lastRenderedPageBreak/>
        <w:t xml:space="preserve">Příloha č. 1 </w:t>
      </w:r>
    </w:p>
    <w:p w14:paraId="01A49C61" w14:textId="77777777" w:rsidR="00195A08" w:rsidRPr="00EF7284" w:rsidRDefault="00195A08" w:rsidP="00195A08">
      <w:pPr>
        <w:rPr>
          <w:rFonts w:ascii="Calibri" w:hAnsi="Calibri"/>
          <w:b/>
          <w:color w:val="000000"/>
          <w:sz w:val="22"/>
          <w:szCs w:val="22"/>
        </w:rPr>
      </w:pPr>
    </w:p>
    <w:p w14:paraId="230FD862" w14:textId="77777777" w:rsidR="00195A08" w:rsidRPr="00EF7284" w:rsidRDefault="00195A08" w:rsidP="00195A08">
      <w:pPr>
        <w:rPr>
          <w:rFonts w:ascii="Calibri" w:hAnsi="Calibri"/>
          <w:b/>
          <w:color w:val="000000"/>
          <w:sz w:val="22"/>
          <w:szCs w:val="22"/>
        </w:rPr>
      </w:pPr>
      <w:r w:rsidRPr="00EF7284">
        <w:rPr>
          <w:rFonts w:ascii="Calibri" w:hAnsi="Calibri"/>
          <w:b/>
          <w:color w:val="000000"/>
          <w:sz w:val="22"/>
          <w:szCs w:val="22"/>
        </w:rPr>
        <w:t>Specifikace rozsahu a členění zakázky s názvem</w:t>
      </w:r>
      <w:r w:rsidRPr="00EF7284">
        <w:rPr>
          <w:rFonts w:ascii="Calibri" w:hAnsi="Calibri"/>
          <w:b/>
          <w:sz w:val="22"/>
          <w:szCs w:val="22"/>
        </w:rPr>
        <w:t xml:space="preserve"> </w:t>
      </w:r>
      <w:r w:rsidRPr="00EF7284">
        <w:rPr>
          <w:rFonts w:ascii="Calibri" w:hAnsi="Calibri"/>
          <w:b/>
          <w:color w:val="000000"/>
          <w:sz w:val="22"/>
          <w:szCs w:val="22"/>
        </w:rPr>
        <w:t>Výlepová kampaň Bejvávalo dobře?</w:t>
      </w:r>
    </w:p>
    <w:p w14:paraId="31ECE259" w14:textId="77777777" w:rsidR="00195A08" w:rsidRPr="00EF7284" w:rsidRDefault="00195A08" w:rsidP="00195A08">
      <w:pPr>
        <w:rPr>
          <w:rFonts w:ascii="Calibri" w:hAnsi="Calibri"/>
          <w:b/>
          <w:color w:val="000000"/>
          <w:sz w:val="22"/>
          <w:szCs w:val="22"/>
        </w:rPr>
      </w:pPr>
    </w:p>
    <w:p w14:paraId="67B43EE4" w14:textId="41733457" w:rsidR="00195A08" w:rsidRPr="00EF7284" w:rsidRDefault="00195A08" w:rsidP="00195A08">
      <w:pPr>
        <w:spacing w:after="120"/>
        <w:rPr>
          <w:rFonts w:ascii="Calibri" w:hAnsi="Calibri"/>
          <w:b/>
          <w:color w:val="000000"/>
          <w:sz w:val="22"/>
          <w:szCs w:val="22"/>
        </w:rPr>
      </w:pPr>
      <w:r w:rsidRPr="00EF7284">
        <w:rPr>
          <w:rFonts w:ascii="Calibri" w:hAnsi="Calibri"/>
          <w:bCs/>
          <w:color w:val="000000"/>
          <w:sz w:val="22"/>
          <w:szCs w:val="22"/>
        </w:rPr>
        <w:t xml:space="preserve">Termín kampaně: </w:t>
      </w:r>
      <w:r w:rsidRPr="00AD35FB">
        <w:rPr>
          <w:rFonts w:ascii="Calibri" w:hAnsi="Calibri"/>
          <w:bCs/>
          <w:color w:val="000000"/>
          <w:sz w:val="22"/>
          <w:szCs w:val="22"/>
        </w:rPr>
        <w:t>1. 10.</w:t>
      </w:r>
      <w:r w:rsidR="00BB0A93" w:rsidRPr="00AD35FB">
        <w:rPr>
          <w:rFonts w:ascii="Calibri" w:hAnsi="Calibri"/>
          <w:bCs/>
          <w:color w:val="000000"/>
          <w:sz w:val="22"/>
          <w:szCs w:val="22"/>
        </w:rPr>
        <w:t xml:space="preserve"> 2021</w:t>
      </w:r>
      <w:r w:rsidRPr="00AD35FB">
        <w:rPr>
          <w:rFonts w:ascii="Calibri" w:hAnsi="Calibri"/>
          <w:bCs/>
          <w:color w:val="000000"/>
          <w:sz w:val="22"/>
          <w:szCs w:val="22"/>
        </w:rPr>
        <w:t xml:space="preserve"> – 30. 11. 2021</w:t>
      </w:r>
      <w:r w:rsidRPr="00EF7284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14:paraId="08DDAF20" w14:textId="4890386C" w:rsidR="00195A08" w:rsidRPr="00EF7284" w:rsidRDefault="00195A08" w:rsidP="00195A08">
      <w:pPr>
        <w:spacing w:after="120"/>
        <w:rPr>
          <w:rFonts w:ascii="Calibri" w:hAnsi="Calibri"/>
          <w:b/>
          <w:color w:val="000000"/>
          <w:sz w:val="22"/>
          <w:szCs w:val="22"/>
        </w:rPr>
      </w:pPr>
      <w:r w:rsidRPr="00EF7284">
        <w:rPr>
          <w:rFonts w:ascii="Calibri" w:hAnsi="Calibri"/>
          <w:bCs/>
          <w:color w:val="000000"/>
          <w:sz w:val="22"/>
          <w:szCs w:val="22"/>
        </w:rPr>
        <w:t>Cena za tisk/4 motiv</w:t>
      </w:r>
      <w:r w:rsidR="00BB0A93" w:rsidRPr="00EF7284">
        <w:rPr>
          <w:rFonts w:ascii="Calibri" w:hAnsi="Calibri"/>
          <w:bCs/>
          <w:color w:val="000000"/>
          <w:sz w:val="22"/>
          <w:szCs w:val="22"/>
        </w:rPr>
        <w:t>y</w:t>
      </w:r>
      <w:r w:rsidRPr="00EF7284">
        <w:rPr>
          <w:rFonts w:ascii="Calibri" w:hAnsi="Calibri"/>
          <w:bCs/>
          <w:color w:val="000000"/>
          <w:sz w:val="22"/>
          <w:szCs w:val="22"/>
        </w:rPr>
        <w:t xml:space="preserve">: </w:t>
      </w:r>
      <w:r w:rsidR="00F00CB2" w:rsidRPr="00EF7284">
        <w:rPr>
          <w:rFonts w:ascii="Calibri" w:hAnsi="Calibri"/>
          <w:bCs/>
          <w:color w:val="000000"/>
          <w:sz w:val="22"/>
          <w:szCs w:val="22"/>
        </w:rPr>
        <w:t>15 500 Kč</w:t>
      </w:r>
    </w:p>
    <w:p w14:paraId="1BC91476" w14:textId="77777777" w:rsidR="00EF7284" w:rsidRDefault="00195A08" w:rsidP="00EF7284">
      <w:pPr>
        <w:spacing w:after="120"/>
        <w:rPr>
          <w:rFonts w:ascii="Calibri" w:hAnsi="Calibri"/>
          <w:b/>
          <w:color w:val="000000"/>
          <w:sz w:val="22"/>
          <w:szCs w:val="22"/>
        </w:rPr>
      </w:pPr>
      <w:r w:rsidRPr="00EF7284">
        <w:rPr>
          <w:rFonts w:ascii="Calibri" w:hAnsi="Calibri"/>
          <w:bCs/>
          <w:color w:val="000000"/>
          <w:sz w:val="22"/>
          <w:szCs w:val="22"/>
        </w:rPr>
        <w:t xml:space="preserve">Celková cena v Kč bez DPH: </w:t>
      </w:r>
      <w:r w:rsidR="00EF7284" w:rsidRPr="00EF7284">
        <w:rPr>
          <w:rFonts w:ascii="Calibri" w:hAnsi="Calibri"/>
          <w:bCs/>
          <w:color w:val="000000"/>
          <w:sz w:val="22"/>
          <w:szCs w:val="22"/>
        </w:rPr>
        <w:t>314 490,-Kč</w:t>
      </w:r>
    </w:p>
    <w:p w14:paraId="388A7802" w14:textId="77777777" w:rsidR="00195A08" w:rsidRDefault="00195A08" w:rsidP="00195A08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44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021"/>
        <w:gridCol w:w="1135"/>
        <w:gridCol w:w="991"/>
        <w:gridCol w:w="991"/>
        <w:gridCol w:w="1135"/>
        <w:gridCol w:w="988"/>
      </w:tblGrid>
      <w:tr w:rsidR="004B161D" w:rsidRPr="00D52A5F" w14:paraId="090109AB" w14:textId="77777777" w:rsidTr="00502F3B">
        <w:trPr>
          <w:trHeight w:val="40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EA4" w14:textId="77777777" w:rsidR="004B161D" w:rsidRPr="00D52A5F" w:rsidRDefault="004B161D" w:rsidP="006751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7B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 plochy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/termín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239" w14:textId="4AA5BCA9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5.10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39E" w14:textId="5CEDF738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.10.-1.1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CA3" w14:textId="3AEE8E8E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1.-1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727" w14:textId="660CE1D0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CDB" w14:textId="16B8600D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.- 2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.11.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7A8" w14:textId="35C2D9F3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  <w:r w:rsidRPr="00D52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.11.</w:t>
            </w:r>
          </w:p>
        </w:tc>
      </w:tr>
      <w:tr w:rsidR="004B161D" w:rsidRPr="00D52A5F" w14:paraId="60D8B801" w14:textId="77777777" w:rsidTr="00502F3B">
        <w:trPr>
          <w:trHeight w:val="538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C3D" w14:textId="77777777" w:rsidR="004B161D" w:rsidRPr="00D52A5F" w:rsidRDefault="004B161D" w:rsidP="006751B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2A5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CLV Praha-metro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FCAC98" w14:textId="59B0A4BA" w:rsidR="004B161D" w:rsidRPr="00D52A5F" w:rsidRDefault="008A67D0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  <w:r w:rsidR="004B161D" w:rsidRPr="00D52A5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76120C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9F0D22" w14:textId="38642150" w:rsidR="004B161D" w:rsidRPr="00D52A5F" w:rsidRDefault="008A67D0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A7717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7765B5" w14:textId="064201DF" w:rsidR="004B161D" w:rsidRPr="00D52A5F" w:rsidRDefault="00F817F4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  <w:r w:rsidR="00D649C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8574A4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4B161D" w:rsidRPr="00D52A5F" w14:paraId="7B1D82CF" w14:textId="77777777" w:rsidTr="00502F3B">
        <w:trPr>
          <w:trHeight w:val="544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516" w14:textId="02F751F5" w:rsidR="004B161D" w:rsidRPr="00D52A5F" w:rsidRDefault="004B161D" w:rsidP="006751B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2A5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CLV Praha-</w:t>
            </w:r>
            <w:r w:rsidR="00502F3B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povrch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BC7E52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52A5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46D70C" w14:textId="38F6490A" w:rsidR="004B161D" w:rsidRPr="00D52A5F" w:rsidRDefault="00DC1281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B4B73C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9DAE176" w14:textId="61C46B80" w:rsidR="004B161D" w:rsidRPr="00D52A5F" w:rsidRDefault="00DC1281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9F3A9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082EA0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F1AA42" w14:textId="5F8686E0" w:rsidR="004B161D" w:rsidRPr="00D52A5F" w:rsidRDefault="00DC1281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4B161D" w:rsidRPr="00D52A5F" w14:paraId="7B097FC5" w14:textId="77777777" w:rsidTr="00502F3B">
        <w:trPr>
          <w:trHeight w:val="563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16D" w14:textId="08DE73A6" w:rsidR="004B161D" w:rsidRPr="00D52A5F" w:rsidRDefault="004B161D" w:rsidP="006751B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2A5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CLV Praha-</w:t>
            </w:r>
            <w:r w:rsidR="00502F3B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rotundy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4AC0BF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D14A88" w14:textId="587C6B8C" w:rsidR="004B161D" w:rsidRPr="00D52A5F" w:rsidRDefault="00152057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253A04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232BC39" w14:textId="27739D6B" w:rsidR="004B161D" w:rsidRPr="00D52A5F" w:rsidRDefault="00152057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6BBD96" w14:textId="77777777" w:rsidR="004B161D" w:rsidRPr="00D52A5F" w:rsidRDefault="004B161D" w:rsidP="006751BF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54E607" w14:textId="26E33CD4" w:rsidR="004B161D" w:rsidRPr="00D52A5F" w:rsidRDefault="00152057" w:rsidP="006751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</w:tbl>
    <w:p w14:paraId="3A28834A" w14:textId="77777777" w:rsidR="00F250A2" w:rsidRDefault="00F250A2" w:rsidP="00993DED">
      <w:pPr>
        <w:jc w:val="both"/>
        <w:rPr>
          <w:rFonts w:ascii="Calibri" w:hAnsi="Calibri"/>
          <w:sz w:val="22"/>
          <w:szCs w:val="22"/>
        </w:rPr>
      </w:pPr>
    </w:p>
    <w:p w14:paraId="515F461A" w14:textId="77777777" w:rsidR="00262354" w:rsidRPr="00262354" w:rsidRDefault="00262354" w:rsidP="00262354">
      <w:pPr>
        <w:rPr>
          <w:rFonts w:ascii="Calibri" w:hAnsi="Calibri"/>
          <w:sz w:val="22"/>
          <w:szCs w:val="22"/>
        </w:rPr>
      </w:pPr>
    </w:p>
    <w:p w14:paraId="6056A2F3" w14:textId="77777777" w:rsidR="00262354" w:rsidRDefault="00262354" w:rsidP="00262354">
      <w:pPr>
        <w:rPr>
          <w:rFonts w:ascii="Calibri" w:hAnsi="Calibri"/>
          <w:sz w:val="22"/>
          <w:szCs w:val="22"/>
        </w:rPr>
      </w:pPr>
    </w:p>
    <w:p w14:paraId="462C59DC" w14:textId="335BBB1C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125E402" w14:textId="05A8FB78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3EC3DCCC" w14:textId="7AFA4C68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6F522ADD" w14:textId="3E434E81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37278C32" w14:textId="033A3222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6AA1FF44" w14:textId="63CAC765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7550498D" w14:textId="24229A97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5E9149C7" w14:textId="06C8369B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49E38D95" w14:textId="39BB6C97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6641A010" w14:textId="7EA68364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550B7DA7" w14:textId="34E03FEB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1A00E274" w14:textId="2EFC4BF1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1FFA2130" w14:textId="59D7F099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4C360655" w14:textId="4F9DC22B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722EDCE9" w14:textId="0ADDC910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79772C5F" w14:textId="6BEE363D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2CA3BA92" w14:textId="203948FC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50B1AC22" w14:textId="4B258438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794E3973" w14:textId="48FEDA34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7405C63E" w14:textId="1C93320F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55F434E7" w14:textId="149E5863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19B198F9" w14:textId="4D46351D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19707D44" w14:textId="0B826A7B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253B9CD1" w14:textId="7AFBD73D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2A7D2CC8" w14:textId="1F2BC49B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6D2240E1" w14:textId="561FD805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1EAF2165" w14:textId="3FA0D08C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176D4ED2" w14:textId="57759E76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564CFC58" w14:textId="62798FE3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6C91E216" w14:textId="339B520A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68A720C6" w14:textId="6EA12F48" w:rsidR="00262354" w:rsidRDefault="00262354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389FD7D1" w14:textId="2ECE191B" w:rsidR="00262354" w:rsidRDefault="004A1771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Příloha č. 2</w:t>
      </w:r>
    </w:p>
    <w:p w14:paraId="33A5EE36" w14:textId="7FB05971" w:rsidR="004A1771" w:rsidRDefault="004A1771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2B643D5C" w14:textId="10342536" w:rsidR="004A1771" w:rsidRPr="00C129B9" w:rsidRDefault="008C3461" w:rsidP="00262354">
      <w:pPr>
        <w:tabs>
          <w:tab w:val="left" w:pos="1620"/>
        </w:tabs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Seznam míst výlepových </w:t>
      </w:r>
      <w:r w:rsidR="00E146C4" w:rsidRPr="00C129B9">
        <w:rPr>
          <w:rFonts w:ascii="Calibri" w:hAnsi="Calibri"/>
          <w:b/>
          <w:color w:val="000000"/>
        </w:rPr>
        <w:t>ploch</w:t>
      </w:r>
    </w:p>
    <w:p w14:paraId="55803B26" w14:textId="77777777" w:rsidR="00A57392" w:rsidRDefault="00A57392" w:rsidP="00262354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65128A11" w14:textId="2C49D29A" w:rsidR="00262354" w:rsidRPr="00131B11" w:rsidRDefault="00B9669C" w:rsidP="00057BEB">
      <w:pPr>
        <w:tabs>
          <w:tab w:val="left" w:pos="1620"/>
        </w:tabs>
        <w:spacing w:after="120"/>
        <w:rPr>
          <w:rFonts w:ascii="Calibri" w:hAnsi="Calibri"/>
          <w:b/>
          <w:bCs/>
          <w:sz w:val="20"/>
          <w:szCs w:val="20"/>
        </w:rPr>
      </w:pPr>
      <w:r w:rsidRPr="00131B11">
        <w:rPr>
          <w:rFonts w:ascii="Calibri" w:hAnsi="Calibri"/>
          <w:b/>
          <w:bCs/>
          <w:sz w:val="20"/>
          <w:szCs w:val="20"/>
        </w:rPr>
        <w:t>Citilight metro</w:t>
      </w:r>
    </w:p>
    <w:p w14:paraId="2A407B75" w14:textId="07F6A92D" w:rsidR="001F64E6" w:rsidRPr="00131B11" w:rsidRDefault="001F64E6" w:rsidP="00417C0E">
      <w:pPr>
        <w:tabs>
          <w:tab w:val="left" w:pos="1620"/>
        </w:tabs>
        <w:jc w:val="both"/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131B11">
        <w:rPr>
          <w:rFonts w:ascii="Calibri" w:hAnsi="Calibri" w:cs="Calibri"/>
          <w:color w:val="000000"/>
          <w:sz w:val="20"/>
          <w:szCs w:val="20"/>
          <w:lang w:eastAsia="cs-CZ"/>
        </w:rPr>
        <w:t xml:space="preserve">Termín výlepu: </w:t>
      </w:r>
      <w:r w:rsidRPr="00B91D08">
        <w:rPr>
          <w:rFonts w:ascii="Calibri" w:hAnsi="Calibri" w:cs="Calibri"/>
          <w:color w:val="000000"/>
          <w:sz w:val="20"/>
          <w:szCs w:val="20"/>
          <w:lang w:eastAsia="cs-CZ"/>
        </w:rPr>
        <w:t>1.10. - 15.10.2021</w:t>
      </w:r>
    </w:p>
    <w:p w14:paraId="1CC4D04F" w14:textId="441E63A0" w:rsidR="001F64E6" w:rsidRPr="00131B11" w:rsidRDefault="001F64E6" w:rsidP="00417C0E">
      <w:pPr>
        <w:tabs>
          <w:tab w:val="left" w:pos="1620"/>
        </w:tabs>
        <w:jc w:val="both"/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131B11">
        <w:rPr>
          <w:rFonts w:ascii="Calibri" w:hAnsi="Calibri" w:cs="Calibri"/>
          <w:color w:val="000000"/>
          <w:sz w:val="20"/>
          <w:szCs w:val="20"/>
          <w:lang w:eastAsia="cs-CZ"/>
        </w:rPr>
        <w:t>Počet ploch: 10</w:t>
      </w:r>
    </w:p>
    <w:p w14:paraId="5CE0C917" w14:textId="158A83BE" w:rsidR="001F64E6" w:rsidRPr="00131B11" w:rsidRDefault="001F64E6" w:rsidP="00417C0E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 w:cs="Calibri"/>
          <w:color w:val="000000"/>
          <w:sz w:val="20"/>
          <w:szCs w:val="20"/>
          <w:lang w:eastAsia="cs-CZ"/>
        </w:rPr>
        <w:t>Umístění</w:t>
      </w:r>
      <w:r w:rsidR="007325F6" w:rsidRPr="00131B11">
        <w:rPr>
          <w:rFonts w:ascii="Calibri" w:hAnsi="Calibri" w:cs="Calibri"/>
          <w:color w:val="000000"/>
          <w:sz w:val="20"/>
          <w:szCs w:val="20"/>
          <w:lang w:eastAsia="cs-CZ"/>
        </w:rPr>
        <w:t xml:space="preserve">: Muzeum, Můstek A, Florenc B, Náměstí Republiky, Náměstí Míru, </w:t>
      </w:r>
      <w:r w:rsidR="00295983" w:rsidRPr="00131B11">
        <w:rPr>
          <w:rFonts w:ascii="Calibri" w:hAnsi="Calibri" w:cs="Calibri"/>
          <w:color w:val="000000"/>
          <w:sz w:val="20"/>
          <w:szCs w:val="20"/>
          <w:lang w:eastAsia="cs-CZ"/>
        </w:rPr>
        <w:t>Karlovo náměstí, Náměstí Míru, Dejvická, Smíchovské nádraží, Pankrác</w:t>
      </w:r>
    </w:p>
    <w:p w14:paraId="20D38C48" w14:textId="492E8226" w:rsidR="00B9669C" w:rsidRPr="00131B11" w:rsidRDefault="00B9669C" w:rsidP="00057BEB">
      <w:pPr>
        <w:tabs>
          <w:tab w:val="left" w:pos="1620"/>
        </w:tabs>
        <w:spacing w:before="120"/>
        <w:jc w:val="both"/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131B11">
        <w:rPr>
          <w:rFonts w:ascii="Calibri" w:hAnsi="Calibri" w:cs="Calibri"/>
          <w:color w:val="000000"/>
          <w:sz w:val="20"/>
          <w:szCs w:val="20"/>
          <w:lang w:eastAsia="cs-CZ"/>
        </w:rPr>
        <w:t xml:space="preserve">Termín výlepu: </w:t>
      </w:r>
      <w:r w:rsidRPr="00B91D08">
        <w:rPr>
          <w:rFonts w:ascii="Calibri" w:hAnsi="Calibri" w:cs="Calibri"/>
          <w:color w:val="000000"/>
          <w:sz w:val="20"/>
          <w:szCs w:val="20"/>
          <w:lang w:eastAsia="cs-CZ"/>
        </w:rPr>
        <w:t>1.1</w:t>
      </w:r>
      <w:r w:rsidR="00417C0E" w:rsidRPr="00131B11">
        <w:rPr>
          <w:rFonts w:ascii="Calibri" w:hAnsi="Calibri" w:cs="Calibri"/>
          <w:color w:val="000000"/>
          <w:sz w:val="20"/>
          <w:szCs w:val="20"/>
          <w:lang w:eastAsia="cs-CZ"/>
        </w:rPr>
        <w:t>1</w:t>
      </w:r>
      <w:r w:rsidRPr="00B91D08">
        <w:rPr>
          <w:rFonts w:ascii="Calibri" w:hAnsi="Calibri" w:cs="Calibri"/>
          <w:color w:val="000000"/>
          <w:sz w:val="20"/>
          <w:szCs w:val="20"/>
          <w:lang w:eastAsia="cs-CZ"/>
        </w:rPr>
        <w:t>. - 15.1</w:t>
      </w:r>
      <w:r w:rsidR="00417C0E" w:rsidRPr="00131B11">
        <w:rPr>
          <w:rFonts w:ascii="Calibri" w:hAnsi="Calibri" w:cs="Calibri"/>
          <w:color w:val="000000"/>
          <w:sz w:val="20"/>
          <w:szCs w:val="20"/>
          <w:lang w:eastAsia="cs-CZ"/>
        </w:rPr>
        <w:t>1</w:t>
      </w:r>
      <w:r w:rsidRPr="00B91D08">
        <w:rPr>
          <w:rFonts w:ascii="Calibri" w:hAnsi="Calibri" w:cs="Calibri"/>
          <w:color w:val="000000"/>
          <w:sz w:val="20"/>
          <w:szCs w:val="20"/>
          <w:lang w:eastAsia="cs-CZ"/>
        </w:rPr>
        <w:t>.2021</w:t>
      </w:r>
    </w:p>
    <w:p w14:paraId="6EB96CF6" w14:textId="77777777" w:rsidR="00B9669C" w:rsidRPr="00131B11" w:rsidRDefault="00B9669C" w:rsidP="00417C0E">
      <w:pPr>
        <w:tabs>
          <w:tab w:val="left" w:pos="1620"/>
        </w:tabs>
        <w:jc w:val="both"/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131B11">
        <w:rPr>
          <w:rFonts w:ascii="Calibri" w:hAnsi="Calibri" w:cs="Calibri"/>
          <w:color w:val="000000"/>
          <w:sz w:val="20"/>
          <w:szCs w:val="20"/>
          <w:lang w:eastAsia="cs-CZ"/>
        </w:rPr>
        <w:t>Počet ploch: 10</w:t>
      </w:r>
    </w:p>
    <w:p w14:paraId="388D4C89" w14:textId="27BCDCFE" w:rsidR="00841C7C" w:rsidRPr="00131B11" w:rsidRDefault="00C650F2" w:rsidP="00262354">
      <w:pPr>
        <w:tabs>
          <w:tab w:val="left" w:pos="1620"/>
        </w:tabs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 xml:space="preserve">Umístění: </w:t>
      </w:r>
      <w:r w:rsidR="0021734E" w:rsidRPr="00131B11">
        <w:rPr>
          <w:rFonts w:ascii="Calibri" w:hAnsi="Calibri"/>
          <w:sz w:val="20"/>
          <w:szCs w:val="20"/>
        </w:rPr>
        <w:t>Můstek B</w:t>
      </w:r>
      <w:r w:rsidR="001F43F3" w:rsidRPr="00131B11">
        <w:rPr>
          <w:rFonts w:ascii="Calibri" w:hAnsi="Calibri"/>
          <w:sz w:val="20"/>
          <w:szCs w:val="20"/>
        </w:rPr>
        <w:t xml:space="preserve">, Muzeum, Hlavní nádraží, Florenc C, Náměstí Republiky, Jiřího z Poděbrad, Chodov, Smíchovské nádraží, </w:t>
      </w:r>
      <w:r w:rsidR="00876270" w:rsidRPr="00131B11">
        <w:rPr>
          <w:rFonts w:ascii="Calibri" w:hAnsi="Calibri"/>
          <w:sz w:val="20"/>
          <w:szCs w:val="20"/>
        </w:rPr>
        <w:t>Křižíkova, Vltavská</w:t>
      </w:r>
    </w:p>
    <w:p w14:paraId="6A42F7EE" w14:textId="00010D88" w:rsidR="00876270" w:rsidRPr="00131B11" w:rsidRDefault="00876270" w:rsidP="00057BEB">
      <w:pPr>
        <w:tabs>
          <w:tab w:val="left" w:pos="1620"/>
        </w:tabs>
        <w:spacing w:before="120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Termín 16.11.-</w:t>
      </w:r>
      <w:r w:rsidR="00C1222F">
        <w:rPr>
          <w:rFonts w:ascii="Calibri" w:hAnsi="Calibri"/>
          <w:sz w:val="20"/>
          <w:szCs w:val="20"/>
        </w:rPr>
        <w:t>29</w:t>
      </w:r>
      <w:r w:rsidRPr="00131B11">
        <w:rPr>
          <w:rFonts w:ascii="Calibri" w:hAnsi="Calibri"/>
          <w:sz w:val="20"/>
          <w:szCs w:val="20"/>
        </w:rPr>
        <w:t>.11.2021</w:t>
      </w:r>
    </w:p>
    <w:p w14:paraId="6E0954FD" w14:textId="7987D8A3" w:rsidR="00876270" w:rsidRPr="00131B11" w:rsidRDefault="00876270" w:rsidP="00262354">
      <w:pPr>
        <w:tabs>
          <w:tab w:val="left" w:pos="1620"/>
        </w:tabs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Počet ploch: 15</w:t>
      </w:r>
    </w:p>
    <w:p w14:paraId="6B8EE02B" w14:textId="685171C2" w:rsidR="00876270" w:rsidRPr="00131B11" w:rsidRDefault="00A1111B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 xml:space="preserve">Umístění: </w:t>
      </w:r>
      <w:r w:rsidR="00CF7AC2" w:rsidRPr="00131B11">
        <w:rPr>
          <w:rFonts w:ascii="Calibri" w:hAnsi="Calibri"/>
          <w:sz w:val="20"/>
          <w:szCs w:val="20"/>
        </w:rPr>
        <w:t>Můstek A, Muzeum, Můstek B, Hlavní nádraží, Karlovo náměstí, Florenc B, Náměstí Míru, Pankrác, Křižíkova, Florenc C</w:t>
      </w:r>
      <w:r w:rsidR="00572ABF" w:rsidRPr="00131B11">
        <w:rPr>
          <w:rFonts w:ascii="Calibri" w:hAnsi="Calibri"/>
          <w:sz w:val="20"/>
          <w:szCs w:val="20"/>
        </w:rPr>
        <w:t>, Dejvická, Muzeum, Náměstí Republiky, Vltavská, Jiřího z Poděbrad</w:t>
      </w:r>
    </w:p>
    <w:p w14:paraId="67014124" w14:textId="11E653DD" w:rsidR="00572ABF" w:rsidRPr="00131B11" w:rsidRDefault="00572ABF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</w:p>
    <w:p w14:paraId="18E8A435" w14:textId="205231CE" w:rsidR="00572ABF" w:rsidRPr="00131B11" w:rsidRDefault="00572ABF" w:rsidP="00372CC4">
      <w:pPr>
        <w:tabs>
          <w:tab w:val="left" w:pos="1620"/>
        </w:tabs>
        <w:jc w:val="both"/>
        <w:rPr>
          <w:rFonts w:ascii="Calibri" w:hAnsi="Calibri"/>
          <w:b/>
          <w:bCs/>
          <w:sz w:val="20"/>
          <w:szCs w:val="20"/>
        </w:rPr>
      </w:pPr>
      <w:r w:rsidRPr="00131B11">
        <w:rPr>
          <w:rFonts w:ascii="Calibri" w:hAnsi="Calibri"/>
          <w:b/>
          <w:bCs/>
          <w:sz w:val="20"/>
          <w:szCs w:val="20"/>
        </w:rPr>
        <w:t>Citylight rotundy</w:t>
      </w:r>
    </w:p>
    <w:p w14:paraId="0C4D70A0" w14:textId="6B9F7A46" w:rsidR="00572ABF" w:rsidRPr="00131B11" w:rsidRDefault="00A1111B" w:rsidP="00057BEB">
      <w:pPr>
        <w:tabs>
          <w:tab w:val="left" w:pos="1620"/>
        </w:tabs>
        <w:spacing w:before="120"/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Termín výlepu: 19.10.-1.11.2021</w:t>
      </w:r>
    </w:p>
    <w:p w14:paraId="6022C54A" w14:textId="618CA0FE" w:rsidR="00A1111B" w:rsidRPr="00131B11" w:rsidRDefault="00A1111B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Počet ploch: 9</w:t>
      </w:r>
    </w:p>
    <w:p w14:paraId="6B0927C8" w14:textId="48B4DF72" w:rsidR="00A1111B" w:rsidRPr="00131B11" w:rsidRDefault="00A1111B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 xml:space="preserve">Umístění: </w:t>
      </w:r>
      <w:r w:rsidR="000B6F71" w:rsidRPr="00131B11">
        <w:rPr>
          <w:rFonts w:ascii="Calibri" w:hAnsi="Calibri"/>
          <w:sz w:val="20"/>
          <w:szCs w:val="20"/>
        </w:rPr>
        <w:t>Masarykovo nábřeží, Malostranské náměstí, Lore</w:t>
      </w:r>
      <w:r w:rsidR="00BA2CB6" w:rsidRPr="00131B11">
        <w:rPr>
          <w:rFonts w:ascii="Calibri" w:hAnsi="Calibri"/>
          <w:sz w:val="20"/>
          <w:szCs w:val="20"/>
        </w:rPr>
        <w:t>tánská, Smetanovo nábřeží, Rybná, Na Kampě, Vítězné náměstí, U Obec</w:t>
      </w:r>
      <w:r w:rsidR="004E467E" w:rsidRPr="00131B11">
        <w:rPr>
          <w:rFonts w:ascii="Calibri" w:hAnsi="Calibri"/>
          <w:sz w:val="20"/>
          <w:szCs w:val="20"/>
        </w:rPr>
        <w:t>ného domu, Tylovo náměstí</w:t>
      </w:r>
    </w:p>
    <w:p w14:paraId="6E753EB7" w14:textId="493F8D88" w:rsidR="00B0092C" w:rsidRPr="00131B11" w:rsidRDefault="00B0092C" w:rsidP="00057BEB">
      <w:pPr>
        <w:tabs>
          <w:tab w:val="left" w:pos="1620"/>
        </w:tabs>
        <w:spacing w:before="120"/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Termín výlepu: 2.11.-15.11.2021</w:t>
      </w:r>
    </w:p>
    <w:p w14:paraId="729421C8" w14:textId="1E7C3F6E" w:rsidR="00B0092C" w:rsidRPr="00131B11" w:rsidRDefault="00B0092C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Počet ploch: 8</w:t>
      </w:r>
    </w:p>
    <w:p w14:paraId="5998A3B4" w14:textId="62A5079E" w:rsidR="00B0092C" w:rsidRPr="00131B11" w:rsidRDefault="00B0092C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Umístění: Loretánské náměstí, Vltavská, Mariánské hradby, U Prašné brány, Pohořelec, Senovážné náměstí, Uhelný trh, Washingtonova</w:t>
      </w:r>
    </w:p>
    <w:p w14:paraId="0FC936A4" w14:textId="7DC2B13F" w:rsidR="00F07206" w:rsidRPr="00131B11" w:rsidRDefault="00F07206" w:rsidP="00057BEB">
      <w:pPr>
        <w:tabs>
          <w:tab w:val="left" w:pos="1620"/>
        </w:tabs>
        <w:spacing w:before="120"/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Termín výlepu: 16.11.-30.11.2021</w:t>
      </w:r>
    </w:p>
    <w:p w14:paraId="3541F085" w14:textId="77777777" w:rsidR="00F07206" w:rsidRPr="00131B11" w:rsidRDefault="00F07206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Počet ploch: 8</w:t>
      </w:r>
    </w:p>
    <w:p w14:paraId="54F98F63" w14:textId="0B086416" w:rsidR="00841C7C" w:rsidRPr="00131B11" w:rsidRDefault="00F07206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Umístění: Hradčan</w:t>
      </w:r>
      <w:r w:rsidR="000508FB" w:rsidRPr="00131B11">
        <w:rPr>
          <w:rFonts w:ascii="Calibri" w:hAnsi="Calibri"/>
          <w:sz w:val="20"/>
          <w:szCs w:val="20"/>
        </w:rPr>
        <w:t>s</w:t>
      </w:r>
      <w:r w:rsidRPr="00131B11">
        <w:rPr>
          <w:rFonts w:ascii="Calibri" w:hAnsi="Calibri"/>
          <w:sz w:val="20"/>
          <w:szCs w:val="20"/>
        </w:rPr>
        <w:t>ké náměstí, Rybná, Uhelný trh</w:t>
      </w:r>
      <w:r w:rsidR="000508FB" w:rsidRPr="00131B11">
        <w:rPr>
          <w:rFonts w:ascii="Calibri" w:hAnsi="Calibri"/>
          <w:sz w:val="20"/>
          <w:szCs w:val="20"/>
        </w:rPr>
        <w:t>, Pohořelec, V Celnici, Tylovo náměstí, Vltavská, Na Florenci</w:t>
      </w:r>
    </w:p>
    <w:p w14:paraId="3B648038" w14:textId="3769C320" w:rsidR="00841C7C" w:rsidRPr="00131B11" w:rsidRDefault="00841C7C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</w:p>
    <w:p w14:paraId="75C7FDDB" w14:textId="1E203C3A" w:rsidR="003827C1" w:rsidRPr="00131B11" w:rsidRDefault="003827C1" w:rsidP="00372CC4">
      <w:pPr>
        <w:tabs>
          <w:tab w:val="left" w:pos="1620"/>
        </w:tabs>
        <w:jc w:val="both"/>
        <w:rPr>
          <w:rFonts w:ascii="Calibri" w:hAnsi="Calibri"/>
          <w:b/>
          <w:bCs/>
          <w:sz w:val="20"/>
          <w:szCs w:val="20"/>
        </w:rPr>
      </w:pPr>
      <w:r w:rsidRPr="00131B11">
        <w:rPr>
          <w:rFonts w:ascii="Calibri" w:hAnsi="Calibri"/>
          <w:b/>
          <w:bCs/>
          <w:sz w:val="20"/>
          <w:szCs w:val="20"/>
        </w:rPr>
        <w:t>Citylight povrch</w:t>
      </w:r>
    </w:p>
    <w:p w14:paraId="1CAE4F31" w14:textId="1C0CD37B" w:rsidR="00443134" w:rsidRPr="00131B11" w:rsidRDefault="00443134" w:rsidP="00057BEB">
      <w:pPr>
        <w:tabs>
          <w:tab w:val="left" w:pos="1620"/>
        </w:tabs>
        <w:spacing w:before="120"/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Te</w:t>
      </w:r>
      <w:r w:rsidR="00057BEB" w:rsidRPr="00131B11">
        <w:rPr>
          <w:rFonts w:ascii="Calibri" w:hAnsi="Calibri"/>
          <w:sz w:val="20"/>
          <w:szCs w:val="20"/>
        </w:rPr>
        <w:t>r</w:t>
      </w:r>
      <w:r w:rsidRPr="00131B11">
        <w:rPr>
          <w:rFonts w:ascii="Calibri" w:hAnsi="Calibri"/>
          <w:sz w:val="20"/>
          <w:szCs w:val="20"/>
        </w:rPr>
        <w:t>mín výlepu: 19.10.-1.11.2021</w:t>
      </w:r>
    </w:p>
    <w:p w14:paraId="6620C6D1" w14:textId="1D127F30" w:rsidR="00443134" w:rsidRPr="00131B11" w:rsidRDefault="00443134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Počet ploch: 30</w:t>
      </w:r>
    </w:p>
    <w:p w14:paraId="6D4B6C45" w14:textId="4C9123C3" w:rsidR="00841C7C" w:rsidRPr="00131B11" w:rsidRDefault="00443134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 xml:space="preserve">Umístění: </w:t>
      </w:r>
      <w:r w:rsidR="00F00192" w:rsidRPr="00131B11">
        <w:rPr>
          <w:rFonts w:ascii="Calibri" w:hAnsi="Calibri"/>
          <w:sz w:val="20"/>
          <w:szCs w:val="20"/>
        </w:rPr>
        <w:t xml:space="preserve">Václavské náměstí, Sokolovská, Vinohradská, Vršovická, Náměstí Republiky, Palmovka, Milady Horákové, Václavské náměstí, Karlovo náměstí, Náměstí Míru, Lazarská, Sokolovská, </w:t>
      </w:r>
      <w:r w:rsidR="000E795C" w:rsidRPr="00131B11">
        <w:rPr>
          <w:rFonts w:ascii="Calibri" w:hAnsi="Calibri"/>
          <w:sz w:val="20"/>
          <w:szCs w:val="20"/>
        </w:rPr>
        <w:t xml:space="preserve">Vinohradská, Na Příkopě, Vršovická, Plzeňská, Bělohorská, </w:t>
      </w:r>
      <w:r w:rsidR="00D22336" w:rsidRPr="00131B11">
        <w:rPr>
          <w:rFonts w:ascii="Calibri" w:hAnsi="Calibri"/>
          <w:sz w:val="20"/>
          <w:szCs w:val="20"/>
        </w:rPr>
        <w:t xml:space="preserve">Vodičkova, Vysočanská, Michelská, Nádražní, Trojská, </w:t>
      </w:r>
      <w:r w:rsidR="000C206D" w:rsidRPr="00131B11">
        <w:rPr>
          <w:rFonts w:ascii="Calibri" w:hAnsi="Calibri"/>
          <w:sz w:val="20"/>
          <w:szCs w:val="20"/>
        </w:rPr>
        <w:t>Zenklova, Švehlova, Klárov, Kolbenova, Italská, Nádražní, Žitná, V Celnice</w:t>
      </w:r>
      <w:r w:rsidR="00D22336" w:rsidRPr="00131B11">
        <w:rPr>
          <w:rFonts w:ascii="Calibri" w:hAnsi="Calibri"/>
          <w:sz w:val="20"/>
          <w:szCs w:val="20"/>
        </w:rPr>
        <w:t xml:space="preserve"> </w:t>
      </w:r>
    </w:p>
    <w:p w14:paraId="41F5024C" w14:textId="77777777" w:rsidR="00372CC4" w:rsidRPr="00131B11" w:rsidRDefault="00372CC4" w:rsidP="00057BEB">
      <w:pPr>
        <w:tabs>
          <w:tab w:val="left" w:pos="1620"/>
        </w:tabs>
        <w:spacing w:before="120"/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Termín výlepu: 19.10.-1.11.2021</w:t>
      </w:r>
    </w:p>
    <w:p w14:paraId="6F65E577" w14:textId="5DD7790F" w:rsidR="00372CC4" w:rsidRPr="00131B11" w:rsidRDefault="00372CC4" w:rsidP="00372CC4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 xml:space="preserve">Počet ploch: </w:t>
      </w:r>
      <w:r w:rsidR="00F14B4B" w:rsidRPr="00131B11">
        <w:rPr>
          <w:rFonts w:ascii="Calibri" w:hAnsi="Calibri"/>
          <w:sz w:val="20"/>
          <w:szCs w:val="20"/>
        </w:rPr>
        <w:t>2</w:t>
      </w:r>
      <w:r w:rsidRPr="00131B11">
        <w:rPr>
          <w:rFonts w:ascii="Calibri" w:hAnsi="Calibri"/>
          <w:sz w:val="20"/>
          <w:szCs w:val="20"/>
        </w:rPr>
        <w:t>0</w:t>
      </w:r>
    </w:p>
    <w:p w14:paraId="7E08E0C7" w14:textId="2CF44C4D" w:rsidR="00841C7C" w:rsidRPr="00131B11" w:rsidRDefault="00372CC4" w:rsidP="00262354">
      <w:pPr>
        <w:tabs>
          <w:tab w:val="left" w:pos="1620"/>
        </w:tabs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 xml:space="preserve">Umístění: </w:t>
      </w:r>
      <w:r w:rsidR="00F56FA5" w:rsidRPr="00131B11">
        <w:rPr>
          <w:rFonts w:ascii="Calibri" w:hAnsi="Calibri"/>
          <w:sz w:val="20"/>
          <w:szCs w:val="20"/>
        </w:rPr>
        <w:t xml:space="preserve">Václavského náměstí, Vinohradská, Karlovo náměstí, Sokolovská, Vršovická, Kolbenova, </w:t>
      </w:r>
      <w:r w:rsidR="0016756E" w:rsidRPr="00131B11">
        <w:rPr>
          <w:rFonts w:ascii="Calibri" w:hAnsi="Calibri"/>
          <w:sz w:val="20"/>
          <w:szCs w:val="20"/>
        </w:rPr>
        <w:t xml:space="preserve">Plzeňská, Evropská, Na Poříčí, Václavské náměstí, Patočkova, Náměstí Republiky, Jungmannova, Palmovka, Nádraží Holešovice, Vinohradská, </w:t>
      </w:r>
      <w:r w:rsidR="004D01B9" w:rsidRPr="00131B11">
        <w:rPr>
          <w:rFonts w:ascii="Calibri" w:hAnsi="Calibri"/>
          <w:sz w:val="20"/>
          <w:szCs w:val="20"/>
        </w:rPr>
        <w:t>Evropská, Francouzská, Nádražní, Milady Horákové</w:t>
      </w:r>
    </w:p>
    <w:p w14:paraId="37CE1327" w14:textId="67509965" w:rsidR="004D01B9" w:rsidRPr="00131B11" w:rsidRDefault="004D01B9" w:rsidP="00057BEB">
      <w:pPr>
        <w:tabs>
          <w:tab w:val="left" w:pos="1620"/>
        </w:tabs>
        <w:spacing w:before="120"/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>Termín výlepu: 16.1</w:t>
      </w:r>
      <w:r w:rsidR="007A3728" w:rsidRPr="00131B11">
        <w:rPr>
          <w:rFonts w:ascii="Calibri" w:hAnsi="Calibri"/>
          <w:sz w:val="20"/>
          <w:szCs w:val="20"/>
        </w:rPr>
        <w:t>1</w:t>
      </w:r>
      <w:r w:rsidRPr="00131B11">
        <w:rPr>
          <w:rFonts w:ascii="Calibri" w:hAnsi="Calibri"/>
          <w:sz w:val="20"/>
          <w:szCs w:val="20"/>
        </w:rPr>
        <w:t>.-</w:t>
      </w:r>
      <w:r w:rsidR="007A3728" w:rsidRPr="00131B11">
        <w:rPr>
          <w:rFonts w:ascii="Calibri" w:hAnsi="Calibri"/>
          <w:sz w:val="20"/>
          <w:szCs w:val="20"/>
        </w:rPr>
        <w:t>30</w:t>
      </w:r>
      <w:r w:rsidRPr="00131B11">
        <w:rPr>
          <w:rFonts w:ascii="Calibri" w:hAnsi="Calibri"/>
          <w:sz w:val="20"/>
          <w:szCs w:val="20"/>
        </w:rPr>
        <w:t>.11.2021</w:t>
      </w:r>
    </w:p>
    <w:p w14:paraId="77C19482" w14:textId="35BD4923" w:rsidR="004D01B9" w:rsidRPr="00131B11" w:rsidRDefault="004D01B9" w:rsidP="004D01B9">
      <w:pPr>
        <w:tabs>
          <w:tab w:val="left" w:pos="1620"/>
        </w:tabs>
        <w:jc w:val="both"/>
        <w:rPr>
          <w:rFonts w:ascii="Calibri" w:hAnsi="Calibri"/>
          <w:sz w:val="20"/>
          <w:szCs w:val="20"/>
        </w:rPr>
      </w:pPr>
      <w:r w:rsidRPr="00131B11">
        <w:rPr>
          <w:rFonts w:ascii="Calibri" w:hAnsi="Calibri"/>
          <w:sz w:val="20"/>
          <w:szCs w:val="20"/>
        </w:rPr>
        <w:t xml:space="preserve">Počet ploch: </w:t>
      </w:r>
      <w:r w:rsidR="007A3728" w:rsidRPr="00131B11">
        <w:rPr>
          <w:rFonts w:ascii="Calibri" w:hAnsi="Calibri"/>
          <w:sz w:val="20"/>
          <w:szCs w:val="20"/>
        </w:rPr>
        <w:t>2</w:t>
      </w:r>
      <w:r w:rsidR="001A0AC0">
        <w:rPr>
          <w:rFonts w:ascii="Calibri" w:hAnsi="Calibri"/>
          <w:sz w:val="20"/>
          <w:szCs w:val="20"/>
        </w:rPr>
        <w:t>3</w:t>
      </w:r>
    </w:p>
    <w:p w14:paraId="246093CA" w14:textId="631A9BDF" w:rsidR="00841C7C" w:rsidRPr="00262354" w:rsidRDefault="004D01B9" w:rsidP="00262354">
      <w:pPr>
        <w:tabs>
          <w:tab w:val="left" w:pos="1620"/>
        </w:tabs>
        <w:rPr>
          <w:rFonts w:ascii="Calibri" w:hAnsi="Calibri"/>
          <w:sz w:val="22"/>
          <w:szCs w:val="22"/>
        </w:rPr>
        <w:sectPr w:rsidR="00841C7C" w:rsidRPr="00262354" w:rsidSect="000B0B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1B11">
        <w:rPr>
          <w:rFonts w:ascii="Calibri" w:hAnsi="Calibri"/>
          <w:sz w:val="20"/>
          <w:szCs w:val="20"/>
        </w:rPr>
        <w:t>Umístění:</w:t>
      </w:r>
      <w:r w:rsidR="007A3728" w:rsidRPr="00131B11">
        <w:rPr>
          <w:rFonts w:ascii="Calibri" w:hAnsi="Calibri"/>
          <w:sz w:val="20"/>
          <w:szCs w:val="20"/>
        </w:rPr>
        <w:t xml:space="preserve"> Milady Horákové, Náměstí Republiky, Václavské náměstí, Vršovická, Sokolovská, </w:t>
      </w:r>
      <w:r w:rsidR="004361C5" w:rsidRPr="00131B11">
        <w:rPr>
          <w:rFonts w:ascii="Calibri" w:hAnsi="Calibri"/>
          <w:sz w:val="20"/>
          <w:szCs w:val="20"/>
        </w:rPr>
        <w:t xml:space="preserve">Václavské náměstí, Vinohradská, Evropská, Náměstí Republiky, Dejvická, Plzeňská, Nádražní, </w:t>
      </w:r>
      <w:r w:rsidR="007A1BFB" w:rsidRPr="00131B11">
        <w:rPr>
          <w:rFonts w:ascii="Calibri" w:hAnsi="Calibri"/>
          <w:sz w:val="20"/>
          <w:szCs w:val="20"/>
        </w:rPr>
        <w:t xml:space="preserve">Vinohradská, </w:t>
      </w:r>
      <w:r w:rsidR="00E26E1B" w:rsidRPr="00131B11">
        <w:rPr>
          <w:rFonts w:ascii="Calibri" w:hAnsi="Calibri"/>
          <w:sz w:val="20"/>
          <w:szCs w:val="20"/>
        </w:rPr>
        <w:t>Náměstí Míru, Evropská, Palmovka, Ji</w:t>
      </w:r>
      <w:r w:rsidR="00507705" w:rsidRPr="00131B11">
        <w:rPr>
          <w:rFonts w:ascii="Calibri" w:hAnsi="Calibri"/>
          <w:sz w:val="20"/>
          <w:szCs w:val="20"/>
        </w:rPr>
        <w:t>nd</w:t>
      </w:r>
      <w:r w:rsidR="00E26E1B" w:rsidRPr="00131B11">
        <w:rPr>
          <w:rFonts w:ascii="Calibri" w:hAnsi="Calibri"/>
          <w:sz w:val="20"/>
          <w:szCs w:val="20"/>
        </w:rPr>
        <w:t xml:space="preserve">řišská, Karlovo náměstí, </w:t>
      </w:r>
      <w:r w:rsidR="00507705" w:rsidRPr="00131B11">
        <w:rPr>
          <w:rFonts w:ascii="Calibri" w:hAnsi="Calibri"/>
          <w:sz w:val="20"/>
          <w:szCs w:val="20"/>
        </w:rPr>
        <w:t>Nádraží Holešovice, 28. října</w:t>
      </w:r>
    </w:p>
    <w:p w14:paraId="6B550726" w14:textId="77777777" w:rsidR="00E831F1" w:rsidRPr="006B6990" w:rsidRDefault="00E831F1" w:rsidP="00E831F1">
      <w:pPr>
        <w:pageBreakBefore/>
        <w:tabs>
          <w:tab w:val="left" w:pos="2127"/>
        </w:tabs>
        <w:rPr>
          <w:rFonts w:ascii="Calibri" w:hAnsi="Calibri"/>
          <w:sz w:val="22"/>
          <w:szCs w:val="22"/>
        </w:rPr>
      </w:pPr>
      <w:r w:rsidRPr="00DC5602">
        <w:rPr>
          <w:rFonts w:ascii="Calibri" w:hAnsi="Calibri"/>
          <w:sz w:val="22"/>
          <w:szCs w:val="22"/>
          <w:highlight w:val="yellow"/>
        </w:rPr>
        <w:lastRenderedPageBreak/>
        <w:t>Příloha č. 1</w:t>
      </w:r>
      <w:r w:rsidRPr="006B6990">
        <w:rPr>
          <w:rFonts w:ascii="Calibri" w:hAnsi="Calibri"/>
          <w:sz w:val="22"/>
          <w:szCs w:val="22"/>
        </w:rPr>
        <w:t xml:space="preserve"> </w:t>
      </w:r>
    </w:p>
    <w:p w14:paraId="380023D5" w14:textId="77777777" w:rsidR="00E831F1" w:rsidRPr="006B6990" w:rsidRDefault="00E831F1" w:rsidP="00E831F1">
      <w:pPr>
        <w:rPr>
          <w:rFonts w:ascii="Calibri" w:hAnsi="Calibri"/>
          <w:b/>
          <w:color w:val="000000"/>
          <w:sz w:val="22"/>
          <w:szCs w:val="22"/>
        </w:rPr>
      </w:pPr>
    </w:p>
    <w:p w14:paraId="2381694D" w14:textId="77777777" w:rsidR="00335EFC" w:rsidRPr="00114471" w:rsidRDefault="00335EFC" w:rsidP="00E831F1">
      <w:pPr>
        <w:rPr>
          <w:rFonts w:ascii="Arial Black" w:hAnsi="Arial Black" w:cs="Arial"/>
        </w:rPr>
      </w:pPr>
    </w:p>
    <w:p w14:paraId="771CE97E" w14:textId="2B366B7B" w:rsidR="00CE0DA2" w:rsidRDefault="00CE0DA2" w:rsidP="00657A6C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2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1242"/>
        <w:gridCol w:w="1443"/>
        <w:gridCol w:w="1220"/>
        <w:gridCol w:w="1300"/>
        <w:gridCol w:w="1420"/>
        <w:gridCol w:w="1300"/>
        <w:gridCol w:w="1300"/>
        <w:gridCol w:w="1240"/>
        <w:gridCol w:w="1280"/>
        <w:gridCol w:w="1400"/>
        <w:gridCol w:w="1300"/>
        <w:gridCol w:w="1300"/>
        <w:gridCol w:w="1200"/>
        <w:gridCol w:w="1340"/>
      </w:tblGrid>
      <w:tr w:rsidR="00D61999" w:rsidRPr="00D61999" w14:paraId="7CA769B5" w14:textId="77777777" w:rsidTr="00D61999">
        <w:trPr>
          <w:trHeight w:val="300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06E6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834A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90A4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6A3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AADB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647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08CB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3A9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11E9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F77A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E95F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CA7D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33F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A674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7D52" w14:textId="77777777" w:rsidR="00D61999" w:rsidRPr="00D61999" w:rsidRDefault="00D61999" w:rsidP="00D61999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</w:tbl>
    <w:p w14:paraId="61C605F4" w14:textId="6EB71743" w:rsidR="00CE0DA2" w:rsidRDefault="00CE0DA2" w:rsidP="00657A6C">
      <w:pPr>
        <w:rPr>
          <w:rFonts w:ascii="Calibri" w:hAnsi="Calibri"/>
          <w:b/>
          <w:color w:val="000000"/>
          <w:sz w:val="22"/>
          <w:szCs w:val="22"/>
        </w:rPr>
      </w:pPr>
    </w:p>
    <w:p w14:paraId="637F8728" w14:textId="77777777" w:rsidR="00626992" w:rsidRPr="0011102A" w:rsidRDefault="00626992" w:rsidP="00626992">
      <w:pPr>
        <w:jc w:val="center"/>
        <w:rPr>
          <w:rFonts w:ascii="Calibri" w:hAnsi="Calibri"/>
          <w:b/>
        </w:rPr>
      </w:pPr>
    </w:p>
    <w:p w14:paraId="05583412" w14:textId="23D25661" w:rsidR="00CE0DA2" w:rsidRDefault="00CE0DA2" w:rsidP="00657A6C">
      <w:pPr>
        <w:rPr>
          <w:rFonts w:ascii="Calibri" w:hAnsi="Calibri"/>
          <w:b/>
          <w:color w:val="000000"/>
          <w:sz w:val="22"/>
          <w:szCs w:val="22"/>
        </w:rPr>
      </w:pPr>
    </w:p>
    <w:p w14:paraId="574897C9" w14:textId="77777777" w:rsidR="00CE0DA2" w:rsidRPr="006B6990" w:rsidRDefault="00CE0DA2" w:rsidP="00657A6C">
      <w:pPr>
        <w:rPr>
          <w:rFonts w:ascii="Calibri" w:hAnsi="Calibri"/>
          <w:b/>
          <w:color w:val="000000"/>
          <w:sz w:val="22"/>
          <w:szCs w:val="22"/>
        </w:rPr>
      </w:pPr>
    </w:p>
    <w:sectPr w:rsidR="00CE0DA2" w:rsidRPr="006B6990" w:rsidSect="000B0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660B68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0785F18"/>
    <w:multiLevelType w:val="hybridMultilevel"/>
    <w:tmpl w:val="D43A4A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11C3"/>
    <w:multiLevelType w:val="hybridMultilevel"/>
    <w:tmpl w:val="F7D42E46"/>
    <w:lvl w:ilvl="0" w:tplc="E512A6D4">
      <w:start w:val="1"/>
      <w:numFmt w:val="upperRoman"/>
      <w:lvlText w:val="%1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C3C9F0A">
      <w:start w:val="1"/>
      <w:numFmt w:val="upp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EFE726A"/>
    <w:multiLevelType w:val="hybridMultilevel"/>
    <w:tmpl w:val="FB4898F2"/>
    <w:lvl w:ilvl="0" w:tplc="299832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2B26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2B"/>
    <w:rsid w:val="00000CC0"/>
    <w:rsid w:val="00002963"/>
    <w:rsid w:val="00012F09"/>
    <w:rsid w:val="00021A63"/>
    <w:rsid w:val="0002600A"/>
    <w:rsid w:val="00040B28"/>
    <w:rsid w:val="000508FB"/>
    <w:rsid w:val="00050A8B"/>
    <w:rsid w:val="000528A2"/>
    <w:rsid w:val="00057BEB"/>
    <w:rsid w:val="00062321"/>
    <w:rsid w:val="00064923"/>
    <w:rsid w:val="00093138"/>
    <w:rsid w:val="000936B4"/>
    <w:rsid w:val="0009503E"/>
    <w:rsid w:val="000A149E"/>
    <w:rsid w:val="000A1BBF"/>
    <w:rsid w:val="000B0B7A"/>
    <w:rsid w:val="000B2365"/>
    <w:rsid w:val="000B6F71"/>
    <w:rsid w:val="000C206D"/>
    <w:rsid w:val="000D6039"/>
    <w:rsid w:val="000E225F"/>
    <w:rsid w:val="000E400A"/>
    <w:rsid w:val="000E795C"/>
    <w:rsid w:val="00121F21"/>
    <w:rsid w:val="001236F7"/>
    <w:rsid w:val="00131B11"/>
    <w:rsid w:val="00140A16"/>
    <w:rsid w:val="00143A53"/>
    <w:rsid w:val="00144BB5"/>
    <w:rsid w:val="00152057"/>
    <w:rsid w:val="001527BF"/>
    <w:rsid w:val="00162A05"/>
    <w:rsid w:val="0016756E"/>
    <w:rsid w:val="00171B37"/>
    <w:rsid w:val="00181341"/>
    <w:rsid w:val="00191168"/>
    <w:rsid w:val="00195A08"/>
    <w:rsid w:val="00197610"/>
    <w:rsid w:val="001A0AC0"/>
    <w:rsid w:val="001A1844"/>
    <w:rsid w:val="001B1429"/>
    <w:rsid w:val="001C7DF8"/>
    <w:rsid w:val="001D3EAB"/>
    <w:rsid w:val="001D6BFA"/>
    <w:rsid w:val="001E1789"/>
    <w:rsid w:val="001E5608"/>
    <w:rsid w:val="001F43F3"/>
    <w:rsid w:val="001F648D"/>
    <w:rsid w:val="001F64E6"/>
    <w:rsid w:val="002052B2"/>
    <w:rsid w:val="0021734E"/>
    <w:rsid w:val="002255E8"/>
    <w:rsid w:val="00230516"/>
    <w:rsid w:val="002311FF"/>
    <w:rsid w:val="00235E0C"/>
    <w:rsid w:val="00241085"/>
    <w:rsid w:val="00243371"/>
    <w:rsid w:val="002456E8"/>
    <w:rsid w:val="00262354"/>
    <w:rsid w:val="0026456A"/>
    <w:rsid w:val="00266A72"/>
    <w:rsid w:val="00274177"/>
    <w:rsid w:val="00274C4E"/>
    <w:rsid w:val="00276F55"/>
    <w:rsid w:val="00281DD6"/>
    <w:rsid w:val="002858EC"/>
    <w:rsid w:val="00286DC8"/>
    <w:rsid w:val="00295983"/>
    <w:rsid w:val="002A02A5"/>
    <w:rsid w:val="002A7D50"/>
    <w:rsid w:val="002B0345"/>
    <w:rsid w:val="002C22D2"/>
    <w:rsid w:val="002C5180"/>
    <w:rsid w:val="002D0A1E"/>
    <w:rsid w:val="002D6A89"/>
    <w:rsid w:val="002F1A20"/>
    <w:rsid w:val="002F3330"/>
    <w:rsid w:val="002F65D8"/>
    <w:rsid w:val="002F66BA"/>
    <w:rsid w:val="00300F84"/>
    <w:rsid w:val="00335EFC"/>
    <w:rsid w:val="00370723"/>
    <w:rsid w:val="00371537"/>
    <w:rsid w:val="00372CC4"/>
    <w:rsid w:val="0037542D"/>
    <w:rsid w:val="003827C1"/>
    <w:rsid w:val="00386EEF"/>
    <w:rsid w:val="003A6059"/>
    <w:rsid w:val="003B1594"/>
    <w:rsid w:val="003B2A25"/>
    <w:rsid w:val="003D0F3F"/>
    <w:rsid w:val="003E04E9"/>
    <w:rsid w:val="003F0519"/>
    <w:rsid w:val="003F6F20"/>
    <w:rsid w:val="0040089C"/>
    <w:rsid w:val="004015F3"/>
    <w:rsid w:val="004053F4"/>
    <w:rsid w:val="00411511"/>
    <w:rsid w:val="00416C8F"/>
    <w:rsid w:val="00417C0E"/>
    <w:rsid w:val="00431F5B"/>
    <w:rsid w:val="004360DC"/>
    <w:rsid w:val="004361C5"/>
    <w:rsid w:val="00440BED"/>
    <w:rsid w:val="00443134"/>
    <w:rsid w:val="00447C10"/>
    <w:rsid w:val="00451FE1"/>
    <w:rsid w:val="00452F11"/>
    <w:rsid w:val="0047686E"/>
    <w:rsid w:val="004775AA"/>
    <w:rsid w:val="00482660"/>
    <w:rsid w:val="00487F35"/>
    <w:rsid w:val="004948AA"/>
    <w:rsid w:val="004A1771"/>
    <w:rsid w:val="004A7891"/>
    <w:rsid w:val="004B161D"/>
    <w:rsid w:val="004B31A0"/>
    <w:rsid w:val="004B68B1"/>
    <w:rsid w:val="004C3C83"/>
    <w:rsid w:val="004C538E"/>
    <w:rsid w:val="004C66B4"/>
    <w:rsid w:val="004D01B9"/>
    <w:rsid w:val="004D62F4"/>
    <w:rsid w:val="004E467E"/>
    <w:rsid w:val="004E4718"/>
    <w:rsid w:val="004F38CC"/>
    <w:rsid w:val="004F64A2"/>
    <w:rsid w:val="00502A77"/>
    <w:rsid w:val="00502F3B"/>
    <w:rsid w:val="005069CB"/>
    <w:rsid w:val="00507705"/>
    <w:rsid w:val="005120E3"/>
    <w:rsid w:val="0052287D"/>
    <w:rsid w:val="00531734"/>
    <w:rsid w:val="005641AB"/>
    <w:rsid w:val="00565498"/>
    <w:rsid w:val="00566D88"/>
    <w:rsid w:val="0057155A"/>
    <w:rsid w:val="00572ABF"/>
    <w:rsid w:val="00573DD9"/>
    <w:rsid w:val="005748B3"/>
    <w:rsid w:val="005768C4"/>
    <w:rsid w:val="00583D2D"/>
    <w:rsid w:val="00584594"/>
    <w:rsid w:val="005917B5"/>
    <w:rsid w:val="0059201C"/>
    <w:rsid w:val="00594EC0"/>
    <w:rsid w:val="005978C3"/>
    <w:rsid w:val="005B2D38"/>
    <w:rsid w:val="005C0E7F"/>
    <w:rsid w:val="005D14B3"/>
    <w:rsid w:val="005D3640"/>
    <w:rsid w:val="005F1CCF"/>
    <w:rsid w:val="005F458E"/>
    <w:rsid w:val="006065FD"/>
    <w:rsid w:val="00626992"/>
    <w:rsid w:val="00627D8E"/>
    <w:rsid w:val="00627F96"/>
    <w:rsid w:val="00632848"/>
    <w:rsid w:val="006350BF"/>
    <w:rsid w:val="006366D6"/>
    <w:rsid w:val="0064001B"/>
    <w:rsid w:val="0064708A"/>
    <w:rsid w:val="00652D33"/>
    <w:rsid w:val="00657A6C"/>
    <w:rsid w:val="00667576"/>
    <w:rsid w:val="00676ACE"/>
    <w:rsid w:val="00681CFA"/>
    <w:rsid w:val="006836EC"/>
    <w:rsid w:val="0069329F"/>
    <w:rsid w:val="006956CC"/>
    <w:rsid w:val="00695C05"/>
    <w:rsid w:val="00696C20"/>
    <w:rsid w:val="006A1388"/>
    <w:rsid w:val="006A2CF1"/>
    <w:rsid w:val="006A5464"/>
    <w:rsid w:val="006B4F0B"/>
    <w:rsid w:val="006B6990"/>
    <w:rsid w:val="006D148C"/>
    <w:rsid w:val="006D5203"/>
    <w:rsid w:val="006F7B4D"/>
    <w:rsid w:val="00703220"/>
    <w:rsid w:val="00704A01"/>
    <w:rsid w:val="00710014"/>
    <w:rsid w:val="0071028C"/>
    <w:rsid w:val="00711113"/>
    <w:rsid w:val="00726437"/>
    <w:rsid w:val="00726FBA"/>
    <w:rsid w:val="007325F6"/>
    <w:rsid w:val="00743CDA"/>
    <w:rsid w:val="00747290"/>
    <w:rsid w:val="007619C5"/>
    <w:rsid w:val="00771014"/>
    <w:rsid w:val="00771657"/>
    <w:rsid w:val="00784270"/>
    <w:rsid w:val="007A1BFB"/>
    <w:rsid w:val="007A25AB"/>
    <w:rsid w:val="007A3728"/>
    <w:rsid w:val="007C0895"/>
    <w:rsid w:val="007D1DC3"/>
    <w:rsid w:val="007D38E5"/>
    <w:rsid w:val="007E77ED"/>
    <w:rsid w:val="00800360"/>
    <w:rsid w:val="00810628"/>
    <w:rsid w:val="008114AC"/>
    <w:rsid w:val="0081515F"/>
    <w:rsid w:val="00815D1B"/>
    <w:rsid w:val="00820D09"/>
    <w:rsid w:val="0082626A"/>
    <w:rsid w:val="0083686C"/>
    <w:rsid w:val="0084089D"/>
    <w:rsid w:val="00841C7C"/>
    <w:rsid w:val="00845499"/>
    <w:rsid w:val="00857695"/>
    <w:rsid w:val="008668DA"/>
    <w:rsid w:val="008748AD"/>
    <w:rsid w:val="00876270"/>
    <w:rsid w:val="00881344"/>
    <w:rsid w:val="008938B3"/>
    <w:rsid w:val="0089410E"/>
    <w:rsid w:val="00894C31"/>
    <w:rsid w:val="008A67D0"/>
    <w:rsid w:val="008A7A4F"/>
    <w:rsid w:val="008B65F4"/>
    <w:rsid w:val="008C3461"/>
    <w:rsid w:val="008C5F9C"/>
    <w:rsid w:val="008C7FA0"/>
    <w:rsid w:val="008D1A54"/>
    <w:rsid w:val="008D2A37"/>
    <w:rsid w:val="008D4878"/>
    <w:rsid w:val="008E04D9"/>
    <w:rsid w:val="009040FE"/>
    <w:rsid w:val="00914066"/>
    <w:rsid w:val="00916807"/>
    <w:rsid w:val="00920645"/>
    <w:rsid w:val="00926483"/>
    <w:rsid w:val="009327DE"/>
    <w:rsid w:val="00940B16"/>
    <w:rsid w:val="00943A34"/>
    <w:rsid w:val="00950E51"/>
    <w:rsid w:val="00962348"/>
    <w:rsid w:val="00965985"/>
    <w:rsid w:val="00993AD2"/>
    <w:rsid w:val="00993DED"/>
    <w:rsid w:val="009A0CFB"/>
    <w:rsid w:val="009A54D0"/>
    <w:rsid w:val="009B1CFA"/>
    <w:rsid w:val="009B3C29"/>
    <w:rsid w:val="009B522B"/>
    <w:rsid w:val="009C071E"/>
    <w:rsid w:val="009C5288"/>
    <w:rsid w:val="009D0634"/>
    <w:rsid w:val="009D1215"/>
    <w:rsid w:val="009D46F3"/>
    <w:rsid w:val="009E6977"/>
    <w:rsid w:val="009F3A92"/>
    <w:rsid w:val="009F69B9"/>
    <w:rsid w:val="00A022CA"/>
    <w:rsid w:val="00A045E8"/>
    <w:rsid w:val="00A1111B"/>
    <w:rsid w:val="00A22093"/>
    <w:rsid w:val="00A26098"/>
    <w:rsid w:val="00A30023"/>
    <w:rsid w:val="00A33996"/>
    <w:rsid w:val="00A40D77"/>
    <w:rsid w:val="00A4136F"/>
    <w:rsid w:val="00A46684"/>
    <w:rsid w:val="00A50956"/>
    <w:rsid w:val="00A51606"/>
    <w:rsid w:val="00A51FBD"/>
    <w:rsid w:val="00A54EC6"/>
    <w:rsid w:val="00A57392"/>
    <w:rsid w:val="00A75999"/>
    <w:rsid w:val="00A7784F"/>
    <w:rsid w:val="00A77C02"/>
    <w:rsid w:val="00A77C99"/>
    <w:rsid w:val="00A86608"/>
    <w:rsid w:val="00A90C17"/>
    <w:rsid w:val="00A93BC4"/>
    <w:rsid w:val="00AB69BD"/>
    <w:rsid w:val="00AC6E14"/>
    <w:rsid w:val="00AD1D27"/>
    <w:rsid w:val="00AD2C14"/>
    <w:rsid w:val="00AD35FB"/>
    <w:rsid w:val="00AF2A95"/>
    <w:rsid w:val="00AF3DA2"/>
    <w:rsid w:val="00AF6099"/>
    <w:rsid w:val="00B0092C"/>
    <w:rsid w:val="00B11B02"/>
    <w:rsid w:val="00B548E3"/>
    <w:rsid w:val="00B60EC1"/>
    <w:rsid w:val="00B61722"/>
    <w:rsid w:val="00B720E5"/>
    <w:rsid w:val="00B763F5"/>
    <w:rsid w:val="00B82C83"/>
    <w:rsid w:val="00B83F8E"/>
    <w:rsid w:val="00B841E7"/>
    <w:rsid w:val="00B91D08"/>
    <w:rsid w:val="00B9669C"/>
    <w:rsid w:val="00BA0AB4"/>
    <w:rsid w:val="00BA2CB6"/>
    <w:rsid w:val="00BB0A93"/>
    <w:rsid w:val="00BC76C2"/>
    <w:rsid w:val="00BC79DE"/>
    <w:rsid w:val="00BD01FC"/>
    <w:rsid w:val="00BD072C"/>
    <w:rsid w:val="00BE4CA4"/>
    <w:rsid w:val="00BF326F"/>
    <w:rsid w:val="00BF372D"/>
    <w:rsid w:val="00C05E5C"/>
    <w:rsid w:val="00C06D2C"/>
    <w:rsid w:val="00C1222F"/>
    <w:rsid w:val="00C129B9"/>
    <w:rsid w:val="00C17072"/>
    <w:rsid w:val="00C230AD"/>
    <w:rsid w:val="00C2495F"/>
    <w:rsid w:val="00C317B7"/>
    <w:rsid w:val="00C46897"/>
    <w:rsid w:val="00C52440"/>
    <w:rsid w:val="00C53A4D"/>
    <w:rsid w:val="00C57F6F"/>
    <w:rsid w:val="00C650F2"/>
    <w:rsid w:val="00C71A48"/>
    <w:rsid w:val="00C7441D"/>
    <w:rsid w:val="00C901AF"/>
    <w:rsid w:val="00C9288C"/>
    <w:rsid w:val="00CA4DB4"/>
    <w:rsid w:val="00CC26FD"/>
    <w:rsid w:val="00CC487A"/>
    <w:rsid w:val="00CD5941"/>
    <w:rsid w:val="00CE0DA2"/>
    <w:rsid w:val="00CE14E2"/>
    <w:rsid w:val="00CE25F1"/>
    <w:rsid w:val="00CE4817"/>
    <w:rsid w:val="00CF4023"/>
    <w:rsid w:val="00CF4E1C"/>
    <w:rsid w:val="00CF7AC2"/>
    <w:rsid w:val="00D060BC"/>
    <w:rsid w:val="00D10CEB"/>
    <w:rsid w:val="00D12F2D"/>
    <w:rsid w:val="00D22336"/>
    <w:rsid w:val="00D234C6"/>
    <w:rsid w:val="00D24E26"/>
    <w:rsid w:val="00D26093"/>
    <w:rsid w:val="00D364BB"/>
    <w:rsid w:val="00D40A61"/>
    <w:rsid w:val="00D42E5A"/>
    <w:rsid w:val="00D52A5F"/>
    <w:rsid w:val="00D573C1"/>
    <w:rsid w:val="00D57B68"/>
    <w:rsid w:val="00D61999"/>
    <w:rsid w:val="00D61E2A"/>
    <w:rsid w:val="00D649C5"/>
    <w:rsid w:val="00D851CB"/>
    <w:rsid w:val="00D873E1"/>
    <w:rsid w:val="00DA1612"/>
    <w:rsid w:val="00DB446B"/>
    <w:rsid w:val="00DC1281"/>
    <w:rsid w:val="00DC5602"/>
    <w:rsid w:val="00DD5944"/>
    <w:rsid w:val="00DE790B"/>
    <w:rsid w:val="00DF2269"/>
    <w:rsid w:val="00DF6704"/>
    <w:rsid w:val="00E02417"/>
    <w:rsid w:val="00E11260"/>
    <w:rsid w:val="00E146C4"/>
    <w:rsid w:val="00E209CD"/>
    <w:rsid w:val="00E24D1E"/>
    <w:rsid w:val="00E25E2D"/>
    <w:rsid w:val="00E26E1B"/>
    <w:rsid w:val="00E31320"/>
    <w:rsid w:val="00E33EB9"/>
    <w:rsid w:val="00E5054D"/>
    <w:rsid w:val="00E57735"/>
    <w:rsid w:val="00E64C9C"/>
    <w:rsid w:val="00E831F1"/>
    <w:rsid w:val="00E8383E"/>
    <w:rsid w:val="00E915A3"/>
    <w:rsid w:val="00EA11FA"/>
    <w:rsid w:val="00EB448A"/>
    <w:rsid w:val="00EB66CA"/>
    <w:rsid w:val="00EC0E81"/>
    <w:rsid w:val="00EC296C"/>
    <w:rsid w:val="00EC47D6"/>
    <w:rsid w:val="00ED71E2"/>
    <w:rsid w:val="00EE371B"/>
    <w:rsid w:val="00EF7284"/>
    <w:rsid w:val="00F00192"/>
    <w:rsid w:val="00F00CB2"/>
    <w:rsid w:val="00F07206"/>
    <w:rsid w:val="00F141B6"/>
    <w:rsid w:val="00F14B4B"/>
    <w:rsid w:val="00F15528"/>
    <w:rsid w:val="00F2283F"/>
    <w:rsid w:val="00F231A1"/>
    <w:rsid w:val="00F24FAA"/>
    <w:rsid w:val="00F250A2"/>
    <w:rsid w:val="00F32A7C"/>
    <w:rsid w:val="00F34CE4"/>
    <w:rsid w:val="00F516E0"/>
    <w:rsid w:val="00F566F9"/>
    <w:rsid w:val="00F567CD"/>
    <w:rsid w:val="00F56FA5"/>
    <w:rsid w:val="00F64CBA"/>
    <w:rsid w:val="00F71027"/>
    <w:rsid w:val="00F733B8"/>
    <w:rsid w:val="00F817F4"/>
    <w:rsid w:val="00F82844"/>
    <w:rsid w:val="00F97795"/>
    <w:rsid w:val="00FE5597"/>
    <w:rsid w:val="00FF49CD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DAA"/>
  <w15:docId w15:val="{20A8B4AD-63D3-470E-8504-9DAFC6A3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8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D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B522B"/>
    <w:pPr>
      <w:ind w:left="708"/>
    </w:pPr>
  </w:style>
  <w:style w:type="character" w:styleId="Siln">
    <w:name w:val="Strong"/>
    <w:uiPriority w:val="99"/>
    <w:qFormat/>
    <w:rsid w:val="009B522B"/>
    <w:rPr>
      <w:rFonts w:cs="Times New Roman"/>
      <w:b/>
      <w:bCs/>
    </w:rPr>
  </w:style>
  <w:style w:type="paragraph" w:customStyle="1" w:styleId="Odstavecseseznamem1">
    <w:name w:val="Odstavec se seznamem1"/>
    <w:basedOn w:val="Normln"/>
    <w:uiPriority w:val="99"/>
    <w:rsid w:val="009B522B"/>
    <w:pPr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rsid w:val="009B5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F4C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B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unsted">
    <w:name w:val="Tučný střed"/>
    <w:basedOn w:val="Nadpis3"/>
    <w:rsid w:val="005B2D38"/>
    <w:pPr>
      <w:keepLines w:val="0"/>
      <w:suppressAutoHyphens w:val="0"/>
      <w:spacing w:before="240"/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D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5B2D38"/>
    <w:pPr>
      <w:ind w:left="567" w:hanging="709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B2D38"/>
    <w:pPr>
      <w:ind w:left="1134" w:hanging="425"/>
      <w:jc w:val="both"/>
    </w:pPr>
  </w:style>
  <w:style w:type="paragraph" w:styleId="Revize">
    <w:name w:val="Revision"/>
    <w:hidden/>
    <w:uiPriority w:val="99"/>
    <w:semiHidden/>
    <w:rsid w:val="004B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subjname">
    <w:name w:val="tsubjname"/>
    <w:basedOn w:val="Standardnpsmoodstavce"/>
    <w:rsid w:val="000D6039"/>
  </w:style>
  <w:style w:type="table" w:styleId="Mkatabulky">
    <w:name w:val="Table Grid"/>
    <w:basedOn w:val="Normlntabulka"/>
    <w:uiPriority w:val="59"/>
    <w:rsid w:val="0092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828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3" ma:contentTypeDescription="Vytvoří nový dokument" ma:contentTypeScope="" ma:versionID="373aa30999180221080f97a53b9e3b6e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23ff2f31bec6363bdd2baec50e8f21c6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8E833-47CD-40AC-9BEC-A9CC0F74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E8389-F065-4A84-B290-2951001AC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121D4-1876-4AB1-9C96-BAC2242B9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Dryje</dc:creator>
  <cp:lastModifiedBy>Dryje Dagmar</cp:lastModifiedBy>
  <cp:revision>3</cp:revision>
  <cp:lastPrinted>2020-08-24T06:53:00Z</cp:lastPrinted>
  <dcterms:created xsi:type="dcterms:W3CDTF">2021-09-29T08:53:00Z</dcterms:created>
  <dcterms:modified xsi:type="dcterms:W3CDTF">2021-09-29T08:53:00Z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</Properties>
</file>