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Dolní Beřkovice, LV číslo 885, geometrický plán č. 910-210504/2021</w:t>
              <w:br/>
              <w:t xml:space="preserve">Pozemky p. č. 208/18, p. č. 208/43, p. č. 498/11, p. č. 208/22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Kralupy nad Vltavou, LV číslo 4366, geometrický plán č. 1563-210504/2021</w:t>
              <w:br/>
              <w:t xml:space="preserve">Pozemky p. č. 492/11, p. č. 488/1, p. č. 462/1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Kralupy nad Vltavou, LV číslo 4366, geometrický plán č. 1564-210504/2021</w:t>
              <w:br/>
              <w:t xml:space="preserve">Pozemky p. č. 489/66, p. č. 488/1, p. č. 488/15, p. č. 462/1, p. č. st. 33, p. č. 489/65, p. č. 489/1, p. č. 9/3, p. č. 8/4, p. č. 589/1, p. č. 584/1, p. č. 581/6, p. č. 492/11, p. č. 489/80, p. č. 489/79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Liběchov, LV číslo 735, geometrický plán č. 749-149/2020</w:t>
              <w:br/>
              <w:t xml:space="preserve">Pozemek p. č. 1545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Mělník, LV číslo 8370, geometrický plán č. 8946-210504/2021</w:t>
              <w:br/>
              <w:t xml:space="preserve">Pozemek p. č. 8073/22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Neratovice, LV číslo 4228, geometrický plán č. 2137-43/2020</w:t>
              <w:br/>
              <w:t xml:space="preserve">Pozemek p. č. 220/1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Neratovice, LV číslo 4228, geometrický plán č. 2142-155/2020</w:t>
              <w:br/>
              <w:t xml:space="preserve">Pozemky p. č. 220/1, p. č. 220/18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Neratovice, LV číslo 4228, geometrický plán č. 2146-65/2020</w:t>
              <w:br/>
              <w:t xml:space="preserve">Pozemky p. č. 220/23, p. č. 220/1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Úžice u Kralup nad Vltavou, LV číslo 530, geometrický plán č. 693-69/2020</w:t>
              <w:br/>
              <w:t xml:space="preserve">Pozemky p. č. 793, p. č. 137/8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Všetaty, LV číslo 848, geometrický plán č. 868-155/2020</w:t>
              <w:br/>
              <w:t xml:space="preserve">Pozemky p. č. 284/1, p. č. 284/16, p. č. 302/13, p. č. 284/14, p. č. 284/18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