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560"/>
        <w:gridCol w:w="2100"/>
        <w:gridCol w:w="244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basic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č.j. ČDT: 21/382/426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basic"/>
              <w:ind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Příloha č. 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basic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č.j. smlouvy: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_kapitola"/>
              <w:ind/>
              <w:jc w:val="left"/>
            </w:pPr>
            <w:r>
              <w:rPr>
                <w:rFonts w:ascii="Times New Roman" w:hAnsi="Times New Roman" w:eastAsia="Times New Roman" w:cs="Times New Roman"/>
                <w:sz w:val="32"/>
              </w:rPr>
              <w:t xml:space="preserve">Seznam dotčených pozemků v jednotlivých katastrálních územích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Božkov, LV číslo 1436, geometrický plán č. 1635-34/2021</w:t>
              <w:br/>
              <w:t xml:space="preserve">Pozemek p. č. 1389/1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Křimice, LV číslo 201, geometrický plán č. 1819-210504/2021</w:t>
              <w:br/>
              <w:t xml:space="preserve">Pozemky p. č. 1038/14, p. č. 1038/2, p. č. 1038/3, p. č. 1038/21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Plzeň, LV číslo 327, geometrický plán č. 12226-210504/2021</w:t>
              <w:br/>
              <w:t xml:space="preserve">Pozemky p. č. 5601/80, p. č. 6588/1, p. č. 5599/50, p. č. 13411/61, p. č. 2343/1, p. č. 5601/1, p. č. 5662/1, p. č. 5663/1, p. č. 5663/3, p. č. 5663/4, p. č. 5663/5, p. č. 6587/1, p. č. 6587/19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Plzeň, LV číslo 327, geometrický plán č. 12227-210504/2021</w:t>
              <w:br/>
              <w:t xml:space="preserve">Pozemky p. č. 5601/1, p. č. 5599/50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Plzeň, LV číslo 327, geometrický plán č. 12228-210504/2021</w:t>
              <w:br/>
              <w:t xml:space="preserve">Pozemky p. č. 6589/8, p. č. 6589/14, p. č. 6590/11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Plzeň 4, LV číslo 327, geometrický plán č. 399-192183/2020</w:t>
              <w:br/>
              <w:t xml:space="preserve">Pozemky p. č. 5599/2, p. č. 5601/43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Sedlec u Starého Plzence, LV číslo 2667, geometrický plán č. 980-192183/2020</w:t>
              <w:br/>
              <w:t xml:space="preserve">Pozemek p. č. 155/2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Starý Plzenec, LV číslo 3113, geometrický plán č. 2966-192183/2019</w:t>
              <w:br/>
              <w:t xml:space="preserve">Pozemky p. č. 256/7, p. č. 626/15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ext_standard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Katastrální území Nezvěstice, LV číslo 864, geometrický plán č. 815-192183/2019</w:t>
              <w:br/>
              <w:t xml:space="preserve">Pozemky p. č. 290/1, p. č. 290/3, p. č. 290/4, p. č. 670/2, p. č. 670/19, p. č. 670/23</w:t>
            </w:r>
            <w:r>
              <w:rPr>
                <w:rFonts w:ascii="Times New Roman" w:hAnsi="Times New Roman" w:eastAsia="Times New Roman" w:cs="Times New Roman"/>
                <w:sz w:val="14"/>
              </w:rPr>
              <w:br/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ext_strankovani"/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000" w:right="1400" w:bottom="640" w:left="14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ext_basic">
    <w:name w:val="Text_basic"/>
    <w:qFormat/>
    <w:pPr>
      <w:ind/>
      <w:spacing w:lineRule="auto" w:line="240" w:after="0" w:before="0"/>
    </w:pPr>
    <w:rPr>
      <w:rFonts w:ascii="Times New Roman" w:hAnsi="Times New Roman" w:eastAsia="Times New Roman" w:cs="Times New Roman"/>
      <w:color w:val="000000"/>
      <w:sz w:val="22"/>
    </w:rPr>
  </w:style>
  <w:style w:type="paragraph" w:styleId="Text_standard">
    <w:name w:val="Text_standard"/>
    <w:qFormat/>
    <w:basedOn w:val="Text_basic"/>
    <w:pPr>
      <w:ind/>
      <w:jc w:val="left"/>
    </w:pPr>
    <w:rPr>
      <w:rFonts w:ascii="Times New Roman" w:hAnsi="Times New Roman" w:eastAsia="Times New Roman" w:cs="Times New Roman"/>
    </w:rPr>
  </w:style>
  <w:style w:type="paragraph" w:styleId="Text_standard_bold">
    <w:name w:val="Text_standard_bold"/>
    <w:qFormat/>
    <w:basedOn w:val="Text_standard"/>
    <w:pPr>
      <w:ind/>
      <w:jc w:val="left"/>
    </w:pPr>
    <w:rPr>
      <w:rFonts w:ascii="Times New Roman" w:hAnsi="Times New Roman" w:eastAsia="Times New Roman" w:cs="Times New Roman"/>
      <w:b w:val="true"/>
    </w:rPr>
  </w:style>
  <w:style w:type="paragraph" w:styleId="Text_standard_odstavec">
    <w:name w:val="Text_standard_odstavec"/>
    <w:qFormat/>
    <w:basedOn w:val="Text_basic"/>
    <w:pPr>
      <w:ind w:firstLine="-560" w:left="560"/>
      <w:jc w:val="both"/>
    </w:pPr>
    <w:rPr>
      <w:rFonts w:ascii="Times New Roman" w:hAnsi="Times New Roman" w:eastAsia="Times New Roman" w:cs="Times New Roman"/>
    </w:rPr>
  </w:style>
  <w:style w:type="paragraph" w:styleId="Text_standard_odstavec2">
    <w:name w:val="Text_standard_odstavec2"/>
    <w:qFormat/>
    <w:basedOn w:val="Text_basic"/>
    <w:pPr>
      <w:ind w:firstLine="-500" w:left="500"/>
      <w:jc w:val="both"/>
    </w:pPr>
    <w:rPr>
      <w:rFonts w:ascii="Times New Roman" w:hAnsi="Times New Roman" w:eastAsia="Times New Roman" w:cs="Times New Roman"/>
    </w:rPr>
  </w:style>
  <w:style w:type="paragraph" w:styleId="Text_standard_kapitola">
    <w:name w:val="Text_standard_kapitola"/>
    <w:qFormat/>
    <w:basedOn w:val="Text_basic"/>
    <w:pPr>
      <w:ind/>
      <w:jc w:val="center"/>
      <w:spacing w:lineRule="exact" w:line="280" w:after="0" w:before="280"/>
    </w:pPr>
    <w:rPr>
      <w:rFonts w:ascii="Times New Roman" w:hAnsi="Times New Roman" w:eastAsia="Times New Roman" w:cs="Times New Roman"/>
      <w:b w:val="true"/>
    </w:rPr>
  </w:style>
  <w:style w:type="paragraph" w:styleId="Text_strankovani">
    <w:name w:val="Text_strankovani"/>
    <w:qFormat/>
    <w:basedOn w:val="Text_basic"/>
    <w:pPr>
      <w:ind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6.14.0-2ab0d8625be255bf609c78e1181801213e51db8f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