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452" w14:textId="15A5A637" w:rsidR="00FD6DA9" w:rsidRDefault="00206FF9" w:rsidP="00316301">
      <w:pPr>
        <w:spacing w:before="100" w:beforeAutospacing="1" w:after="0" w:line="240" w:lineRule="atLeast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Dodatek č. </w:t>
      </w:r>
      <w:r w:rsidR="00101BE1">
        <w:rPr>
          <w:rFonts w:eastAsia="Times New Roman" w:cs="Times New Roman"/>
          <w:b/>
          <w:bCs/>
          <w:sz w:val="28"/>
          <w:szCs w:val="28"/>
          <w:lang w:eastAsia="cs-CZ"/>
        </w:rPr>
        <w:t>4</w:t>
      </w:r>
      <w:r w:rsidR="00FD6DA9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6F2ADA8A" w14:textId="4E0F044D" w:rsidR="002A6B78" w:rsidRDefault="00FD6DA9" w:rsidP="00316301">
      <w:pPr>
        <w:spacing w:before="100" w:beforeAutospacing="1" w:after="0" w:line="240" w:lineRule="atLeast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 Rámcové s</w:t>
      </w:r>
      <w:r w:rsidR="00231EB5">
        <w:rPr>
          <w:rFonts w:eastAsia="Times New Roman" w:cs="Times New Roman"/>
          <w:b/>
          <w:bCs/>
          <w:sz w:val="28"/>
          <w:szCs w:val="28"/>
          <w:lang w:eastAsia="cs-CZ"/>
        </w:rPr>
        <w:t>mlouvě</w:t>
      </w:r>
      <w:r w:rsidR="0031630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o obsluze a správě serveru </w:t>
      </w:r>
      <w:r w:rsidR="00212C7E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31630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ze dne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13. 4. 2016</w:t>
      </w:r>
    </w:p>
    <w:p w14:paraId="636E885A" w14:textId="77777777" w:rsidR="00206FF9" w:rsidRDefault="00206FF9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14:paraId="2271CB33" w14:textId="77777777" w:rsidR="00206FF9" w:rsidRDefault="00206FF9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14:paraId="638242FC" w14:textId="77777777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E173F0">
        <w:rPr>
          <w:rFonts w:asciiTheme="minorHAnsi" w:hAnsiTheme="minorHAnsi"/>
          <w:sz w:val="22"/>
          <w:szCs w:val="22"/>
        </w:rPr>
        <w:t>mezi</w:t>
      </w:r>
    </w:p>
    <w:p w14:paraId="1750B3A3" w14:textId="007F565F" w:rsidR="002A6B78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14:paraId="30211DBB" w14:textId="77777777" w:rsidR="00B34000" w:rsidRPr="00E173F0" w:rsidRDefault="00B34000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p w14:paraId="0E0831E2" w14:textId="77777777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  <w:r w:rsidRPr="00E173F0">
        <w:rPr>
          <w:rFonts w:asciiTheme="minorHAnsi" w:hAnsiTheme="minorHAnsi"/>
          <w:sz w:val="22"/>
          <w:szCs w:val="22"/>
          <w:u w:val="single"/>
        </w:rPr>
        <w:t>na straně jedné:</w:t>
      </w:r>
    </w:p>
    <w:p w14:paraId="6B6E7162" w14:textId="6686D0AF" w:rsidR="002A6B78" w:rsidRPr="00E173F0" w:rsidRDefault="00C60629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Domov u Biřičky</w:t>
      </w:r>
    </w:p>
    <w:p w14:paraId="0700A4FB" w14:textId="4ACC2C57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E173F0">
        <w:rPr>
          <w:rFonts w:asciiTheme="minorHAnsi" w:hAnsiTheme="minorHAnsi"/>
          <w:sz w:val="22"/>
          <w:szCs w:val="22"/>
        </w:rPr>
        <w:t xml:space="preserve">se sídlem: </w:t>
      </w:r>
      <w:r w:rsidR="00C60629">
        <w:rPr>
          <w:rFonts w:asciiTheme="minorHAnsi" w:hAnsiTheme="minorHAnsi"/>
          <w:sz w:val="22"/>
          <w:szCs w:val="22"/>
        </w:rPr>
        <w:t xml:space="preserve">K Biřičce 1240, 500 08  Hradec </w:t>
      </w:r>
      <w:r w:rsidR="008D59DD">
        <w:rPr>
          <w:rFonts w:asciiTheme="minorHAnsi" w:hAnsiTheme="minorHAnsi"/>
          <w:sz w:val="22"/>
          <w:szCs w:val="22"/>
        </w:rPr>
        <w:t>Králové</w:t>
      </w:r>
    </w:p>
    <w:p w14:paraId="46A67971" w14:textId="0E7A7E45" w:rsidR="002A6B78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E173F0">
        <w:rPr>
          <w:rFonts w:asciiTheme="minorHAnsi" w:hAnsiTheme="minorHAnsi"/>
          <w:sz w:val="22"/>
          <w:szCs w:val="22"/>
        </w:rPr>
        <w:t xml:space="preserve">IČO: </w:t>
      </w:r>
      <w:r w:rsidR="008D59DD">
        <w:rPr>
          <w:rFonts w:asciiTheme="minorHAnsi" w:hAnsiTheme="minorHAnsi"/>
          <w:sz w:val="22"/>
          <w:szCs w:val="22"/>
        </w:rPr>
        <w:t>005 79 033</w:t>
      </w:r>
    </w:p>
    <w:p w14:paraId="3C261DBD" w14:textId="53DFA137" w:rsidR="002A6B78" w:rsidRPr="00E173F0" w:rsidRDefault="008F639C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</w:t>
      </w:r>
      <w:r w:rsidR="002A6B78" w:rsidRPr="00E173F0">
        <w:rPr>
          <w:rFonts w:asciiTheme="minorHAnsi" w:hAnsiTheme="minorHAnsi"/>
          <w:sz w:val="22"/>
          <w:szCs w:val="22"/>
        </w:rPr>
        <w:t xml:space="preserve"> </w:t>
      </w:r>
      <w:r w:rsidR="003D5493">
        <w:rPr>
          <w:rFonts w:asciiTheme="minorHAnsi" w:hAnsiTheme="minorHAnsi"/>
          <w:sz w:val="22"/>
          <w:szCs w:val="22"/>
        </w:rPr>
        <w:t xml:space="preserve">Ing. </w:t>
      </w:r>
      <w:r w:rsidR="008D59DD">
        <w:rPr>
          <w:rFonts w:asciiTheme="minorHAnsi" w:hAnsiTheme="minorHAnsi"/>
          <w:sz w:val="22"/>
          <w:szCs w:val="22"/>
        </w:rPr>
        <w:t>Danielou Luskovou,</w:t>
      </w:r>
      <w:r w:rsidR="003D5493">
        <w:rPr>
          <w:rFonts w:asciiTheme="minorHAnsi" w:hAnsiTheme="minorHAnsi"/>
          <w:sz w:val="22"/>
          <w:szCs w:val="22"/>
        </w:rPr>
        <w:t xml:space="preserve"> MPA, </w:t>
      </w:r>
      <w:r w:rsidR="002A6B78" w:rsidRPr="00E173F0">
        <w:rPr>
          <w:rFonts w:asciiTheme="minorHAnsi" w:hAnsiTheme="minorHAnsi"/>
          <w:sz w:val="22"/>
          <w:szCs w:val="22"/>
        </w:rPr>
        <w:t xml:space="preserve"> </w:t>
      </w:r>
      <w:r w:rsidR="003D5493">
        <w:rPr>
          <w:rFonts w:asciiTheme="minorHAnsi" w:hAnsiTheme="minorHAnsi"/>
          <w:sz w:val="22"/>
          <w:szCs w:val="22"/>
        </w:rPr>
        <w:t>ředitelkou</w:t>
      </w:r>
    </w:p>
    <w:p w14:paraId="1D4FC2D7" w14:textId="07F432FA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E173F0">
        <w:rPr>
          <w:rFonts w:asciiTheme="minorHAnsi" w:hAnsiTheme="minorHAnsi"/>
          <w:sz w:val="22"/>
          <w:szCs w:val="22"/>
        </w:rPr>
        <w:t xml:space="preserve">(dále jen </w:t>
      </w:r>
      <w:r w:rsidRPr="002F7D72">
        <w:rPr>
          <w:rFonts w:asciiTheme="minorHAnsi" w:hAnsiTheme="minorHAnsi"/>
          <w:b/>
          <w:sz w:val="22"/>
          <w:szCs w:val="22"/>
        </w:rPr>
        <w:t>„</w:t>
      </w:r>
      <w:r w:rsidR="002F7D72" w:rsidRPr="002F7D72">
        <w:rPr>
          <w:rFonts w:asciiTheme="minorHAnsi" w:hAnsiTheme="minorHAnsi"/>
          <w:b/>
          <w:sz w:val="22"/>
          <w:szCs w:val="22"/>
        </w:rPr>
        <w:t>Klient</w:t>
      </w:r>
      <w:r w:rsidRPr="002F7D72">
        <w:rPr>
          <w:rFonts w:asciiTheme="minorHAnsi" w:hAnsiTheme="minorHAnsi"/>
          <w:b/>
          <w:sz w:val="22"/>
          <w:szCs w:val="22"/>
        </w:rPr>
        <w:t>“</w:t>
      </w:r>
      <w:r w:rsidRPr="00E173F0">
        <w:rPr>
          <w:rFonts w:asciiTheme="minorHAnsi" w:hAnsiTheme="minorHAnsi"/>
          <w:sz w:val="22"/>
          <w:szCs w:val="22"/>
        </w:rPr>
        <w:t xml:space="preserve">)   </w:t>
      </w:r>
    </w:p>
    <w:p w14:paraId="17F26A28" w14:textId="77777777" w:rsidR="002A6B78" w:rsidRPr="00E173F0" w:rsidRDefault="002A6B78" w:rsidP="002A6B78">
      <w:pPr>
        <w:spacing w:before="240" w:after="240" w:line="300" w:lineRule="exact"/>
        <w:contextualSpacing/>
      </w:pPr>
      <w:r w:rsidRPr="00E173F0">
        <w:t>a</w:t>
      </w:r>
    </w:p>
    <w:p w14:paraId="49DF2EE9" w14:textId="77777777" w:rsidR="002A6B78" w:rsidRPr="00E173F0" w:rsidRDefault="002A6B78" w:rsidP="002A6B78">
      <w:pPr>
        <w:spacing w:after="120" w:line="300" w:lineRule="exact"/>
        <w:contextualSpacing/>
      </w:pPr>
    </w:p>
    <w:p w14:paraId="12178B32" w14:textId="77777777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  <w:r w:rsidRPr="00E173F0">
        <w:rPr>
          <w:rFonts w:asciiTheme="minorHAnsi" w:hAnsiTheme="minorHAnsi"/>
          <w:sz w:val="22"/>
          <w:szCs w:val="22"/>
          <w:u w:val="single"/>
        </w:rPr>
        <w:t>na straně druhé:</w:t>
      </w:r>
    </w:p>
    <w:p w14:paraId="2C43BBE1" w14:textId="1367FD36" w:rsidR="002A6B78" w:rsidRPr="00E173F0" w:rsidRDefault="00FD6DA9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PB Com, spol.</w:t>
      </w:r>
      <w:r w:rsidR="00C15C41">
        <w:rPr>
          <w:rFonts w:asciiTheme="minorHAnsi" w:hAnsiTheme="minorHAnsi"/>
          <w:b/>
          <w:sz w:val="22"/>
          <w:szCs w:val="22"/>
        </w:rPr>
        <w:t xml:space="preserve"> 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15C41">
        <w:rPr>
          <w:rFonts w:asciiTheme="minorHAnsi" w:hAnsiTheme="minorHAnsi"/>
          <w:b/>
          <w:sz w:val="22"/>
          <w:szCs w:val="22"/>
        </w:rPr>
        <w:t>r.o.</w:t>
      </w:r>
    </w:p>
    <w:p w14:paraId="3D8B81DA" w14:textId="61A89952" w:rsidR="002A6B78" w:rsidRPr="00E173F0" w:rsidRDefault="002A6B78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</w:t>
      </w:r>
      <w:r w:rsidRPr="00E173F0">
        <w:rPr>
          <w:rFonts w:asciiTheme="minorHAnsi" w:hAnsiTheme="minorHAnsi"/>
          <w:sz w:val="22"/>
          <w:szCs w:val="22"/>
        </w:rPr>
        <w:t xml:space="preserve"> </w:t>
      </w:r>
      <w:r w:rsidR="00206FF9">
        <w:rPr>
          <w:rFonts w:asciiTheme="minorHAnsi" w:hAnsiTheme="minorHAnsi"/>
          <w:sz w:val="22"/>
          <w:szCs w:val="22"/>
        </w:rPr>
        <w:t>Zemědělská 898/3, 500 03</w:t>
      </w:r>
      <w:r w:rsidR="00FD6DA9">
        <w:rPr>
          <w:rFonts w:asciiTheme="minorHAnsi" w:hAnsiTheme="minorHAnsi"/>
          <w:sz w:val="22"/>
          <w:szCs w:val="22"/>
        </w:rPr>
        <w:t xml:space="preserve"> Hradec Králové</w:t>
      </w:r>
    </w:p>
    <w:p w14:paraId="1BF00BAB" w14:textId="07E7B49F" w:rsidR="003D5493" w:rsidRDefault="00FD6DA9" w:rsidP="002A6B78">
      <w:pPr>
        <w:pStyle w:val="Identifikacestran"/>
        <w:spacing w:after="120"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IČO:25280686</w:t>
      </w:r>
    </w:p>
    <w:p w14:paraId="2867B1F1" w14:textId="62AA212D" w:rsidR="002A6B78" w:rsidRDefault="003D5493" w:rsidP="003454C0">
      <w:r>
        <w:t>z</w:t>
      </w:r>
      <w:r w:rsidRPr="00E173F0">
        <w:t>astoupená</w:t>
      </w:r>
      <w:r>
        <w:t xml:space="preserve"> </w:t>
      </w:r>
      <w:r w:rsidR="00FD6DA9">
        <w:t>Martinem Říhou</w:t>
      </w:r>
      <w:r w:rsidR="003454C0">
        <w:t>, jednatel</w:t>
      </w:r>
      <w:r w:rsidR="00231EB5">
        <w:t>em</w:t>
      </w:r>
      <w:r w:rsidR="002A6B78" w:rsidRPr="00E173F0">
        <w:br/>
        <w:t>(dále jen „</w:t>
      </w:r>
      <w:r w:rsidR="002F7D72">
        <w:rPr>
          <w:b/>
        </w:rPr>
        <w:t>Servisní organizace</w:t>
      </w:r>
      <w:r w:rsidR="002A6B78" w:rsidRPr="00E173F0">
        <w:t>“)</w:t>
      </w:r>
    </w:p>
    <w:p w14:paraId="2D2220CD" w14:textId="77777777" w:rsidR="002A6B78" w:rsidRPr="00E173F0" w:rsidRDefault="002A6B78" w:rsidP="002A6B78">
      <w:pPr>
        <w:pStyle w:val="Identifikacestran"/>
        <w:spacing w:after="120" w:line="300" w:lineRule="exact"/>
        <w:jc w:val="both"/>
        <w:rPr>
          <w:rFonts w:asciiTheme="minorHAnsi" w:hAnsiTheme="minorHAnsi"/>
          <w:sz w:val="22"/>
          <w:szCs w:val="22"/>
        </w:rPr>
      </w:pPr>
    </w:p>
    <w:p w14:paraId="11511F6F" w14:textId="77777777" w:rsidR="002A6B78" w:rsidRPr="00FE4961" w:rsidRDefault="002A6B78" w:rsidP="002A6B78">
      <w:pPr>
        <w:spacing w:after="0" w:line="240" w:lineRule="auto"/>
        <w:rPr>
          <w:rFonts w:eastAsia="Times New Roman" w:cs="Times New Roman"/>
          <w:lang w:eastAsia="cs-CZ"/>
        </w:rPr>
      </w:pPr>
      <w:r w:rsidRPr="00E173F0">
        <w:t>(společně dále též „</w:t>
      </w:r>
      <w:r w:rsidRPr="00E173F0">
        <w:rPr>
          <w:b/>
        </w:rPr>
        <w:t>smluvní strany</w:t>
      </w:r>
      <w:r w:rsidRPr="00E173F0">
        <w:t>“)</w:t>
      </w:r>
    </w:p>
    <w:p w14:paraId="702F9952" w14:textId="79FF30FB" w:rsidR="002A6B78" w:rsidRDefault="002A6B78" w:rsidP="002A6B78">
      <w:pPr>
        <w:spacing w:after="0" w:line="240" w:lineRule="auto"/>
        <w:rPr>
          <w:rFonts w:eastAsia="Times New Roman" w:cs="Times New Roman"/>
          <w:lang w:eastAsia="cs-CZ"/>
        </w:rPr>
      </w:pPr>
      <w:r w:rsidRPr="00FE4961">
        <w:rPr>
          <w:rFonts w:eastAsia="Times New Roman" w:cs="Times New Roman"/>
          <w:lang w:eastAsia="cs-CZ"/>
        </w:rPr>
        <w:t>  </w:t>
      </w:r>
    </w:p>
    <w:p w14:paraId="4E071361" w14:textId="77777777" w:rsidR="00B34000" w:rsidRPr="00FE4961" w:rsidRDefault="00B34000" w:rsidP="002A6B78">
      <w:pPr>
        <w:spacing w:after="0" w:line="240" w:lineRule="auto"/>
        <w:rPr>
          <w:rFonts w:eastAsia="Times New Roman" w:cs="Times New Roman"/>
          <w:lang w:eastAsia="cs-CZ"/>
        </w:rPr>
      </w:pPr>
    </w:p>
    <w:p w14:paraId="6D19E13D" w14:textId="77777777" w:rsidR="002A6B78" w:rsidRPr="00E173F0" w:rsidRDefault="002A6B78" w:rsidP="002A6B78">
      <w:pPr>
        <w:widowControl w:val="0"/>
        <w:numPr>
          <w:ilvl w:val="2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b/>
          <w:bCs/>
        </w:rPr>
      </w:pPr>
      <w:r w:rsidRPr="00E173F0">
        <w:rPr>
          <w:b/>
          <w:bCs/>
        </w:rPr>
        <w:t>Úvodní ustanovení</w:t>
      </w:r>
    </w:p>
    <w:p w14:paraId="14E2C425" w14:textId="5C6647CC" w:rsidR="002A6B78" w:rsidRDefault="003143CA" w:rsidP="002A6B78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>
        <w:rPr>
          <w:bCs/>
        </w:rPr>
        <w:t>T</w:t>
      </w:r>
      <w:r w:rsidR="00940379">
        <w:rPr>
          <w:bCs/>
        </w:rPr>
        <w:t>ento</w:t>
      </w:r>
      <w:r>
        <w:rPr>
          <w:bCs/>
        </w:rPr>
        <w:t xml:space="preserve"> dodatek ke smlouvě</w:t>
      </w:r>
      <w:r w:rsidR="002A6B78">
        <w:rPr>
          <w:bCs/>
        </w:rPr>
        <w:t xml:space="preserve"> se uzavírá v</w:t>
      </w:r>
      <w:r w:rsidR="00DA5C58">
        <w:rPr>
          <w:bCs/>
        </w:rPr>
        <w:t> </w:t>
      </w:r>
      <w:r w:rsidR="002A6B78">
        <w:rPr>
          <w:bCs/>
        </w:rPr>
        <w:t>souvislosti</w:t>
      </w:r>
      <w:r w:rsidR="00DA5C58">
        <w:rPr>
          <w:bCs/>
        </w:rPr>
        <w:t xml:space="preserve"> s</w:t>
      </w:r>
      <w:r w:rsidR="00101BE1">
        <w:rPr>
          <w:bCs/>
        </w:rPr>
        <w:t> přechodem na Microsoft Office 365, dále v textu také M365</w:t>
      </w:r>
    </w:p>
    <w:p w14:paraId="77ADAB88" w14:textId="77777777" w:rsidR="0004753C" w:rsidRDefault="0004753C" w:rsidP="001A0C10">
      <w:pPr>
        <w:widowControl w:val="0"/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</w:p>
    <w:p w14:paraId="16DBD69B" w14:textId="52CF53CA" w:rsidR="0004753C" w:rsidRPr="0004753C" w:rsidRDefault="002F7D5E" w:rsidP="0004753C">
      <w:pPr>
        <w:pStyle w:val="Odstavecseseznamem"/>
        <w:widowControl w:val="0"/>
        <w:numPr>
          <w:ilvl w:val="2"/>
          <w:numId w:val="2"/>
        </w:numPr>
        <w:tabs>
          <w:tab w:val="clear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ind w:left="567"/>
        <w:jc w:val="both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Předmět dodatku č. </w:t>
      </w:r>
      <w:r w:rsidR="00101BE1">
        <w:rPr>
          <w:b/>
          <w:bCs/>
        </w:rPr>
        <w:t>4</w:t>
      </w:r>
    </w:p>
    <w:p w14:paraId="4D67B9D7" w14:textId="490955AA" w:rsidR="00101BE1" w:rsidRPr="00101BE1" w:rsidRDefault="002F7D72" w:rsidP="00101BE1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>
        <w:rPr>
          <w:bCs/>
        </w:rPr>
        <w:t xml:space="preserve">Smluvní strany se dohodly, že rozšíří původní předmět smlouvy o </w:t>
      </w:r>
      <w:r w:rsidR="00101BE1">
        <w:rPr>
          <w:bCs/>
        </w:rPr>
        <w:t xml:space="preserve">služby spojené se správou Microsoft Office 365 - </w:t>
      </w:r>
      <w:r w:rsidR="00101BE1" w:rsidRPr="00101BE1">
        <w:rPr>
          <w:b/>
          <w:bCs/>
        </w:rPr>
        <w:t>Správa M365 Kat C. </w:t>
      </w:r>
      <w:r w:rsidR="00101BE1" w:rsidRPr="00101BE1">
        <w:rPr>
          <w:bCs/>
        </w:rPr>
        <w:t xml:space="preserve">Servisní organizace zajistí správu služeb Microsoft </w:t>
      </w:r>
      <w:r w:rsidR="00101BE1">
        <w:rPr>
          <w:bCs/>
        </w:rPr>
        <w:t xml:space="preserve">Office </w:t>
      </w:r>
      <w:r w:rsidR="00101BE1" w:rsidRPr="00101BE1">
        <w:rPr>
          <w:bCs/>
        </w:rPr>
        <w:t>365 na portálu Micros</w:t>
      </w:r>
      <w:r w:rsidR="00101BE1">
        <w:rPr>
          <w:bCs/>
        </w:rPr>
        <w:t>o</w:t>
      </w:r>
      <w:r w:rsidR="00101BE1" w:rsidRPr="00101BE1">
        <w:rPr>
          <w:bCs/>
        </w:rPr>
        <w:t>ft Office 365, zejména vytváření a rušení uživatelů, údržbu distribučních skupin, nastavení DNS, hotline pro řešení problémů v rámci služby a komunikaci s</w:t>
      </w:r>
      <w:r w:rsidR="00101BE1">
        <w:rPr>
          <w:bCs/>
        </w:rPr>
        <w:t xml:space="preserve">e společností </w:t>
      </w:r>
      <w:r w:rsidR="00101BE1" w:rsidRPr="00101BE1">
        <w:rPr>
          <w:bCs/>
        </w:rPr>
        <w:t xml:space="preserve"> Micros</w:t>
      </w:r>
      <w:r w:rsidR="00101BE1">
        <w:rPr>
          <w:bCs/>
        </w:rPr>
        <w:t>o</w:t>
      </w:r>
      <w:r w:rsidR="00101BE1" w:rsidRPr="00101BE1">
        <w:rPr>
          <w:bCs/>
        </w:rPr>
        <w:t>ft při řešení poruch.</w:t>
      </w:r>
    </w:p>
    <w:p w14:paraId="3251C001" w14:textId="6C23AA2E" w:rsidR="00424C5C" w:rsidRPr="00E37E6A" w:rsidRDefault="00101BE1" w:rsidP="00101BE1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Zrušení dodatku číslo 3. </w:t>
      </w:r>
      <w:r>
        <w:rPr>
          <w:rFonts w:eastAsia="Times New Roman" w:cs="Times New Roman"/>
          <w:bCs/>
          <w:lang w:eastAsia="cs-CZ"/>
        </w:rPr>
        <w:t xml:space="preserve">tímto se zároveň ruší dodatek smlouvy číslo 3, který řešil </w:t>
      </w:r>
      <w:r w:rsidR="002F7D72" w:rsidRPr="00101BE1">
        <w:rPr>
          <w:bCs/>
        </w:rPr>
        <w:t>dodávku řízeného anti</w:t>
      </w:r>
      <w:r w:rsidR="00B34000" w:rsidRPr="00101BE1">
        <w:rPr>
          <w:bCs/>
        </w:rPr>
        <w:t>spamu</w:t>
      </w:r>
      <w:r w:rsidR="002F7D72" w:rsidRPr="00101BE1">
        <w:rPr>
          <w:bCs/>
        </w:rPr>
        <w:t xml:space="preserve"> pro pracovní stanice pro ochranu před </w:t>
      </w:r>
      <w:r w:rsidR="00B34000" w:rsidRPr="00101BE1">
        <w:rPr>
          <w:bCs/>
        </w:rPr>
        <w:t>spamem, phishingem, ransomwarem</w:t>
      </w:r>
      <w:r w:rsidR="002F7D72" w:rsidRPr="00101BE1">
        <w:rPr>
          <w:bCs/>
        </w:rPr>
        <w:t xml:space="preserve"> a jiným škodlivým obsahem.</w:t>
      </w:r>
      <w:r>
        <w:rPr>
          <w:bCs/>
        </w:rPr>
        <w:t xml:space="preserve"> Tyto služby jsou nyní součástí Microsoft Office 365, poskytování externího řešení se tímto ruší jako nadbytečné.</w:t>
      </w:r>
    </w:p>
    <w:p w14:paraId="2F448D70" w14:textId="67A9762D" w:rsidR="00E37E6A" w:rsidRPr="00101BE1" w:rsidRDefault="00E37E6A" w:rsidP="00101BE1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Měsíční paušál </w:t>
      </w:r>
      <w:r>
        <w:rPr>
          <w:rFonts w:eastAsia="Times New Roman" w:cs="Times New Roman"/>
          <w:bCs/>
          <w:lang w:eastAsia="cs-CZ"/>
        </w:rPr>
        <w:t xml:space="preserve">za správu serverů se z důvodu přesunu části provozované infrastruktury na M365 (viz bod 2.1) snižuje ze současných 6000,- Kč bez DPH 21% na 3000,-Kč bez DPH 21% měsíčně. </w:t>
      </w:r>
    </w:p>
    <w:p w14:paraId="08A651AB" w14:textId="77777777" w:rsidR="00101BE1" w:rsidRPr="00101BE1" w:rsidRDefault="00101BE1" w:rsidP="00101BE1">
      <w:pPr>
        <w:widowControl w:val="0"/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</w:p>
    <w:p w14:paraId="4C88B4C4" w14:textId="5ADD3A18" w:rsidR="002F7D72" w:rsidRPr="00101BE1" w:rsidRDefault="007A7074" w:rsidP="00101BE1">
      <w:pPr>
        <w:widowControl w:val="0"/>
        <w:numPr>
          <w:ilvl w:val="2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ind w:left="567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  <w:r w:rsidRPr="00101BE1">
        <w:rPr>
          <w:rFonts w:eastAsia="Times New Roman" w:cs="Times New Roman"/>
          <w:b/>
          <w:bCs/>
          <w:lang w:eastAsia="cs-CZ"/>
        </w:rPr>
        <w:t>Finanční odměna a fakturace</w:t>
      </w:r>
    </w:p>
    <w:p w14:paraId="65E8BABE" w14:textId="2985D25B" w:rsidR="00B34000" w:rsidRPr="00101BE1" w:rsidRDefault="00101BE1" w:rsidP="007A7074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ind w:left="567"/>
        <w:jc w:val="both"/>
        <w:textAlignment w:val="baseline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Za </w:t>
      </w:r>
      <w:r>
        <w:rPr>
          <w:rFonts w:eastAsia="Times New Roman" w:cs="Times New Roman"/>
          <w:b/>
          <w:bCs/>
          <w:lang w:eastAsia="cs-CZ"/>
        </w:rPr>
        <w:t xml:space="preserve">Správu M365 Kat C </w:t>
      </w:r>
      <w:r>
        <w:rPr>
          <w:rFonts w:eastAsia="Times New Roman" w:cs="Times New Roman"/>
          <w:bCs/>
          <w:lang w:eastAsia="cs-CZ"/>
        </w:rPr>
        <w:t>náleží servisní organizaci servisní poplatek 100Kč bez DPH 21% měsíčně za licenci pro každého uživatele služeb M365 v rámci základních plánů M365. Ostatní služby, jako je migrace dat, instalace a údržba SW na straně klienta bude účtována standardní hodinovou sazbou dle skutečně odvedené práce.</w:t>
      </w:r>
    </w:p>
    <w:p w14:paraId="5D1CC6AA" w14:textId="77777777" w:rsidR="007A7074" w:rsidRDefault="002A6B78" w:rsidP="007A7074">
      <w:pPr>
        <w:pStyle w:val="Odstavecseseznamem"/>
        <w:widowControl w:val="0"/>
        <w:numPr>
          <w:ilvl w:val="2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  <w:r w:rsidRPr="00424C5C">
        <w:rPr>
          <w:rFonts w:eastAsia="Times New Roman" w:cs="Times New Roman"/>
          <w:b/>
          <w:bCs/>
          <w:lang w:eastAsia="cs-CZ"/>
        </w:rPr>
        <w:t xml:space="preserve">Délka trvání </w:t>
      </w:r>
      <w:r w:rsidR="001957FD" w:rsidRPr="00424C5C">
        <w:rPr>
          <w:rFonts w:eastAsia="Times New Roman" w:cs="Times New Roman"/>
          <w:b/>
          <w:bCs/>
          <w:lang w:eastAsia="cs-CZ"/>
        </w:rPr>
        <w:t xml:space="preserve">dodatku </w:t>
      </w:r>
      <w:r w:rsidRPr="00424C5C">
        <w:rPr>
          <w:rFonts w:eastAsia="Times New Roman" w:cs="Times New Roman"/>
          <w:b/>
          <w:bCs/>
          <w:lang w:eastAsia="cs-CZ"/>
        </w:rPr>
        <w:t>smlouvy</w:t>
      </w:r>
    </w:p>
    <w:p w14:paraId="5414C05B" w14:textId="77777777" w:rsidR="007A7074" w:rsidRDefault="007A7074" w:rsidP="007A7074">
      <w:pPr>
        <w:pStyle w:val="Odstavecseseznamem"/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</w:pPr>
    </w:p>
    <w:p w14:paraId="54A926DE" w14:textId="4CA4D3FD" w:rsidR="003F2867" w:rsidRPr="00424C5C" w:rsidRDefault="001957FD" w:rsidP="004212CD">
      <w:pPr>
        <w:pStyle w:val="Odstavecseseznamem"/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rFonts w:eastAsia="Times New Roman" w:cs="Times New Roman"/>
          <w:bCs/>
          <w:lang w:eastAsia="cs-CZ"/>
        </w:rPr>
      </w:pPr>
      <w:r>
        <w:t>Dodatek se uzavírá na dobu, která</w:t>
      </w:r>
      <w:r w:rsidR="007E4E7D">
        <w:t xml:space="preserve"> se váže na</w:t>
      </w:r>
      <w:r w:rsidR="00FD6DA9">
        <w:t xml:space="preserve"> Rámcovou smlouvu</w:t>
      </w:r>
      <w:r w:rsidR="00E26D60">
        <w:t xml:space="preserve"> </w:t>
      </w:r>
      <w:r w:rsidR="004212CD">
        <w:t>o obsluze a správě serveru ze dne 13.4.2016.</w:t>
      </w:r>
    </w:p>
    <w:p w14:paraId="7A1FD670" w14:textId="77777777" w:rsidR="004C6DD2" w:rsidRPr="004C6DD2" w:rsidRDefault="004C6DD2" w:rsidP="004C6DD2">
      <w:pPr>
        <w:pStyle w:val="Odstavecseseznamem"/>
        <w:widowControl w:val="0"/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rFonts w:eastAsia="Times New Roman" w:cs="Times New Roman"/>
          <w:bCs/>
          <w:lang w:eastAsia="cs-CZ"/>
        </w:rPr>
      </w:pPr>
    </w:p>
    <w:p w14:paraId="2C4AD90C" w14:textId="5E6D0421" w:rsidR="002A6B78" w:rsidRPr="00FD63B0" w:rsidRDefault="002A6B78" w:rsidP="002A6B78">
      <w:pPr>
        <w:widowControl w:val="0"/>
        <w:numPr>
          <w:ilvl w:val="2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rFonts w:eastAsia="Times New Roman" w:cs="Times New Roman"/>
          <w:b/>
          <w:bCs/>
          <w:lang w:eastAsia="cs-CZ"/>
        </w:rPr>
      </w:pPr>
      <w:r w:rsidRPr="00FD63B0">
        <w:rPr>
          <w:rFonts w:eastAsia="Times New Roman" w:cs="Times New Roman"/>
          <w:b/>
          <w:bCs/>
          <w:lang w:eastAsia="cs-CZ"/>
        </w:rPr>
        <w:t>Závěrečná ustanovení</w:t>
      </w:r>
    </w:p>
    <w:p w14:paraId="0735DC8E" w14:textId="56F9CABF" w:rsidR="002A6B78" w:rsidRPr="00FD63B0" w:rsidRDefault="00EB7E62" w:rsidP="002A6B78">
      <w:pPr>
        <w:widowControl w:val="0"/>
        <w:numPr>
          <w:ilvl w:val="3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Tento dodatek</w:t>
      </w:r>
      <w:r w:rsidR="002A6B78" w:rsidRPr="00FD63B0">
        <w:rPr>
          <w:rFonts w:eastAsia="Times New Roman" w:cs="Times New Roman"/>
          <w:lang w:eastAsia="cs-CZ"/>
        </w:rPr>
        <w:t xml:space="preserve"> vstupuje v platn</w:t>
      </w:r>
      <w:r>
        <w:rPr>
          <w:rFonts w:eastAsia="Times New Roman" w:cs="Times New Roman"/>
          <w:lang w:eastAsia="cs-CZ"/>
        </w:rPr>
        <w:t>ost a nabývá účinnosti dnem je</w:t>
      </w:r>
      <w:r w:rsidR="002A6B78" w:rsidRPr="00FD63B0">
        <w:rPr>
          <w:rFonts w:eastAsia="Times New Roman" w:cs="Times New Roman"/>
          <w:lang w:eastAsia="cs-CZ"/>
        </w:rPr>
        <w:t>ho podpisu oběma smluvními stranami.</w:t>
      </w:r>
    </w:p>
    <w:p w14:paraId="25C75668" w14:textId="4B1F1D42" w:rsidR="002A6B78" w:rsidRPr="00FD63B0" w:rsidRDefault="00EB7E62" w:rsidP="002A6B78">
      <w:pPr>
        <w:widowControl w:val="0"/>
        <w:numPr>
          <w:ilvl w:val="3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Tento dodatek ke smlouvě</w:t>
      </w:r>
      <w:r w:rsidR="002A6B78" w:rsidRPr="00FD63B0">
        <w:rPr>
          <w:rFonts w:eastAsia="Times New Roman" w:cs="Times New Roman"/>
          <w:lang w:eastAsia="cs-CZ"/>
        </w:rPr>
        <w:t xml:space="preserve"> představuje úplnou dohodu smlu</w:t>
      </w:r>
      <w:r>
        <w:rPr>
          <w:rFonts w:eastAsia="Times New Roman" w:cs="Times New Roman"/>
          <w:lang w:eastAsia="cs-CZ"/>
        </w:rPr>
        <w:t>vních stran o jeho předmětu</w:t>
      </w:r>
      <w:r w:rsidR="002A6B78" w:rsidRPr="00FD63B0">
        <w:rPr>
          <w:rFonts w:eastAsia="Times New Roman" w:cs="Times New Roman"/>
          <w:lang w:eastAsia="cs-CZ"/>
        </w:rPr>
        <w:br/>
        <w:t>a nahrazuje veškerá předešlá ujednání smluvníc</w:t>
      </w:r>
      <w:r>
        <w:rPr>
          <w:rFonts w:eastAsia="Times New Roman" w:cs="Times New Roman"/>
          <w:lang w:eastAsia="cs-CZ"/>
        </w:rPr>
        <w:t>h stran ústní i písemná. Další změny či doplnění tohoto dodatku</w:t>
      </w:r>
      <w:r w:rsidR="002A6B78" w:rsidRPr="00FD63B0">
        <w:rPr>
          <w:rFonts w:eastAsia="Times New Roman" w:cs="Times New Roman"/>
          <w:lang w:eastAsia="cs-CZ"/>
        </w:rPr>
        <w:t xml:space="preserve"> smlouvy lze provést jen písemnou formou.</w:t>
      </w:r>
    </w:p>
    <w:p w14:paraId="6B4A9B43" w14:textId="55DC6C6E" w:rsidR="002A6B78" w:rsidRPr="00FD63B0" w:rsidRDefault="002A6B78" w:rsidP="002A6B78">
      <w:pPr>
        <w:widowControl w:val="0"/>
        <w:numPr>
          <w:ilvl w:val="3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lang w:eastAsia="cs-CZ"/>
        </w:rPr>
      </w:pPr>
      <w:r w:rsidRPr="00FD63B0">
        <w:rPr>
          <w:rFonts w:eastAsia="Times New Roman" w:cs="Times New Roman"/>
          <w:lang w:eastAsia="cs-CZ"/>
        </w:rPr>
        <w:t>Bude-li některé</w:t>
      </w:r>
      <w:r w:rsidR="00EB7E62">
        <w:rPr>
          <w:rFonts w:eastAsia="Times New Roman" w:cs="Times New Roman"/>
          <w:lang w:eastAsia="cs-CZ"/>
        </w:rPr>
        <w:t xml:space="preserve"> ujednání uvedené v tomto dodatku</w:t>
      </w:r>
      <w:r w:rsidRPr="00FD63B0">
        <w:rPr>
          <w:rFonts w:eastAsia="Times New Roman" w:cs="Times New Roman"/>
          <w:lang w:eastAsia="cs-CZ"/>
        </w:rPr>
        <w:t xml:space="preserve"> shledáno příslušným orgánem nebo oběma smluvními stranami jako neplatné, neúčinné nebo neúplné, bude takové ujednání brá</w:t>
      </w:r>
      <w:r w:rsidR="00EB7E62">
        <w:rPr>
          <w:rFonts w:eastAsia="Times New Roman" w:cs="Times New Roman"/>
          <w:lang w:eastAsia="cs-CZ"/>
        </w:rPr>
        <w:t>no za oddělené od zbývající části dodatku, který</w:t>
      </w:r>
      <w:r w:rsidRPr="00FD63B0">
        <w:rPr>
          <w:rFonts w:eastAsia="Times New Roman" w:cs="Times New Roman"/>
          <w:lang w:eastAsia="cs-CZ"/>
        </w:rPr>
        <w:t xml:space="preserve"> zůstává takovouto neplatností, n</w:t>
      </w:r>
      <w:r w:rsidR="00EB7E62">
        <w:rPr>
          <w:rFonts w:eastAsia="Times New Roman" w:cs="Times New Roman"/>
          <w:lang w:eastAsia="cs-CZ"/>
        </w:rPr>
        <w:t>eúčinností, neúplností nedotčen</w:t>
      </w:r>
      <w:r w:rsidRPr="00FD63B0">
        <w:rPr>
          <w:rFonts w:eastAsia="Times New Roman" w:cs="Times New Roman"/>
          <w:lang w:eastAsia="cs-CZ"/>
        </w:rPr>
        <w:t>. Obě smluvní strany se zavazují vyvinout maximální úsilí s cílem takovéto ujednaní nahradit novým ujednáním bez vad, které bude svým obsahem co nejblíže původnímu ujednání.</w:t>
      </w:r>
    </w:p>
    <w:p w14:paraId="28333E1F" w14:textId="1D03528F" w:rsidR="002A6B78" w:rsidRPr="00FD63B0" w:rsidRDefault="00EB7E62" w:rsidP="002A6B78">
      <w:pPr>
        <w:widowControl w:val="0"/>
        <w:numPr>
          <w:ilvl w:val="3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</w:t>
      </w:r>
      <w:r w:rsidR="00B16548">
        <w:rPr>
          <w:rFonts w:eastAsia="Times New Roman" w:cs="Times New Roman"/>
          <w:lang w:eastAsia="cs-CZ"/>
        </w:rPr>
        <w:t>ento</w:t>
      </w:r>
      <w:r>
        <w:rPr>
          <w:rFonts w:eastAsia="Times New Roman" w:cs="Times New Roman"/>
          <w:lang w:eastAsia="cs-CZ"/>
        </w:rPr>
        <w:t xml:space="preserve"> dodatek je sepsán</w:t>
      </w:r>
      <w:r w:rsidR="002A6B78" w:rsidRPr="00FD63B0">
        <w:rPr>
          <w:rFonts w:eastAsia="Times New Roman" w:cs="Times New Roman"/>
          <w:lang w:eastAsia="cs-CZ"/>
        </w:rPr>
        <w:t xml:space="preserve"> ve </w:t>
      </w:r>
      <w:r w:rsidR="002A6B78" w:rsidRPr="00FD63B0">
        <w:rPr>
          <w:rFonts w:eastAsia="Times New Roman" w:cs="Times New Roman"/>
          <w:u w:val="single"/>
          <w:lang w:eastAsia="cs-CZ"/>
        </w:rPr>
        <w:t>dvou (2) vyhotoveních</w:t>
      </w:r>
      <w:r w:rsidR="002A6B78" w:rsidRPr="00FD63B0">
        <w:rPr>
          <w:rFonts w:eastAsia="Times New Roman" w:cs="Times New Roman"/>
          <w:lang w:eastAsia="cs-CZ"/>
        </w:rPr>
        <w:t>, přičemž každá smluvní strana obdrží po jednom (1) vyhotovení.</w:t>
      </w:r>
    </w:p>
    <w:p w14:paraId="50E2EA93" w14:textId="4F5406F8" w:rsidR="002A6B78" w:rsidRPr="00FD63B0" w:rsidRDefault="002A6B78" w:rsidP="002A6B78">
      <w:pPr>
        <w:widowControl w:val="0"/>
        <w:numPr>
          <w:ilvl w:val="3"/>
          <w:numId w:val="2"/>
        </w:numPr>
        <w:tabs>
          <w:tab w:val="num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rFonts w:eastAsia="Times New Roman" w:cs="Times New Roman"/>
          <w:lang w:eastAsia="cs-CZ"/>
        </w:rPr>
      </w:pPr>
      <w:r w:rsidRPr="00FD63B0">
        <w:rPr>
          <w:rFonts w:eastAsia="Times New Roman" w:cs="Times New Roman"/>
          <w:lang w:eastAsia="cs-CZ"/>
        </w:rPr>
        <w:t>Smluv</w:t>
      </w:r>
      <w:r w:rsidR="00EB7E62">
        <w:rPr>
          <w:rFonts w:eastAsia="Times New Roman" w:cs="Times New Roman"/>
          <w:lang w:eastAsia="cs-CZ"/>
        </w:rPr>
        <w:t xml:space="preserve">ní strany prohlašují, že si tento dodatek ke smlouvě před jeho </w:t>
      </w:r>
      <w:r w:rsidR="008B222D">
        <w:rPr>
          <w:rFonts w:eastAsia="Times New Roman" w:cs="Times New Roman"/>
          <w:lang w:eastAsia="cs-CZ"/>
        </w:rPr>
        <w:t xml:space="preserve">podepsáním přečetly a s jeho </w:t>
      </w:r>
      <w:r w:rsidRPr="00FD63B0">
        <w:rPr>
          <w:rFonts w:eastAsia="Times New Roman" w:cs="Times New Roman"/>
          <w:lang w:eastAsia="cs-CZ"/>
        </w:rPr>
        <w:t xml:space="preserve">obsahem souhlasí. </w:t>
      </w:r>
      <w:r w:rsidR="008B222D">
        <w:rPr>
          <w:rFonts w:eastAsia="Times New Roman" w:cs="Times New Roman"/>
          <w:lang w:eastAsia="cs-CZ"/>
        </w:rPr>
        <w:t>Dále prohlašují, že tento dodatek</w:t>
      </w:r>
      <w:r w:rsidRPr="00FD63B0">
        <w:rPr>
          <w:rFonts w:eastAsia="Times New Roman" w:cs="Times New Roman"/>
          <w:lang w:eastAsia="cs-CZ"/>
        </w:rPr>
        <w:t xml:space="preserve"> je výrazem jejich pravé, svobodné</w:t>
      </w:r>
      <w:r w:rsidR="008B222D">
        <w:rPr>
          <w:rFonts w:eastAsia="Times New Roman" w:cs="Times New Roman"/>
          <w:lang w:eastAsia="cs-CZ"/>
        </w:rPr>
        <w:t xml:space="preserve"> a vážné vůle a na důkaz toho jej</w:t>
      </w:r>
      <w:r w:rsidRPr="00FD63B0">
        <w:rPr>
          <w:rFonts w:eastAsia="Times New Roman" w:cs="Times New Roman"/>
          <w:lang w:eastAsia="cs-CZ"/>
        </w:rPr>
        <w:t xml:space="preserve"> níže podepisují. </w:t>
      </w:r>
    </w:p>
    <w:p w14:paraId="2C4DF5E6" w14:textId="77777777" w:rsidR="002A6B78" w:rsidRPr="008D4785" w:rsidRDefault="002A6B78" w:rsidP="002A6B78">
      <w:pPr>
        <w:widowControl w:val="0"/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ind w:left="567"/>
        <w:jc w:val="both"/>
        <w:textAlignment w:val="baseline"/>
        <w:outlineLvl w:val="2"/>
        <w:rPr>
          <w:rFonts w:eastAsia="Times New Roman" w:cs="Times New Roman"/>
          <w:highlight w:val="yellow"/>
          <w:lang w:eastAsia="cs-CZ"/>
        </w:rPr>
      </w:pPr>
      <w:r w:rsidRPr="008D4785">
        <w:rPr>
          <w:rFonts w:eastAsia="Times New Roman" w:cs="Times New Roman"/>
          <w:highlight w:val="yellow"/>
          <w:lang w:eastAsia="cs-CZ"/>
        </w:rPr>
        <w:t xml:space="preserve"> </w:t>
      </w:r>
    </w:p>
    <w:p w14:paraId="45DF52FE" w14:textId="77777777" w:rsidR="002A6B78" w:rsidRPr="008D4785" w:rsidRDefault="002A6B78" w:rsidP="002A6B78">
      <w:pPr>
        <w:spacing w:after="0" w:line="240" w:lineRule="auto"/>
        <w:rPr>
          <w:rFonts w:eastAsia="Times New Roman" w:cs="Times New Roman"/>
          <w:highlight w:val="yellow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A6B78" w:rsidRPr="008D4785" w14:paraId="6B8A4131" w14:textId="77777777" w:rsidTr="00BF5A2F">
        <w:trPr>
          <w:trHeight w:val="483"/>
        </w:trPr>
        <w:tc>
          <w:tcPr>
            <w:tcW w:w="4601" w:type="dxa"/>
          </w:tcPr>
          <w:p w14:paraId="237FBD55" w14:textId="0E6F84E9" w:rsidR="002A6B78" w:rsidRPr="00FD63B0" w:rsidRDefault="007A7074" w:rsidP="00BF5A2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Klient</w:t>
            </w:r>
            <w:r w:rsidR="002A6B78" w:rsidRPr="00FD63B0">
              <w:rPr>
                <w:rFonts w:cs="Times New Roman"/>
                <w:color w:val="000000"/>
              </w:rPr>
              <w:t>:</w:t>
            </w:r>
          </w:p>
        </w:tc>
        <w:tc>
          <w:tcPr>
            <w:tcW w:w="4601" w:type="dxa"/>
          </w:tcPr>
          <w:p w14:paraId="768F1E4C" w14:textId="7C0D267B" w:rsidR="002A6B78" w:rsidRPr="00FD63B0" w:rsidRDefault="007A7074" w:rsidP="00BF5A2F">
            <w:pPr>
              <w:tabs>
                <w:tab w:val="center" w:pos="4536"/>
                <w:tab w:val="right" w:pos="9072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Servisní organizace</w:t>
            </w:r>
            <w:r w:rsidR="002A6B78" w:rsidRPr="00FD63B0">
              <w:rPr>
                <w:rFonts w:cs="Times New Roman"/>
                <w:color w:val="000000"/>
              </w:rPr>
              <w:t>:</w:t>
            </w:r>
          </w:p>
        </w:tc>
      </w:tr>
      <w:tr w:rsidR="002A6B78" w:rsidRPr="008D4785" w14:paraId="14B60538" w14:textId="77777777" w:rsidTr="00BF5A2F">
        <w:trPr>
          <w:trHeight w:val="483"/>
        </w:trPr>
        <w:tc>
          <w:tcPr>
            <w:tcW w:w="4601" w:type="dxa"/>
          </w:tcPr>
          <w:p w14:paraId="3BED9FE5" w14:textId="77777777" w:rsidR="002A6B78" w:rsidRDefault="002A6B78" w:rsidP="00BF5A2F">
            <w:pPr>
              <w:rPr>
                <w:rFonts w:cs="Times New Roman"/>
                <w:color w:val="000000"/>
              </w:rPr>
            </w:pPr>
          </w:p>
          <w:p w14:paraId="31F3F11C" w14:textId="2C5109B1" w:rsidR="00B34000" w:rsidRPr="00FD63B0" w:rsidRDefault="00B34000" w:rsidP="00BF5A2F">
            <w:pPr>
              <w:rPr>
                <w:rFonts w:cs="Times New Roman"/>
                <w:color w:val="000000"/>
              </w:rPr>
            </w:pPr>
          </w:p>
        </w:tc>
        <w:tc>
          <w:tcPr>
            <w:tcW w:w="4601" w:type="dxa"/>
          </w:tcPr>
          <w:p w14:paraId="76757FD5" w14:textId="77777777" w:rsidR="002A6B78" w:rsidRPr="00FD63B0" w:rsidRDefault="002A6B78" w:rsidP="00BF5A2F">
            <w:pPr>
              <w:tabs>
                <w:tab w:val="center" w:pos="4536"/>
                <w:tab w:val="right" w:pos="9072"/>
              </w:tabs>
              <w:rPr>
                <w:rFonts w:cs="Times New Roman"/>
                <w:color w:val="000000"/>
              </w:rPr>
            </w:pPr>
          </w:p>
        </w:tc>
      </w:tr>
      <w:tr w:rsidR="002A6B78" w:rsidRPr="00FE4961" w14:paraId="1FD2DDBB" w14:textId="77777777" w:rsidTr="00FD63B0">
        <w:trPr>
          <w:trHeight w:val="2057"/>
        </w:trPr>
        <w:tc>
          <w:tcPr>
            <w:tcW w:w="4601" w:type="dxa"/>
          </w:tcPr>
          <w:p w14:paraId="25F2EC1E" w14:textId="41890390" w:rsidR="002A6B78" w:rsidRPr="00FD63B0" w:rsidRDefault="002A6B78" w:rsidP="00BF5A2F">
            <w:pPr>
              <w:spacing w:line="300" w:lineRule="exact"/>
              <w:contextualSpacing/>
              <w:rPr>
                <w:rFonts w:eastAsia="Calibri" w:cs="Times New Roman"/>
                <w:color w:val="000000"/>
              </w:rPr>
            </w:pPr>
            <w:r w:rsidRPr="00FD63B0">
              <w:rPr>
                <w:rFonts w:eastAsia="Calibri" w:cs="Times New Roman"/>
                <w:color w:val="000000"/>
              </w:rPr>
              <w:t>V ______________ dne __________20</w:t>
            </w:r>
            <w:r w:rsidR="00101BE1">
              <w:rPr>
                <w:rFonts w:eastAsia="Calibri" w:cs="Times New Roman"/>
                <w:color w:val="000000"/>
              </w:rPr>
              <w:t>21</w:t>
            </w:r>
          </w:p>
          <w:p w14:paraId="75589849" w14:textId="1AC0EC37" w:rsidR="002A6B78" w:rsidRPr="00FD63B0" w:rsidRDefault="002A6B78" w:rsidP="00BF5A2F">
            <w:pPr>
              <w:rPr>
                <w:rFonts w:cs="Times New Roman"/>
                <w:color w:val="000000"/>
              </w:rPr>
            </w:pPr>
          </w:p>
        </w:tc>
        <w:tc>
          <w:tcPr>
            <w:tcW w:w="4601" w:type="dxa"/>
          </w:tcPr>
          <w:p w14:paraId="50C48FF0" w14:textId="669162B7" w:rsidR="002A6B78" w:rsidRPr="00212C7E" w:rsidRDefault="002A6B78" w:rsidP="00212C7E">
            <w:pPr>
              <w:spacing w:line="300" w:lineRule="exact"/>
              <w:contextualSpacing/>
              <w:rPr>
                <w:rFonts w:eastAsia="Calibri" w:cs="Times New Roman"/>
                <w:color w:val="000000"/>
              </w:rPr>
            </w:pPr>
            <w:r w:rsidRPr="00FD63B0">
              <w:rPr>
                <w:rFonts w:eastAsia="Calibri" w:cs="Times New Roman"/>
                <w:color w:val="000000"/>
              </w:rPr>
              <w:t>V ______________ dne ____</w:t>
            </w:r>
            <w:r w:rsidR="00E37E6A">
              <w:rPr>
                <w:rFonts w:eastAsia="Calibri" w:cs="Times New Roman"/>
                <w:color w:val="000000"/>
              </w:rPr>
              <w:t>_</w:t>
            </w:r>
            <w:r w:rsidRPr="00FD63B0">
              <w:rPr>
                <w:rFonts w:eastAsia="Calibri" w:cs="Times New Roman"/>
                <w:color w:val="000000"/>
              </w:rPr>
              <w:t>_____20</w:t>
            </w:r>
            <w:r w:rsidR="00101BE1">
              <w:rPr>
                <w:rFonts w:eastAsia="Calibri" w:cs="Times New Roman"/>
                <w:color w:val="000000"/>
              </w:rPr>
              <w:t>21</w:t>
            </w:r>
          </w:p>
        </w:tc>
      </w:tr>
    </w:tbl>
    <w:p w14:paraId="032E6788" w14:textId="72E88A0E" w:rsidR="007D4DD8" w:rsidRPr="00212C7E" w:rsidRDefault="007D4DD8" w:rsidP="00E37E6A">
      <w:pPr>
        <w:tabs>
          <w:tab w:val="left" w:pos="3570"/>
        </w:tabs>
      </w:pPr>
    </w:p>
    <w:sectPr w:rsidR="007D4DD8" w:rsidRPr="00212C7E" w:rsidSect="00F20A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4E83" w14:textId="77777777" w:rsidR="00EB1314" w:rsidRDefault="00EB1314">
      <w:pPr>
        <w:spacing w:after="0" w:line="240" w:lineRule="auto"/>
      </w:pPr>
      <w:r>
        <w:separator/>
      </w:r>
    </w:p>
  </w:endnote>
  <w:endnote w:type="continuationSeparator" w:id="0">
    <w:p w14:paraId="3F19F037" w14:textId="77777777" w:rsidR="00EB1314" w:rsidRDefault="00EB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805107"/>
      <w:docPartObj>
        <w:docPartGallery w:val="Page Numbers (Bottom of Page)"/>
        <w:docPartUnique/>
      </w:docPartObj>
    </w:sdtPr>
    <w:sdtEndPr/>
    <w:sdtContent>
      <w:p w14:paraId="119A81DF" w14:textId="77777777" w:rsidR="001F2121" w:rsidRDefault="00C465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9C">
          <w:rPr>
            <w:noProof/>
          </w:rPr>
          <w:t>1</w:t>
        </w:r>
        <w:r>
          <w:fldChar w:fldCharType="end"/>
        </w:r>
      </w:p>
    </w:sdtContent>
  </w:sdt>
  <w:p w14:paraId="6F74FD48" w14:textId="77777777" w:rsidR="001F2121" w:rsidRDefault="008E4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31AD" w14:textId="77777777" w:rsidR="00EB1314" w:rsidRDefault="00EB1314">
      <w:pPr>
        <w:spacing w:after="0" w:line="240" w:lineRule="auto"/>
      </w:pPr>
      <w:r>
        <w:separator/>
      </w:r>
    </w:p>
  </w:footnote>
  <w:footnote w:type="continuationSeparator" w:id="0">
    <w:p w14:paraId="0E6F9FBE" w14:textId="77777777" w:rsidR="00EB1314" w:rsidRDefault="00EB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CAB"/>
    <w:multiLevelType w:val="multilevel"/>
    <w:tmpl w:val="64C2F6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47"/>
        </w:tabs>
        <w:ind w:left="747" w:hanging="567"/>
      </w:pPr>
      <w:rPr>
        <w:rFonts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ascii="Calibri" w:hAnsi="Calibri" w:cs="Times New Roman" w:hint="default"/>
        <w:b w:val="0"/>
        <w:sz w:val="22"/>
        <w:szCs w:val="22"/>
      </w:rPr>
    </w:lvl>
    <w:lvl w:ilvl="5">
      <w:start w:val="1"/>
      <w:numFmt w:val="lowerLetter"/>
      <w:lvlText w:val="%5%6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</w:abstractNum>
  <w:abstractNum w:abstractNumId="1" w15:restartNumberingAfterBreak="0">
    <w:nsid w:val="1F5F3E1F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C5B1F"/>
    <w:multiLevelType w:val="hybridMultilevel"/>
    <w:tmpl w:val="120226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307"/>
    <w:multiLevelType w:val="hybridMultilevel"/>
    <w:tmpl w:val="3EA0078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5151378"/>
    <w:multiLevelType w:val="multilevel"/>
    <w:tmpl w:val="2864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F023D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327F25"/>
    <w:multiLevelType w:val="hybridMultilevel"/>
    <w:tmpl w:val="D138CCFE"/>
    <w:lvl w:ilvl="0" w:tplc="90C41F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FD27AA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7C2E35"/>
    <w:multiLevelType w:val="hybridMultilevel"/>
    <w:tmpl w:val="A4EC788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8F769CC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9B4DD8"/>
    <w:multiLevelType w:val="hybridMultilevel"/>
    <w:tmpl w:val="BB927D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4A"/>
    <w:rsid w:val="00024577"/>
    <w:rsid w:val="0004564B"/>
    <w:rsid w:val="0004753C"/>
    <w:rsid w:val="000C3BBE"/>
    <w:rsid w:val="00101BE1"/>
    <w:rsid w:val="001257DC"/>
    <w:rsid w:val="0013370C"/>
    <w:rsid w:val="0015752D"/>
    <w:rsid w:val="001957FD"/>
    <w:rsid w:val="001A0C10"/>
    <w:rsid w:val="001B36D3"/>
    <w:rsid w:val="00204E0E"/>
    <w:rsid w:val="00206FF9"/>
    <w:rsid w:val="00212C7E"/>
    <w:rsid w:val="00231EB5"/>
    <w:rsid w:val="002818DD"/>
    <w:rsid w:val="002A2C13"/>
    <w:rsid w:val="002A6B78"/>
    <w:rsid w:val="002F7D5E"/>
    <w:rsid w:val="002F7D72"/>
    <w:rsid w:val="003143CA"/>
    <w:rsid w:val="00316301"/>
    <w:rsid w:val="003454C0"/>
    <w:rsid w:val="00345A70"/>
    <w:rsid w:val="003A1454"/>
    <w:rsid w:val="003A19DD"/>
    <w:rsid w:val="003C2E24"/>
    <w:rsid w:val="003D5493"/>
    <w:rsid w:val="003F16B7"/>
    <w:rsid w:val="003F2867"/>
    <w:rsid w:val="003F4293"/>
    <w:rsid w:val="004212CD"/>
    <w:rsid w:val="00424C5C"/>
    <w:rsid w:val="00462841"/>
    <w:rsid w:val="00467A4A"/>
    <w:rsid w:val="0048002E"/>
    <w:rsid w:val="004813AE"/>
    <w:rsid w:val="00494B78"/>
    <w:rsid w:val="004A0D3D"/>
    <w:rsid w:val="004C6DD2"/>
    <w:rsid w:val="00550E9A"/>
    <w:rsid w:val="005A79AF"/>
    <w:rsid w:val="005B0F0C"/>
    <w:rsid w:val="005E2905"/>
    <w:rsid w:val="005F0AF3"/>
    <w:rsid w:val="00610B45"/>
    <w:rsid w:val="0068286A"/>
    <w:rsid w:val="006A29D8"/>
    <w:rsid w:val="006B4F87"/>
    <w:rsid w:val="006B59FC"/>
    <w:rsid w:val="006E575E"/>
    <w:rsid w:val="00786465"/>
    <w:rsid w:val="007A7074"/>
    <w:rsid w:val="007D4DD8"/>
    <w:rsid w:val="007D7386"/>
    <w:rsid w:val="007E4E7D"/>
    <w:rsid w:val="007F784A"/>
    <w:rsid w:val="00802AD1"/>
    <w:rsid w:val="00827751"/>
    <w:rsid w:val="008403B3"/>
    <w:rsid w:val="00842BFB"/>
    <w:rsid w:val="0086333A"/>
    <w:rsid w:val="008B222D"/>
    <w:rsid w:val="008D4785"/>
    <w:rsid w:val="008D59DD"/>
    <w:rsid w:val="008E4499"/>
    <w:rsid w:val="008F639C"/>
    <w:rsid w:val="00940379"/>
    <w:rsid w:val="00945D4D"/>
    <w:rsid w:val="00950C60"/>
    <w:rsid w:val="00966F68"/>
    <w:rsid w:val="009764CD"/>
    <w:rsid w:val="0098293B"/>
    <w:rsid w:val="00A036B3"/>
    <w:rsid w:val="00A27AAA"/>
    <w:rsid w:val="00AB2F91"/>
    <w:rsid w:val="00AD3E42"/>
    <w:rsid w:val="00AE20A9"/>
    <w:rsid w:val="00B0441C"/>
    <w:rsid w:val="00B16548"/>
    <w:rsid w:val="00B34000"/>
    <w:rsid w:val="00BB0DAE"/>
    <w:rsid w:val="00BB2C96"/>
    <w:rsid w:val="00BE3EF3"/>
    <w:rsid w:val="00C13D05"/>
    <w:rsid w:val="00C15C41"/>
    <w:rsid w:val="00C465C8"/>
    <w:rsid w:val="00C60629"/>
    <w:rsid w:val="00C81CE2"/>
    <w:rsid w:val="00CF42B4"/>
    <w:rsid w:val="00D13F5D"/>
    <w:rsid w:val="00D43478"/>
    <w:rsid w:val="00D66BF1"/>
    <w:rsid w:val="00D95BA5"/>
    <w:rsid w:val="00DA5C58"/>
    <w:rsid w:val="00DE33AA"/>
    <w:rsid w:val="00DE6EF9"/>
    <w:rsid w:val="00E06D15"/>
    <w:rsid w:val="00E2242D"/>
    <w:rsid w:val="00E26D60"/>
    <w:rsid w:val="00E37E6A"/>
    <w:rsid w:val="00E83B95"/>
    <w:rsid w:val="00EB1314"/>
    <w:rsid w:val="00EB7E62"/>
    <w:rsid w:val="00EE7302"/>
    <w:rsid w:val="00F063D6"/>
    <w:rsid w:val="00F31D82"/>
    <w:rsid w:val="00F83FCC"/>
    <w:rsid w:val="00F96C0C"/>
    <w:rsid w:val="00FD63B0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388C"/>
  <w15:chartTrackingRefBased/>
  <w15:docId w15:val="{0F158995-CE2D-43C3-AE6B-464B0A9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B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B78"/>
    <w:pPr>
      <w:ind w:left="720"/>
      <w:contextualSpacing/>
    </w:pPr>
  </w:style>
  <w:style w:type="paragraph" w:styleId="Bezmezer">
    <w:name w:val="No Spacing"/>
    <w:uiPriority w:val="1"/>
    <w:qFormat/>
    <w:rsid w:val="002A6B78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A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A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B78"/>
  </w:style>
  <w:style w:type="paragraph" w:customStyle="1" w:styleId="Identifikacestran">
    <w:name w:val="Identifikace stran"/>
    <w:basedOn w:val="Normln"/>
    <w:rsid w:val="002A6B78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8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8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8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5D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Kropíková</dc:creator>
  <cp:keywords/>
  <dc:description/>
  <cp:lastModifiedBy>Pavlína Holubová</cp:lastModifiedBy>
  <cp:revision>2</cp:revision>
  <cp:lastPrinted>2018-05-22T09:38:00Z</cp:lastPrinted>
  <dcterms:created xsi:type="dcterms:W3CDTF">2021-09-24T12:38:00Z</dcterms:created>
  <dcterms:modified xsi:type="dcterms:W3CDTF">2021-09-24T12:38:00Z</dcterms:modified>
</cp:coreProperties>
</file>