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lllllllllllllllllllllllll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8"/>
        </w:rPr>
        <w:t>2021006103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0"/>
          <w:b/>
          <w:bCs/>
        </w:rPr>
        <w:t>KUPNÍ SMLOUVA</w:t>
      </w:r>
      <w:bookmarkEnd w:id="2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r>
        <w:rPr>
          <w:rStyle w:val="CharStyle12"/>
        </w:rPr>
        <w:t>podle ustanovení § 2079 a násl. zákona č. 89/2012 Sb., občanský zákoník,</w:t>
        <w:br/>
        <w:t>uzavřená mezi</w:t>
      </w:r>
      <w:bookmarkEnd w:id="4"/>
    </w:p>
    <w:tbl>
      <w:tblPr>
        <w:tblOverlap w:val="never"/>
        <w:jc w:val="center"/>
        <w:tblLayout w:type="fixed"/>
      </w:tblPr>
      <w:tblGrid>
        <w:gridCol w:w="2717"/>
        <w:gridCol w:w="6202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pacing w:val="9"/>
                <w:shd w:val="clear" w:color="auto" w:fill="000000"/>
              </w:rPr>
              <w:t>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2"/>
                <w:shd w:val="clear" w:color="auto" w:fill="000000"/>
              </w:rPr>
              <w:t>.....</w:t>
            </w:r>
            <w:r>
              <w:rPr>
                <w:rStyle w:val="CharStyle17"/>
                <w:spacing w:val="3"/>
                <w:shd w:val="clear" w:color="auto" w:fill="000000"/>
              </w:rPr>
              <w:t>......</w:t>
            </w:r>
            <w:r>
              <w:rPr>
                <w:rStyle w:val="CharStyle17"/>
                <w:shd w:val="clear" w:color="auto" w:fill="000000"/>
              </w:rPr>
              <w:t>​...............</w:t>
            </w:r>
            <w:r>
              <w:rPr>
                <w:rStyle w:val="CharStyle17"/>
                <w:spacing w:val="1"/>
                <w:shd w:val="clear" w:color="auto" w:fill="000000"/>
              </w:rPr>
              <w:t>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​.................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7"/>
                <w:shd w:val="clear" w:color="auto" w:fill="000000"/>
              </w:rPr>
              <w:t>.....</w:t>
            </w:r>
            <w:r>
              <w:rPr>
                <w:rStyle w:val="CharStyle17"/>
                <w:spacing w:val="8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"/>
                <w:shd w:val="clear" w:color="auto" w:fill="000000"/>
              </w:rPr>
              <w:t>................</w:t>
            </w:r>
            <w:r>
              <w:rPr>
                <w:rStyle w:val="CharStyle17"/>
                <w:spacing w:val="2"/>
                <w:shd w:val="clear" w:color="auto" w:fill="000000"/>
              </w:rPr>
              <w:t>.........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00346292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CZ00346292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 xml:space="preserve">MONETA Money Bank, a s., č. ú. </w:t>
            </w:r>
            <w:r>
              <w:rPr>
                <w:rStyle w:val="CharStyle17"/>
                <w:spacing w:val="1"/>
                <w:shd w:val="clear" w:color="auto" w:fill="000000"/>
              </w:rPr>
              <w:t>........................</w:t>
            </w:r>
            <w:r>
              <w:rPr>
                <w:rStyle w:val="CharStyle17"/>
                <w:spacing w:val="2"/>
                <w:shd w:val="clear" w:color="auto" w:fill="000000"/>
              </w:rPr>
              <w:t>..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sz w:val="20"/>
          <w:szCs w:val="20"/>
        </w:rPr>
        <w:t xml:space="preserve">(dále jen </w:t>
      </w:r>
      <w:r>
        <w:rPr>
          <w:rStyle w:val="CharStyle14"/>
          <w:b/>
          <w:bCs/>
          <w:i/>
          <w:iCs/>
        </w:rPr>
        <w:t>„kupující'</w:t>
      </w:r>
    </w:p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2717"/>
        <w:gridCol w:w="6197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7"/>
                <w:sz w:val="16"/>
                <w:szCs w:val="16"/>
              </w:rPr>
              <w:t>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Jan Četl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Okružní 410, 755 01 Vsetín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Jan Četl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Jan Četl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IČO: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DIČ: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04312058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CZ6509071866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podnikatel - OSVČ není zapsán v OR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pacing w:val="8"/>
                <w:shd w:val="clear" w:color="auto" w:fill="000000"/>
              </w:rPr>
              <w:t>.....</w:t>
            </w:r>
            <w:r>
              <w:rPr>
                <w:rStyle w:val="CharStyle17"/>
                <w:spacing w:val="9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"/>
                <w:shd w:val="clear" w:color="auto" w:fill="000000"/>
              </w:rPr>
              <w:t>.........</w:t>
            </w:r>
            <w:r>
              <w:rPr>
                <w:rStyle w:val="CharStyle17"/>
                <w:spacing w:val="2"/>
                <w:shd w:val="clear" w:color="auto" w:fill="000000"/>
              </w:rPr>
              <w:t>.................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sz w:val="20"/>
          <w:szCs w:val="20"/>
        </w:rPr>
        <w:t xml:space="preserve">(dále jen </w:t>
      </w:r>
      <w:r>
        <w:rPr>
          <w:rStyle w:val="CharStyle14"/>
          <w:b/>
          <w:bCs/>
          <w:i/>
          <w:iCs/>
        </w:rPr>
        <w:t>„prodávající'</w:t>
      </w:r>
    </w:p>
    <w:p>
      <w:pPr>
        <w:widowControl w:val="0"/>
        <w:spacing w:after="1039" w:line="1" w:lineRule="exact"/>
      </w:pP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60" w:line="271" w:lineRule="auto"/>
        <w:ind w:left="0" w:right="0" w:firstLine="0"/>
        <w:jc w:val="both"/>
      </w:pPr>
      <w:r>
        <w:rPr>
          <w:rStyle w:val="CharStyle30"/>
        </w:rPr>
        <w:t>Prodávající je oprávněn na základě svého vlastnického práva nakládat s tímto zbožím: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60" w:line="271" w:lineRule="auto"/>
        <w:ind w:left="0" w:right="0" w:firstLine="0"/>
        <w:jc w:val="center"/>
      </w:pPr>
      <w:bookmarkStart w:id="6" w:name="bookmark6"/>
      <w:r>
        <w:rPr>
          <w:rStyle w:val="CharStyle33"/>
          <w:b/>
          <w:bCs/>
        </w:rPr>
        <w:t>1 ks svařovacího stolu</w:t>
      </w:r>
      <w:bookmarkEnd w:id="6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60" w:line="271" w:lineRule="auto"/>
        <w:ind w:left="0" w:right="0" w:firstLine="420"/>
        <w:jc w:val="both"/>
      </w:pPr>
      <w:r>
        <w:rPr>
          <w:rStyle w:val="CharStyle30"/>
        </w:rPr>
        <w:t>Bližší specifikace tohoto zboží je uvedena v příloze č. 1, která je nedílnou součástí této smlouvy.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271" w:lineRule="auto"/>
        <w:ind w:left="420" w:right="0" w:hanging="420"/>
        <w:jc w:val="both"/>
      </w:pPr>
      <w:r>
        <w:rPr>
          <w:rStyle w:val="CharStyle30"/>
        </w:rPr>
        <w:t>Prodávající prodává zboží podle čl. 1 této smlouvy se všemi jeho součástmi kupujícímu, a kupující kupuje toto zboží do vlastnictví svého zřizovatele za kupní cenu podle čl. 6 této smlouvy.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/>
        <w:ind w:left="420" w:right="0" w:hanging="420"/>
        <w:jc w:val="both"/>
      </w:pPr>
      <w:r>
        <w:rPr>
          <w:rStyle w:val="CharStyle30"/>
        </w:rPr>
        <w:t xml:space="preserve">Prodávající se zavazuje splnit svůj závazek k dodání zboží podle čl. 1 této smlouvy nejpozději do </w:t>
      </w:r>
      <w:r>
        <w:rPr>
          <w:rStyle w:val="CharStyle30"/>
          <w:b/>
          <w:bCs/>
        </w:rPr>
        <w:t xml:space="preserve">14 dnů </w:t>
      </w:r>
      <w:r>
        <w:rPr>
          <w:rStyle w:val="CharStyle30"/>
        </w:rPr>
        <w:t>ode dne účinnosti této smlouvy, a to v místě plnění, kterým se rozumí sídlo kupujícího dle záhlaví k této smlouvě.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00"/>
        <w:ind w:left="420" w:right="0" w:hanging="420"/>
        <w:jc w:val="both"/>
      </w:pPr>
      <w:r>
        <w:rPr>
          <w:rStyle w:val="CharStyle30"/>
        </w:rPr>
        <w:t>Závazek prodávajícího k dodání zboží podle čl. 1 této smlouvy se pak považuje za splněný dnem předání a převzetí tohoto zboží, prostého všech vad, formou písemného předávacího protokolu, podepsaného oběma smluvními stranami.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40" w:line="266" w:lineRule="auto"/>
        <w:ind w:left="420" w:right="0" w:hanging="420"/>
        <w:jc w:val="both"/>
      </w:pPr>
      <w:r>
        <w:rPr>
          <w:rStyle w:val="CharStyle30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86" w:lineRule="auto"/>
        <w:ind w:left="420" w:right="0" w:hanging="420"/>
        <w:jc w:val="both"/>
      </w:pPr>
      <w:r>
        <w:rPr>
          <w:rStyle w:val="CharStyle30"/>
        </w:rPr>
        <w:t>Kupující se zavazuje zaplatit prodávajícímu za předmět koupě a prodeje podle čl. 1 této smlouvy kupní cenu celkem ve výši: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rStyle w:val="CharStyle30"/>
          <w:b/>
          <w:bCs/>
        </w:rPr>
        <w:t xml:space="preserve">65.843 Kč </w:t>
      </w:r>
      <w:r>
        <w:rPr>
          <w:rStyle w:val="CharStyle30"/>
        </w:rPr>
        <w:t xml:space="preserve">bez DPH, tzn. </w:t>
      </w:r>
      <w:r>
        <w:rPr>
          <w:rStyle w:val="CharStyle30"/>
          <w:b/>
          <w:bCs/>
        </w:rPr>
        <w:t xml:space="preserve">79.670 Kč </w:t>
      </w:r>
      <w:r>
        <w:rPr>
          <w:rStyle w:val="CharStyle30"/>
        </w:rPr>
        <w:t>včetně DPH.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/>
        <w:ind w:left="420" w:right="0" w:firstLine="0"/>
        <w:jc w:val="both"/>
      </w:pPr>
      <w:r>
        <w:rPr>
          <w:rStyle w:val="CharStyle30"/>
        </w:rPr>
        <w:t>Součástí této ceny jsou veškeré náklady prodávajícího na splnění jeho závazku k dodání zboží podle této smlouvy. Změna ceny je možná pouze v případě zákonné změny sazby DPH.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 xml:space="preserve">Kupní cena podle čl. 6 této smlouvy je splatná na účet prodávajícího po splnění závazku prodávajícího k dodání zboží podle čl. 1 této smlouvy způsobem podle čl. 4 této smlouvy ve lhůtě do 30-ti dnů ode dne doručení jejího písemného vyúčtování (faktury/daňového dokladu). Faktura bude doručena elektronicky na emaily: </w:t>
      </w:r>
      <w:r>
        <w:rPr>
          <w:rStyle w:val="CharStyle30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30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30"/>
          <w:shd w:val="clear" w:color="auto" w:fill="000000"/>
          <w:lang w:val="en-US" w:eastAsia="en-US" w:bidi="en-US"/>
        </w:rPr>
        <w:t>..</w:t>
      </w:r>
      <w:r>
        <w:rPr>
          <w:rStyle w:val="CharStyle30"/>
          <w:u w:val="single"/>
          <w:shd w:val="clear" w:color="auto" w:fill="000000"/>
          <w:lang w:val="en-US" w:eastAsia="en-US" w:bidi="en-US"/>
        </w:rPr>
        <w:t>​.................</w:t>
      </w:r>
      <w:r>
        <w:rPr>
          <w:rStyle w:val="CharStyle30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CharStyle30"/>
          <w:shd w:val="clear" w:color="auto" w:fill="000000"/>
          <w:lang w:val="en-US" w:eastAsia="en-US" w:bidi="en-US"/>
        </w:rPr>
        <w:t>.</w:t>
      </w:r>
      <w:r>
        <w:rPr>
          <w:rStyle w:val="CharStyle30"/>
        </w:rPr>
        <w:t xml:space="preserve">a musí obsahovat mimo jiné toto číslo veřejné zakázky: </w:t>
      </w:r>
      <w:r>
        <w:rPr>
          <w:rStyle w:val="CharStyle30"/>
          <w:b/>
          <w:bCs/>
        </w:rPr>
        <w:t xml:space="preserve">P21V00002243. </w:t>
      </w:r>
      <w:r>
        <w:rPr>
          <w:rStyle w:val="CharStyle30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S převodem zboží podle čl. 1 této smlouvy je spojena záruka za jeho jakost v trvání 24 měsíců. V rámci této záruky se prodávající zavazuje bezplatně odstraňovat vady na zboží podle čl. 1 této smlouvy, a to ve lhůtě do 1 týdne od doručení příslušné reklamace písemné kupujícího. Písemná forma reklamace se považuje za dodrženou i v případě jejího odeslání elektronickou formou.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Pro případ sporu o oprávněnost reklamace se kupujícímu vyhrazuje právo nechat vyhotovit k prověření jakosti zboží soudné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Pro případ prodlení se splněním jeho závazku k dodání zboží ve lhůtě podle čl. 3 této smlouvy a pro případ jeho prodlení s odstraněním vady ve lhůtě podle čl. 8 této smlouvy se prodávající zavazuje zaplatit kupujícímu smluvní pokutu ve výši 0,1 % z kupní ceny podle čl. 6 této smlouvy za každý započatý den tohoto prodleni.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Pro případ prodlení se splněním jeho závazku k dodání zboží ve lhůtě podle čl. 3 této smlouvy nebo s odstraněním vady ve lhůtě podle čl. 8 této smlouvy o více, než 2 týdny, je kupující oprávněn odstoupit od této smlouvy s účinky ex tunc.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Pro případ prodlení kupujícího se zaplacením kupní ceny nebo její části ve lhůtě podle čl. 6 této smlouvy o víc než 2 týdny, je prodávající oprávněn od této smlouvy odstoupit s účinky ex tunc.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Není-li touto smlouvou ujednáno jinak, řídí se vzájemný právní vztah mezi kupujícím a prodávajícím při realizaci této smlouvy ust. § 2079 a násl. občanského zákoníku.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18 této smlouvy. Kupující přitom předem vylučuje přijetí tohoto návrhu s dodatkem nebo odchylkou ve smyslu ustanovení § 1740 odst. 3 občanského zákoníku.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30"/>
        </w:rPr>
        <w:t>Prodávající bere na vědomí a souhlasí s tím, aby kupující uveřejnil tuto smlouvu v registru smluv v souladu s ustanoveními zákona č. 340/2015 Sb., o registru smluv, ve znění pozdějších předpisů.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0" w:right="0" w:firstLine="0"/>
        <w:jc w:val="both"/>
      </w:pPr>
      <w:r>
        <w:rPr>
          <w:rStyle w:val="CharStyle30"/>
        </w:rPr>
        <w:t>Tuto smlouvu lze změnit nebo zrušit pouze jinou písemnou dohodou obou smluvních stran.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93" w:right="1375" w:bottom="1621" w:left="141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0"/>
        </w:rPr>
        <w:t>Tato smlouva nabývá platnosti dnem jejího uzavření a účinnosti dnem jejího uveřejnění v registru smluv dle čl. 15 této smlouvy.</w:t>
      </w:r>
    </w:p>
    <w:p>
      <w:pPr>
        <w:pStyle w:val="Style29"/>
        <w:keepNext w:val="0"/>
        <w:keepLines w:val="0"/>
        <w:framePr w:w="9091" w:h="547" w:wrap="none" w:hAnchor="page" w:x="1415" w:y="1"/>
        <w:widowControl w:val="0"/>
        <w:shd w:val="clear" w:color="auto" w:fill="auto"/>
        <w:bidi w:val="0"/>
        <w:spacing w:before="0" w:after="0"/>
        <w:ind w:left="400" w:right="0" w:hanging="400"/>
        <w:jc w:val="left"/>
      </w:pPr>
      <w:r>
        <w:rPr>
          <w:rStyle w:val="CharStyle30"/>
          <w:b/>
          <w:bCs/>
        </w:rPr>
        <w:t xml:space="preserve">18. </w:t>
      </w:r>
      <w:r>
        <w:rPr>
          <w:rStyle w:val="CharStyle30"/>
        </w:rPr>
        <w:t>Dáno ve dvou originálních písemných vyhotoveních, z nichž každá ze smluvních stran obdrží po jednom.</w:t>
      </w:r>
    </w:p>
    <w:p>
      <w:pPr>
        <w:pStyle w:val="Style38"/>
        <w:keepNext/>
        <w:keepLines/>
        <w:framePr w:w="1061" w:h="595" w:wrap="none" w:hAnchor="page" w:x="8351" w:y="10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rFonts w:ascii="Times New Roman" w:eastAsia="Times New Roman" w:hAnsi="Times New Roman" w:cs="Times New Roman"/>
          <w:i/>
          <w:iCs/>
          <w:color w:val="000000"/>
          <w:spacing w:val="4"/>
          <w:sz w:val="40"/>
          <w:szCs w:val="40"/>
          <w:shd w:val="clear" w:color="auto" w:fill="000000"/>
        </w:rPr>
        <w:t>...</w:t>
      </w:r>
      <w:r>
        <w:rPr>
          <w:rStyle w:val="CharStyle39"/>
          <w:rFonts w:ascii="Times New Roman" w:eastAsia="Times New Roman" w:hAnsi="Times New Roman" w:cs="Times New Roman"/>
          <w:i/>
          <w:iCs/>
          <w:color w:val="000000"/>
          <w:spacing w:val="5"/>
          <w:sz w:val="40"/>
          <w:szCs w:val="40"/>
          <w:shd w:val="clear" w:color="auto" w:fill="000000"/>
        </w:rPr>
        <w:t>..</w:t>
      </w:r>
      <w:bookmarkStart w:id="8" w:name="bookmark8"/>
      <w:r>
        <w:rPr>
          <w:rStyle w:val="CharStyle39"/>
          <w:color w:val="000000"/>
          <w:shd w:val="clear" w:color="auto" w:fill="000000"/>
        </w:rPr>
        <w:t>.​..</w:t>
      </w:r>
      <w:r>
        <w:rPr>
          <w:rStyle w:val="CharStyle39"/>
        </w:rPr>
        <w:t>9-</w:t>
      </w:r>
      <w:bookmarkEnd w:id="8"/>
    </w:p>
    <w:p>
      <w:pPr>
        <w:pStyle w:val="Style29"/>
        <w:keepNext w:val="0"/>
        <w:keepLines w:val="0"/>
        <w:framePr w:w="3883" w:h="1166" w:wrap="none" w:hAnchor="page" w:x="1415" w:y="2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0"/>
        </w:rPr>
        <w:t>MUDr. Hana Albrechtová</w:t>
      </w:r>
    </w:p>
    <w:p>
      <w:pPr>
        <w:pStyle w:val="Style29"/>
        <w:keepNext w:val="0"/>
        <w:keepLines w:val="0"/>
        <w:framePr w:w="3883" w:h="1166" w:wrap="none" w:hAnchor="page" w:x="1415" w:y="2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0"/>
        </w:rPr>
        <w:t>ředitelka</w:t>
      </w:r>
    </w:p>
    <w:p>
      <w:pPr>
        <w:pStyle w:val="Style32"/>
        <w:keepNext/>
        <w:keepLines/>
        <w:framePr w:w="3883" w:h="1166" w:wrap="none" w:hAnchor="page" w:x="1415" w:y="2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rStyle w:val="CharStyle33"/>
          <w:b/>
          <w:bCs/>
        </w:rPr>
        <w:t>Kupující</w:t>
      </w:r>
      <w:bookmarkEnd w:id="10"/>
    </w:p>
    <w:p>
      <w:pPr>
        <w:pStyle w:val="Style43"/>
        <w:keepNext w:val="0"/>
        <w:keepLines w:val="0"/>
        <w:framePr w:w="3883" w:h="1166" w:wrap="none" w:hAnchor="page" w:x="1415" w:y="299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Style w:val="CharStyle44"/>
        </w:rPr>
        <w:t>Jihomoravského lujije, p.o.</w:t>
      </w:r>
    </w:p>
    <w:p>
      <w:pPr>
        <w:pStyle w:val="Style45"/>
        <w:keepNext w:val="0"/>
        <w:keepLines w:val="0"/>
        <w:framePr w:w="3883" w:h="1166" w:wrap="none" w:hAnchor="page" w:x="1415" w:y="299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Style w:val="CharStyle46"/>
        </w:rPr>
        <w:t>Kamenice 798/1 d, 625 00 Brno</w:t>
      </w:r>
    </w:p>
    <w:p>
      <w:pPr>
        <w:pStyle w:val="Style47"/>
        <w:keepNext w:val="0"/>
        <w:keepLines w:val="0"/>
        <w:framePr w:w="1416" w:h="250" w:wrap="none" w:hAnchor="page" w:x="6455" w:y="1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48"/>
          <w:color w:val="000000"/>
          <w:sz w:val="20"/>
          <w:szCs w:val="20"/>
        </w:rPr>
        <w:t>Ve Vsetíně dne</w:t>
      </w:r>
    </w:p>
    <w:p>
      <w:pPr>
        <w:pStyle w:val="Style47"/>
        <w:keepNext w:val="0"/>
        <w:keepLines w:val="0"/>
        <w:framePr w:w="878" w:h="259" w:wrap="none" w:hAnchor="page" w:x="6469" w:y="3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48"/>
          <w:b/>
          <w:bCs/>
          <w:color w:val="000000"/>
          <w:sz w:val="20"/>
          <w:szCs w:val="20"/>
        </w:rPr>
        <w:t>Prodávaj</w:t>
      </w:r>
    </w:p>
    <w:p>
      <w:pPr>
        <w:pStyle w:val="Style32"/>
        <w:keepNext/>
        <w:keepLines/>
        <w:framePr w:w="1080" w:h="250" w:wrap="none" w:hAnchor="page" w:x="1420" w:y="4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rStyle w:val="CharStyle33"/>
          <w:b/>
          <w:bCs/>
        </w:rPr>
        <w:t>Příloha č. 1</w:t>
      </w:r>
      <w:bookmarkEnd w:id="12"/>
    </w:p>
    <w:p>
      <w:pPr>
        <w:pStyle w:val="Style32"/>
        <w:keepNext/>
        <w:keepLines/>
        <w:framePr w:w="2155" w:h="254" w:wrap="none" w:hAnchor="page" w:x="2821" w:y="4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r>
        <w:rPr>
          <w:rStyle w:val="CharStyle33"/>
          <w:b/>
          <w:bCs/>
        </w:rPr>
        <w:t>Technická specifikace</w:t>
      </w:r>
      <w:bookmarkEnd w:id="14"/>
    </w:p>
    <w:p>
      <w:pPr>
        <w:pStyle w:val="Style51"/>
        <w:keepNext w:val="0"/>
        <w:keepLines w:val="0"/>
        <w:framePr w:w="3077" w:h="998" w:wrap="none" w:hAnchor="page" w:x="6652" w:y="4187"/>
        <w:widowControl w:val="0"/>
        <w:shd w:val="clear" w:color="auto" w:fill="auto"/>
        <w:tabs>
          <w:tab w:leader="hyphen" w:pos="590" w:val="left"/>
          <w:tab w:leader="underscore" w:pos="2314" w:val="left"/>
        </w:tabs>
        <w:bidi w:val="0"/>
        <w:spacing w:before="0" w:after="0"/>
        <w:ind w:left="0" w:right="0" w:firstLine="0"/>
        <w:jc w:val="center"/>
      </w:pPr>
      <w:r>
        <w:rPr>
          <w:rStyle w:val="CharStyle52"/>
          <w:b/>
          <w:bCs/>
        </w:rPr>
        <w:tab/>
        <w:t>JAN CETI</w:t>
        <w:tab/>
        <w:br/>
        <w:t>Okružní 410, 75501 Vsetín</w:t>
      </w:r>
    </w:p>
    <w:p>
      <w:pPr>
        <w:pStyle w:val="Style51"/>
        <w:keepNext w:val="0"/>
        <w:keepLines w:val="0"/>
        <w:framePr w:w="3077" w:h="998" w:wrap="none" w:hAnchor="page" w:x="6652" w:y="41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2"/>
          <w:b/>
          <w:bCs/>
        </w:rPr>
        <w:t>Iv: 04312058, DIČ: CZ65O9O71866</w:t>
      </w:r>
    </w:p>
    <w:p>
      <w:pPr>
        <w:pStyle w:val="Style51"/>
        <w:keepNext w:val="0"/>
        <w:keepLines w:val="0"/>
        <w:framePr w:w="3077" w:h="998" w:wrap="none" w:hAnchor="page" w:x="6652" w:y="41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52"/>
          <w:b/>
          <w:bCs/>
        </w:rPr>
        <w:t>TEL: 605 730 349, ČÚ: 115-915360207/0100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901065</wp:posOffset>
            </wp:positionH>
            <wp:positionV relativeFrom="margin">
              <wp:posOffset>719455</wp:posOffset>
            </wp:positionV>
            <wp:extent cx="2602865" cy="3048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602865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28930" distB="0" distL="15240" distR="0" simplePos="0" relativeHeight="62914693" behindDoc="1" locked="0" layoutInCell="1" allowOverlap="1">
            <wp:simplePos x="0" y="0"/>
            <wp:positionH relativeFrom="page">
              <wp:posOffset>4113530</wp:posOffset>
            </wp:positionH>
            <wp:positionV relativeFrom="margin">
              <wp:posOffset>1176020</wp:posOffset>
            </wp:positionV>
            <wp:extent cx="1779905" cy="8902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779905" cy="890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536575" distR="0" simplePos="0" relativeHeight="62914694" behindDoc="1" locked="0" layoutInCell="1" allowOverlap="1">
            <wp:simplePos x="0" y="0"/>
            <wp:positionH relativeFrom="page">
              <wp:posOffset>4643755</wp:posOffset>
            </wp:positionH>
            <wp:positionV relativeFrom="margin">
              <wp:posOffset>2218690</wp:posOffset>
            </wp:positionV>
            <wp:extent cx="1054735" cy="37211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054735" cy="372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1470" w:right="1395" w:bottom="900" w:left="1414" w:header="1042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0"/>
          <w:i/>
          <w:iCs/>
        </w:rPr>
        <w:t>Příloha č. 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0" w:right="0" w:firstLine="0"/>
        <w:jc w:val="left"/>
      </w:pPr>
      <w:r>
        <w:rPr>
          <w:rStyle w:val="CharStyle14"/>
          <w:b/>
          <w:bCs/>
          <w:sz w:val="20"/>
          <w:szCs w:val="20"/>
        </w:rPr>
        <w:t>Technická specifikace</w:t>
      </w:r>
    </w:p>
    <w:tbl>
      <w:tblPr>
        <w:tblOverlap w:val="never"/>
        <w:jc w:val="center"/>
        <w:tblLayout w:type="fixed"/>
      </w:tblPr>
      <w:tblGrid>
        <w:gridCol w:w="2904"/>
        <w:gridCol w:w="2688"/>
        <w:gridCol w:w="2558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Obchodní označení výrobku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Svařovací stůl PROFI SUPER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Název parametru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hodnota parametru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Splnění parametru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Základní rozměr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2400 x 1200 x150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Síla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12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Jakost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S355 SRJ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Pracovní výška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Max. 980 mm, Min. 910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29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Noha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Nohu tvoří silnostěnná trubka průměru D= 60mm a dvě navařené příruby se závitem. Horní příruba má závit M14 po upevnění ke stolu. Spodní příruba je opatřena závitem M24x1,5 pro stavěči šroub kolečka. Kolečko s nosností 500kg je přišroubováno ke kotevní desce, která je opatřena stavěcím šroubem M24x1,5 délka 80mm, s kontramaticí.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Průměr kola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60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Nosnost kola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500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Provedení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4 ks s brzdou, 2 ks volné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Materiál kola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Polyuretan 90Sh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Výškové nastavení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80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ano</w:t>
            </w:r>
          </w:p>
        </w:tc>
      </w:tr>
    </w:tbl>
    <w:p>
      <w:pPr>
        <w:widowControl w:val="0"/>
        <w:spacing w:after="739" w:line="1" w:lineRule="exact"/>
      </w:pPr>
    </w:p>
    <w:p>
      <w:pPr>
        <w:widowControl w:val="0"/>
        <w:spacing w:line="1" w:lineRule="exact"/>
      </w:pPr>
    </w:p>
    <w:p>
      <w:pPr>
        <w:pStyle w:val="Style47"/>
        <w:keepNext w:val="0"/>
        <w:keepLines w:val="0"/>
        <w:widowControl w:val="0"/>
        <w:shd w:val="clear" w:color="auto" w:fill="auto"/>
        <w:tabs>
          <w:tab w:leader="hyphen" w:pos="912" w:val="left"/>
        </w:tabs>
        <w:bidi w:val="0"/>
        <w:spacing w:before="0" w:after="0"/>
        <w:ind w:left="322" w:right="0" w:firstLine="0"/>
        <w:jc w:val="left"/>
      </w:pPr>
      <w:r>
        <w:rPr>
          <w:rStyle w:val="CharStyle48"/>
          <w:b/>
          <w:bCs/>
        </w:rPr>
        <w:tab/>
        <w:t>JAN CETI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48"/>
          <w:b/>
          <w:bCs/>
        </w:rPr>
        <w:t>Okružní 410. 75501 Vsetín IČ: 04312058, DIČ: CZ6509071866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901825" cy="160909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901825" cy="160909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15"/>
      <w:footnotePr>
        <w:pos w:val="pageBottom"/>
        <w:numFmt w:val="decimal"/>
        <w:numRestart w:val="continuous"/>
      </w:footnotePr>
      <w:pgSz w:w="11900" w:h="16840"/>
      <w:pgMar w:top="805" w:right="1320" w:bottom="997" w:left="1469" w:header="37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10219690</wp:posOffset>
              </wp:positionV>
              <wp:extent cx="150241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024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VZ 22_2021 Svařovací stůl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150000000000006pt;margin-top:804.70000000000005pt;width:118.3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VZ 22_2021 Svařovací stůl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10059035</wp:posOffset>
              </wp:positionV>
              <wp:extent cx="1505585" cy="1219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055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VZ 22_2027 </w:t>
                          </w: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Svařovací stůl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4.549999999999997pt;margin-top:792.05000000000007pt;width:118.55pt;height:9.5999999999999996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  <w:sz w:val="20"/>
                        <w:szCs w:val="20"/>
                      </w:rPr>
                      <w:t xml:space="preserve">VZ 22_2027 </w:t>
                    </w: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Svařovací stůl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10219690</wp:posOffset>
              </wp:positionV>
              <wp:extent cx="1502410" cy="11874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024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VZ 22_2021 Svařovací stůl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73.150000000000006pt;margin-top:804.70000000000005pt;width:118.3pt;height:9.3499999999999996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VZ 22_2021 Svařovací stůl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5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Nadpis #3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2">
    <w:name w:val="Nadpis #4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Základní text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Nadpis #5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Nadpis #1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4D6FE1"/>
      <w:sz w:val="50"/>
      <w:szCs w:val="50"/>
      <w:u w:val="none"/>
    </w:rPr>
  </w:style>
  <w:style w:type="character" w:customStyle="1" w:styleId="CharStyle44">
    <w:name w:val="Základní text (4)_"/>
    <w:basedOn w:val="DefaultParagraphFont"/>
    <w:link w:val="Style4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BD9EC"/>
      <w:sz w:val="18"/>
      <w:szCs w:val="18"/>
      <w:u w:val="none"/>
    </w:rPr>
  </w:style>
  <w:style w:type="character" w:customStyle="1" w:styleId="CharStyle46">
    <w:name w:val="Základní text (3)_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color w:val="9BD9EC"/>
      <w:sz w:val="18"/>
      <w:szCs w:val="18"/>
      <w:u w:val="none"/>
    </w:rPr>
  </w:style>
  <w:style w:type="character" w:customStyle="1" w:styleId="CharStyle48">
    <w:name w:val="Titulek obrázku_"/>
    <w:basedOn w:val="DefaultParagraphFont"/>
    <w:link w:val="Style47"/>
    <w:rPr>
      <w:rFonts w:ascii="Arial" w:eastAsia="Arial" w:hAnsi="Arial" w:cs="Arial"/>
      <w:b/>
      <w:bCs/>
      <w:i w:val="0"/>
      <w:iCs w:val="0"/>
      <w:smallCaps w:val="0"/>
      <w:strike w:val="0"/>
      <w:color w:val="59AAE8"/>
      <w:sz w:val="14"/>
      <w:szCs w:val="14"/>
      <w:u w:val="none"/>
    </w:rPr>
  </w:style>
  <w:style w:type="character" w:customStyle="1" w:styleId="CharStyle52">
    <w:name w:val="Základní text (2)_"/>
    <w:basedOn w:val="DefaultParagraphFont"/>
    <w:link w:val="Style51"/>
    <w:rPr>
      <w:rFonts w:ascii="Arial" w:eastAsia="Arial" w:hAnsi="Arial" w:cs="Arial"/>
      <w:b/>
      <w:bCs/>
      <w:i w:val="0"/>
      <w:iCs w:val="0"/>
      <w:smallCaps w:val="0"/>
      <w:strike w:val="0"/>
      <w:color w:val="59AAE8"/>
      <w:sz w:val="14"/>
      <w:szCs w:val="14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spacing w:after="100"/>
      <w:jc w:val="right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5)"/>
    <w:basedOn w:val="Normal"/>
    <w:link w:val="CharStyle8"/>
    <w:pPr>
      <w:widowControl w:val="0"/>
      <w:shd w:val="clear" w:color="auto" w:fill="auto"/>
      <w:spacing w:after="100"/>
      <w:ind w:right="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auto"/>
      <w:spacing w:after="20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11">
    <w:name w:val="Nadpis #4"/>
    <w:basedOn w:val="Normal"/>
    <w:link w:val="CharStyle12"/>
    <w:pPr>
      <w:widowControl w:val="0"/>
      <w:shd w:val="clear" w:color="auto" w:fill="auto"/>
      <w:spacing w:after="260" w:line="283" w:lineRule="auto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Základní text"/>
    <w:basedOn w:val="Normal"/>
    <w:link w:val="CharStyle30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Nadpis #5"/>
    <w:basedOn w:val="Normal"/>
    <w:link w:val="CharStyle33"/>
    <w:pPr>
      <w:widowControl w:val="0"/>
      <w:shd w:val="clear" w:color="auto" w:fill="auto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8">
    <w:name w:val="Nadpis #1"/>
    <w:basedOn w:val="Normal"/>
    <w:link w:val="CharStyle39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D6FE1"/>
      <w:sz w:val="50"/>
      <w:szCs w:val="50"/>
      <w:u w:val="none"/>
    </w:rPr>
  </w:style>
  <w:style w:type="paragraph" w:customStyle="1" w:styleId="Style43">
    <w:name w:val="Základní text (4)"/>
    <w:basedOn w:val="Normal"/>
    <w:link w:val="CharStyle44"/>
    <w:pPr>
      <w:widowControl w:val="0"/>
      <w:shd w:val="clear" w:color="auto" w:fill="auto"/>
      <w:spacing w:line="202" w:lineRule="auto"/>
      <w:ind w:left="148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9BD9EC"/>
      <w:sz w:val="18"/>
      <w:szCs w:val="18"/>
      <w:u w:val="none"/>
    </w:rPr>
  </w:style>
  <w:style w:type="paragraph" w:customStyle="1" w:styleId="Style45">
    <w:name w:val="Základní text (3)"/>
    <w:basedOn w:val="Normal"/>
    <w:link w:val="CharStyle46"/>
    <w:pPr>
      <w:widowControl w:val="0"/>
      <w:shd w:val="clear" w:color="auto" w:fill="auto"/>
      <w:spacing w:line="233" w:lineRule="auto"/>
      <w:ind w:left="13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BD9EC"/>
      <w:sz w:val="18"/>
      <w:szCs w:val="18"/>
      <w:u w:val="none"/>
    </w:rPr>
  </w:style>
  <w:style w:type="paragraph" w:customStyle="1" w:styleId="Style47">
    <w:name w:val="Titulek obrázku"/>
    <w:basedOn w:val="Normal"/>
    <w:link w:val="CharStyle48"/>
    <w:pPr>
      <w:widowControl w:val="0"/>
      <w:shd w:val="clear" w:color="auto" w:fill="auto"/>
      <w:spacing w:line="336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59AAE8"/>
      <w:sz w:val="14"/>
      <w:szCs w:val="14"/>
      <w:u w:val="none"/>
    </w:rPr>
  </w:style>
  <w:style w:type="paragraph" w:customStyle="1" w:styleId="Style51">
    <w:name w:val="Základní text (2)"/>
    <w:basedOn w:val="Normal"/>
    <w:link w:val="CharStyle52"/>
    <w:pPr>
      <w:widowControl w:val="0"/>
      <w:shd w:val="clear" w:color="auto" w:fill="auto"/>
      <w:spacing w:line="36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59AAE8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footer" Target="footer3.xml"/></Relationships>
</file>