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7B63" w14:textId="77777777" w:rsidR="00A41FED" w:rsidRDefault="00A41FED" w:rsidP="00A41FED">
      <w:pPr>
        <w:pStyle w:val="Nadpis4"/>
        <w:rPr>
          <w:rFonts w:ascii="Segoe UI" w:hAnsi="Segoe UI" w:cs="Segoe UI"/>
          <w:b/>
          <w:bCs/>
          <w:sz w:val="28"/>
          <w:szCs w:val="28"/>
          <w:lang w:val="cs-CZ"/>
        </w:rPr>
      </w:pPr>
      <w:r>
        <w:rPr>
          <w:rFonts w:ascii="Segoe UI" w:hAnsi="Segoe UI" w:cs="Segoe UI"/>
          <w:b/>
          <w:bCs/>
          <w:sz w:val="28"/>
          <w:szCs w:val="28"/>
          <w:lang w:val="cs-CZ"/>
        </w:rPr>
        <w:t xml:space="preserve">SMLOUVA O SPOLUPRÁCI </w:t>
      </w:r>
    </w:p>
    <w:p w14:paraId="1E4D6999" w14:textId="77777777" w:rsidR="00A41FED" w:rsidRDefault="00A41FED" w:rsidP="00A41FED">
      <w:pPr>
        <w:pStyle w:val="Nadpis4"/>
        <w:rPr>
          <w:rFonts w:ascii="Segoe UI" w:hAnsi="Segoe UI" w:cs="Segoe UI"/>
          <w:lang w:val="cs-CZ"/>
        </w:rPr>
      </w:pPr>
    </w:p>
    <w:p w14:paraId="1AD8C3E3" w14:textId="77777777" w:rsidR="00A41FED" w:rsidRDefault="00A41FED" w:rsidP="00A41FE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14:paraId="08DFA2E0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067822D3" w14:textId="77777777" w:rsidR="00A41FED" w:rsidRDefault="00A41FED" w:rsidP="00A41FED">
      <w:pPr>
        <w:widowControl/>
        <w:tabs>
          <w:tab w:val="center" w:pos="4536"/>
          <w:tab w:val="left" w:pos="4960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Smluvní strany:</w:t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</w:p>
    <w:p w14:paraId="49DCBC03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3425A43E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Národní divadlo Brno, příspěvková organizace</w:t>
      </w:r>
    </w:p>
    <w:p w14:paraId="231AC09B" w14:textId="77777777" w:rsidR="00A41FED" w:rsidRDefault="00A41FED" w:rsidP="00A41FED">
      <w:pPr>
        <w:spacing w:line="240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se sídlem Dvořákova 11, 657 70 Brno</w:t>
      </w:r>
    </w:p>
    <w:p w14:paraId="545BCB3B" w14:textId="77777777" w:rsidR="00A41FED" w:rsidRDefault="00A41FED" w:rsidP="00A41FED">
      <w:pPr>
        <w:tabs>
          <w:tab w:val="left" w:pos="5835"/>
        </w:tabs>
        <w:spacing w:line="240" w:lineRule="auto"/>
        <w:rPr>
          <w:rFonts w:ascii="Segoe UI" w:hAnsi="Segoe UI" w:cs="Segoe UI"/>
          <w:snapToGrid w:val="0"/>
          <w:color w:val="FF000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zastoupené ředitelem MgA. Martinem Glaserem</w:t>
      </w:r>
      <w:r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14:paraId="609076DD" w14:textId="77777777" w:rsidR="00A41FED" w:rsidRDefault="00A41FED" w:rsidP="00A41FED">
      <w:pPr>
        <w:spacing w:line="240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IČ: 00094820</w:t>
      </w:r>
    </w:p>
    <w:p w14:paraId="212CF3B9" w14:textId="77777777" w:rsidR="00A41FED" w:rsidRDefault="00A41FED" w:rsidP="00A41FED">
      <w:p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IČ: CZ00094820</w:t>
      </w:r>
    </w:p>
    <w:p w14:paraId="548EC836" w14:textId="77777777" w:rsidR="00A41FED" w:rsidRDefault="00A41FED" w:rsidP="00A41FED">
      <w:p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Příspěvková organizace je zapsána v obchodním rejstříku vedeném Krajským soudem v Brně, oddíl Pr, vložka 30</w:t>
      </w:r>
    </w:p>
    <w:p w14:paraId="04A3AED1" w14:textId="77777777" w:rsidR="00A41FED" w:rsidRDefault="00A41FED" w:rsidP="00A41FED">
      <w:p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 spojení: Unicreditbank, číslo účtu: 2110126623/2700</w:t>
      </w:r>
    </w:p>
    <w:p w14:paraId="16762A52" w14:textId="77777777" w:rsidR="00A41FED" w:rsidRDefault="00A41FED" w:rsidP="00A41FED">
      <w:p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také „PARTNER“)</w:t>
      </w:r>
    </w:p>
    <w:p w14:paraId="4E424D93" w14:textId="77777777" w:rsidR="00A41FED" w:rsidRDefault="00A41FED" w:rsidP="00A41FED">
      <w:pPr>
        <w:widowControl/>
        <w:spacing w:line="240" w:lineRule="auto"/>
        <w:jc w:val="left"/>
        <w:rPr>
          <w:rFonts w:ascii="Segoe UI" w:hAnsi="Segoe UI" w:cs="Segoe UI"/>
          <w:sz w:val="22"/>
          <w:szCs w:val="22"/>
        </w:rPr>
      </w:pPr>
    </w:p>
    <w:p w14:paraId="60A6ECAC" w14:textId="77777777" w:rsidR="00A41FED" w:rsidRDefault="00A41FED" w:rsidP="00A41FED">
      <w:pPr>
        <w:widowControl/>
        <w:spacing w:line="240" w:lineRule="aut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</w:p>
    <w:p w14:paraId="7ED26E61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69E16EA8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Asociace PCC, spol. s r. o., </w:t>
      </w:r>
    </w:p>
    <w:p w14:paraId="085F00C5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 sídlem: Hybešova 307/59, 602 00 Brno</w:t>
      </w:r>
    </w:p>
    <w:p w14:paraId="3FAD41F5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IČ: 46980776</w:t>
      </w:r>
    </w:p>
    <w:p w14:paraId="74C83D46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 CZ46980776</w:t>
      </w:r>
    </w:p>
    <w:p w14:paraId="40E3AE80" w14:textId="77777777" w:rsidR="00A41FED" w:rsidRDefault="00A41FED" w:rsidP="00A41FED">
      <w:pPr>
        <w:pStyle w:val="Zhlav"/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zapsaná v obchodním rejstříku vedeném Krajským soudem v Brně</w:t>
      </w:r>
      <w:r>
        <w:rPr>
          <w:rFonts w:ascii="Segoe UI" w:hAnsi="Segoe UI" w:cs="Segoe UI"/>
          <w:sz w:val="22"/>
          <w:szCs w:val="22"/>
        </w:rPr>
        <w:t>, C 8113</w:t>
      </w:r>
    </w:p>
    <w:p w14:paraId="79AA38F1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 spojení: ČSOB, č.ú. 377363063/0300</w:t>
      </w:r>
    </w:p>
    <w:p w14:paraId="12576A98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Zastoupená: PhDr. Jurajem Grochem, jednatelem</w:t>
      </w:r>
    </w:p>
    <w:p w14:paraId="3EA0F234" w14:textId="77777777" w:rsidR="00A41FED" w:rsidRDefault="00A41FED" w:rsidP="00A41FED">
      <w:pPr>
        <w:widowControl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 „APC“)</w:t>
      </w:r>
    </w:p>
    <w:p w14:paraId="3F789C71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11675F1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25B75EB1" w14:textId="77777777" w:rsidR="00A41FED" w:rsidRDefault="00A41FED" w:rsidP="00A41FED">
      <w:pPr>
        <w:widowControl/>
        <w:tabs>
          <w:tab w:val="left" w:pos="1134"/>
        </w:tabs>
        <w:spacing w:line="240" w:lineRule="aut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uzavírají tuto smlouvu.</w:t>
      </w:r>
    </w:p>
    <w:p w14:paraId="06B8725D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6D0806E4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Preambule</w:t>
      </w:r>
    </w:p>
    <w:p w14:paraId="67FD4001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798D44D8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Obchodní společnost APC je dodavatelem redakční činnosti pro časopis Šalina a e-Šalinu a má možnost v časopise Šalina a v e-Šalině zajistit prezentaci PARTNERA.</w:t>
      </w:r>
    </w:p>
    <w:p w14:paraId="3B97148B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2DFBFEED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Časopis Šalina je měsíčník distribuovaný v městě Brně a je vydávaný v nákladu 50.000ks výtisků. Vydavatelem časopisu Šalina je Dopravní podnik města Brna, a.s. </w:t>
      </w:r>
    </w:p>
    <w:p w14:paraId="376F8930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4CEECE07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e-Šalina je elektronická verze tištěné Šaliny propojená s odkazy na jízdní řády a změny v dopravě, která navíc umožňuje aktualizovat informace z dění ve městě Brně dle potřeby.</w:t>
      </w:r>
    </w:p>
    <w:p w14:paraId="0062C959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68D316E6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05225EE9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129FBAFB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Článek I</w:t>
      </w:r>
    </w:p>
    <w:p w14:paraId="14D4FAB7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Předmět smlouvy</w:t>
      </w:r>
    </w:p>
    <w:p w14:paraId="49A2F58D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BB30F79" w14:textId="77777777" w:rsidR="00A41FED" w:rsidRDefault="00A41FED" w:rsidP="00A41FED">
      <w:pPr>
        <w:pStyle w:val="Zkladntext2"/>
        <w:spacing w:before="0" w:after="0" w:line="240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Obě smluvní strany se dohodly, že jejich jednání a konání povede ke vzájemně výhodné a oběma stranám prospěšné spolupráci, jejíž podmínky budou stanoveny touto smlouvou. Předmětem této smlouvy je redakční a grafické zpracování textu pro PARTNERA. APC je </w:t>
      </w:r>
      <w:r>
        <w:rPr>
          <w:rFonts w:ascii="Segoe UI" w:hAnsi="Segoe UI" w:cs="Segoe UI"/>
          <w:szCs w:val="22"/>
        </w:rPr>
        <w:lastRenderedPageBreak/>
        <w:t xml:space="preserve">PARTNEREM oprávněno zhotovené texty uveřejňovat v časopise Šalina a v e-Šalině. </w:t>
      </w:r>
    </w:p>
    <w:p w14:paraId="6F6541FD" w14:textId="77777777" w:rsidR="00A41FED" w:rsidRDefault="00A41FED" w:rsidP="00A41FED">
      <w:pPr>
        <w:pStyle w:val="Zkladntext2"/>
        <w:spacing w:before="0" w:after="0" w:line="240" w:lineRule="auto"/>
        <w:rPr>
          <w:rFonts w:ascii="Segoe UI" w:hAnsi="Segoe UI" w:cs="Segoe UI"/>
          <w:szCs w:val="22"/>
        </w:rPr>
      </w:pPr>
    </w:p>
    <w:p w14:paraId="1AA1671F" w14:textId="77777777" w:rsidR="00A41FED" w:rsidRDefault="00A41FED" w:rsidP="00A41FED">
      <w:pPr>
        <w:pStyle w:val="Zkladntext2"/>
        <w:spacing w:before="0" w:after="0" w:line="240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případě zájmu kterékoliv ze smluvních stran budou další zadání mimo rozsah stanovený touto smlouvou řešena formou dodatků ke smlouvě.</w:t>
      </w:r>
    </w:p>
    <w:p w14:paraId="3CFDCC6E" w14:textId="77777777" w:rsidR="00A41FED" w:rsidRDefault="00A41FED" w:rsidP="00A41FED">
      <w:pPr>
        <w:pStyle w:val="Zkladntext2"/>
        <w:spacing w:before="0" w:after="0" w:line="240" w:lineRule="auto"/>
        <w:rPr>
          <w:rFonts w:ascii="Segoe UI" w:hAnsi="Segoe UI" w:cs="Segoe UI"/>
          <w:szCs w:val="22"/>
        </w:rPr>
      </w:pPr>
    </w:p>
    <w:p w14:paraId="6F986C54" w14:textId="77777777" w:rsidR="00A41FED" w:rsidRDefault="00A41FED" w:rsidP="00A41FED">
      <w:pPr>
        <w:pStyle w:val="Zkladntext2"/>
        <w:spacing w:before="0" w:after="0" w:line="240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závazky ze strany APC budou plněny na operativní bázi – průběžně na základě požadavků PARTNERA a možností APC vzhledem k edičnímu plánu. </w:t>
      </w:r>
    </w:p>
    <w:p w14:paraId="4580C096" w14:textId="77777777" w:rsidR="00A41FED" w:rsidRDefault="00A41FED" w:rsidP="00A41FED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77690DE2" w14:textId="77777777" w:rsidR="00A41FED" w:rsidRDefault="00A41FED" w:rsidP="00A41FED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14469DAD" w14:textId="77777777" w:rsidR="00A41FED" w:rsidRDefault="00A41FED" w:rsidP="00A41FED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741BB203" w14:textId="77777777" w:rsidR="00A41FED" w:rsidRDefault="00A41FED" w:rsidP="00A41FED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Článek II</w:t>
      </w:r>
    </w:p>
    <w:p w14:paraId="658917D2" w14:textId="77777777" w:rsidR="00A41FED" w:rsidRDefault="00A41FED" w:rsidP="00A41FED">
      <w:pPr>
        <w:pStyle w:val="Nadpis2"/>
        <w:tabs>
          <w:tab w:val="clear" w:pos="567"/>
          <w:tab w:val="left" w:pos="1134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Závazky smluvních stran</w:t>
      </w:r>
    </w:p>
    <w:p w14:paraId="5763C182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2903797C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1. APC se zavazuje k následujícímu ročnímu plnění:</w:t>
      </w:r>
    </w:p>
    <w:p w14:paraId="05585B0C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29A99C66" w14:textId="77777777" w:rsidR="00A41FED" w:rsidRDefault="00A41FED" w:rsidP="00A41FED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redakčně a graficky zpracovat </w:t>
      </w:r>
      <w:r>
        <w:rPr>
          <w:rFonts w:ascii="Segoe UI" w:hAnsi="Segoe UI" w:cs="Segoe UI"/>
          <w:bCs/>
          <w:sz w:val="22"/>
          <w:szCs w:val="22"/>
        </w:rPr>
        <w:t xml:space="preserve">materiál pro PARTNERA </w:t>
      </w:r>
      <w:r>
        <w:rPr>
          <w:rFonts w:ascii="Segoe UI" w:hAnsi="Segoe UI" w:cs="Segoe UI"/>
          <w:sz w:val="22"/>
          <w:szCs w:val="22"/>
        </w:rPr>
        <w:t>v rozsahu:</w:t>
      </w:r>
    </w:p>
    <w:p w14:paraId="6AE1C201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360"/>
        <w:rPr>
          <w:rFonts w:ascii="Segoe UI" w:hAnsi="Segoe UI" w:cs="Segoe UI"/>
          <w:sz w:val="22"/>
          <w:szCs w:val="22"/>
        </w:rPr>
      </w:pPr>
    </w:p>
    <w:p w14:paraId="71DC8F1B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  <w:tab w:val="num" w:pos="1843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1x upoutávka na projekt měsíce na titulním listě – foto + avízo</w:t>
      </w:r>
    </w:p>
    <w:p w14:paraId="356AEAA2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1x projekt měsíce – Tip Šaliny </w:t>
      </w:r>
    </w:p>
    <w:p w14:paraId="61B80B03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10x článek v sekci Kudy a kam </w:t>
      </w:r>
    </w:p>
    <w:p w14:paraId="6C8B5AD6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materiály různého žánru dle domluvy – např. rozhovory, zajímavosti, informace o novinkách, akcích pro veřejnost atd.</w:t>
      </w:r>
    </w:p>
    <w:p w14:paraId="3928C166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1x křížovka o ceny </w:t>
      </w:r>
    </w:p>
    <w:p w14:paraId="6B90310E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360"/>
        <w:rPr>
          <w:rFonts w:ascii="Segoe UI" w:hAnsi="Segoe UI" w:cs="Segoe UI"/>
          <w:sz w:val="22"/>
          <w:szCs w:val="22"/>
        </w:rPr>
      </w:pPr>
    </w:p>
    <w:p w14:paraId="15B6DF79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Výše uvedený materiál bude zpracováván v průběhu platnosti smlouvy na základě vzájemné dohody a zájmu PARTNERA.</w:t>
      </w:r>
    </w:p>
    <w:p w14:paraId="23A7E253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7AA25AEC" w14:textId="77777777" w:rsidR="00A41FED" w:rsidRDefault="00A41FED" w:rsidP="00A41FED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zajistit webovou prezentaci PARTNERA v e-Šalině:</w:t>
      </w:r>
    </w:p>
    <w:p w14:paraId="41870898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7461889B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prezentovat materiál Projekt měsíce s fotografií na hlavním banneru na webu e-Šaliny (po rozkliknutí se otevře celý článek) </w:t>
      </w:r>
    </w:p>
    <w:p w14:paraId="5CC296E5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uveřejnit logo PARTNERA s aktivním odkazem v sekci Kudy a kam na webu www.salina-brno.cz</w:t>
      </w:r>
    </w:p>
    <w:p w14:paraId="3023C14F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uveřejnit soutěže na webu (dle zájmu)</w:t>
      </w:r>
    </w:p>
    <w:p w14:paraId="66BBBFAD" w14:textId="77777777" w:rsidR="00A41FED" w:rsidRDefault="00A41FED" w:rsidP="00A41FED">
      <w:pPr>
        <w:widowControl/>
        <w:numPr>
          <w:ilvl w:val="1"/>
          <w:numId w:val="2"/>
        </w:numPr>
        <w:tabs>
          <w:tab w:val="num" w:pos="72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zveřejnit články v sekcích Novinky / Aktuality / Kudy a kam (dle zájmu)</w:t>
      </w:r>
    </w:p>
    <w:p w14:paraId="4BB530BB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720"/>
        <w:rPr>
          <w:rFonts w:ascii="Segoe UI" w:hAnsi="Segoe UI" w:cs="Segoe UI"/>
          <w:sz w:val="22"/>
          <w:szCs w:val="22"/>
        </w:rPr>
      </w:pPr>
    </w:p>
    <w:p w14:paraId="011B4A75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0F0419C9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Shora uvedené roční plnění bude opakováno po celou dobu platnosti smlouvy, nedojde-li dohodou ke změně obsahu či rozsahu tohoto plnění.</w:t>
      </w:r>
    </w:p>
    <w:p w14:paraId="2B5DFF1A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708"/>
        <w:rPr>
          <w:rFonts w:ascii="Segoe UI" w:hAnsi="Segoe UI" w:cs="Segoe UI"/>
          <w:sz w:val="22"/>
          <w:szCs w:val="22"/>
        </w:rPr>
      </w:pPr>
    </w:p>
    <w:p w14:paraId="50104792" w14:textId="77777777" w:rsidR="00A41FED" w:rsidRDefault="00A41FED" w:rsidP="00A41FED">
      <w:pPr>
        <w:spacing w:before="120" w:line="240" w:lineRule="auto"/>
        <w:ind w:left="3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Celková částka za poskytnuté plnění APC činí 159 290 Kč včetně DPH v zákonem stanovené výši.</w:t>
      </w:r>
    </w:p>
    <w:p w14:paraId="1B969A4C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7BAA2721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708" w:hanging="424"/>
        <w:rPr>
          <w:rFonts w:ascii="Segoe UI" w:hAnsi="Segoe UI" w:cs="Segoe UI"/>
          <w:sz w:val="22"/>
          <w:szCs w:val="22"/>
        </w:rPr>
      </w:pPr>
    </w:p>
    <w:p w14:paraId="49AC0ECE" w14:textId="77777777" w:rsidR="00A41FED" w:rsidRDefault="00A41FED" w:rsidP="00A41FED">
      <w:pPr>
        <w:widowControl/>
        <w:tabs>
          <w:tab w:val="left" w:pos="1134"/>
        </w:tabs>
        <w:spacing w:line="240" w:lineRule="auto"/>
        <w:ind w:left="708"/>
        <w:rPr>
          <w:rFonts w:ascii="Segoe UI" w:hAnsi="Segoe UI" w:cs="Segoe UI"/>
          <w:sz w:val="22"/>
          <w:szCs w:val="22"/>
        </w:rPr>
      </w:pPr>
    </w:p>
    <w:p w14:paraId="68C0CB60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2. PARTNER se zavazuje k následujícímu ročnímu plnění:</w:t>
      </w:r>
    </w:p>
    <w:p w14:paraId="47471A36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DC55885" w14:textId="77777777" w:rsidR="00A41FED" w:rsidRDefault="00A41FED" w:rsidP="00A41FED">
      <w:pPr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2.1. PARTNER bude propagovat APC prostřednictvím uvedení loga na těchto materiálech </w:t>
      </w:r>
    </w:p>
    <w:p w14:paraId="66E1A40E" w14:textId="77777777" w:rsidR="00A41FED" w:rsidRDefault="00A41FED" w:rsidP="00A41FED">
      <w:pPr>
        <w:widowControl/>
        <w:numPr>
          <w:ilvl w:val="0"/>
          <w:numId w:val="3"/>
        </w:numPr>
        <w:tabs>
          <w:tab w:val="num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logo v časopise DIVA </w:t>
      </w:r>
    </w:p>
    <w:p w14:paraId="795FA0B2" w14:textId="77777777" w:rsidR="00A41FED" w:rsidRDefault="00A41FED" w:rsidP="00A41FED">
      <w:pPr>
        <w:widowControl/>
        <w:numPr>
          <w:ilvl w:val="0"/>
          <w:numId w:val="3"/>
        </w:numPr>
        <w:tabs>
          <w:tab w:val="num" w:pos="360"/>
        </w:tabs>
        <w:spacing w:line="240" w:lineRule="aut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logo na měsíčních programových skládačkách </w:t>
      </w:r>
    </w:p>
    <w:p w14:paraId="64A4D748" w14:textId="77777777" w:rsidR="00A41FED" w:rsidRDefault="00A41FED" w:rsidP="00A41FED">
      <w:pPr>
        <w:widowControl/>
        <w:numPr>
          <w:ilvl w:val="0"/>
          <w:numId w:val="3"/>
        </w:numPr>
        <w:tabs>
          <w:tab w:val="num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logo partnera s aktivním prolinkem na stránkách </w:t>
      </w:r>
      <w:hyperlink r:id="rId5" w:tgtFrame="_parent" w:history="1">
        <w:r>
          <w:rPr>
            <w:rStyle w:val="Hypertextovodkaz"/>
            <w:rFonts w:ascii="Segoe UI" w:hAnsi="Segoe UI" w:cs="Segoe UI"/>
            <w:sz w:val="22"/>
            <w:szCs w:val="22"/>
          </w:rPr>
          <w:t>www.ndbrno.cz</w:t>
        </w:r>
      </w:hyperlink>
    </w:p>
    <w:p w14:paraId="22E3C07F" w14:textId="77777777" w:rsidR="00A41FED" w:rsidRDefault="00A41FED" w:rsidP="00A41FED">
      <w:pPr>
        <w:widowControl/>
        <w:numPr>
          <w:ilvl w:val="0"/>
          <w:numId w:val="3"/>
        </w:numPr>
        <w:tabs>
          <w:tab w:val="num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logo v brožuře předplatného na sezonu 2022/2023</w:t>
      </w:r>
    </w:p>
    <w:p w14:paraId="165C8BBA" w14:textId="77777777" w:rsidR="00A41FED" w:rsidRDefault="00A41FED" w:rsidP="00A41FED">
      <w:pPr>
        <w:ind w:left="720"/>
        <w:rPr>
          <w:rFonts w:ascii="Segoe UI" w:hAnsi="Segoe UI" w:cs="Segoe UI"/>
          <w:sz w:val="22"/>
          <w:szCs w:val="22"/>
        </w:rPr>
      </w:pPr>
    </w:p>
    <w:p w14:paraId="77690BE6" w14:textId="77777777" w:rsidR="00A41FED" w:rsidRDefault="00A41FED" w:rsidP="00A41FED">
      <w:pPr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2.2.  PARTNER poskytne APC vstupenky v rozsahu:</w:t>
      </w:r>
    </w:p>
    <w:p w14:paraId="13FA72A4" w14:textId="77777777" w:rsidR="00A41FED" w:rsidRDefault="00A41FED" w:rsidP="00A41FED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100 vstupenek na vybrané inscenace NdB v celkové hodnotě 30 000 Kč osvobozeno od DPH dle § 61 písm. e) zákona, vstupenky na představení NdB budou čerpány postupně od září 2021 do srpna 2022 (čerpání vstupenek se nevztahuje na zadaná představení, pronájmy, hostování cizích souborů, koprodukce a přenosy MET).</w:t>
      </w:r>
    </w:p>
    <w:p w14:paraId="0A0CA944" w14:textId="77777777" w:rsidR="00A41FED" w:rsidRDefault="00A41FED" w:rsidP="00A41FED">
      <w:pPr>
        <w:pStyle w:val="Odstavecseseznamem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Vstupenky dle čl. II., bodu 2., odst. 2. 2., písm. a) v celkové hodnotě 30 000 Kč musí  </w:t>
      </w:r>
    </w:p>
    <w:p w14:paraId="22C64536" w14:textId="77777777" w:rsidR="00A41FED" w:rsidRDefault="00A41FED" w:rsidP="00A41FED">
      <w:pPr>
        <w:pStyle w:val="Zkladntext"/>
        <w:widowControl/>
        <w:snapToGrid w:val="0"/>
        <w:spacing w:after="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APC odebrat nejpozději do 15. 8. 2022.</w:t>
      </w:r>
    </w:p>
    <w:p w14:paraId="2B59E23D" w14:textId="77777777" w:rsidR="00A41FED" w:rsidRDefault="00A41FED" w:rsidP="00A41FED">
      <w:pPr>
        <w:pStyle w:val="Zkladntext"/>
        <w:widowControl/>
        <w:snapToGrid w:val="0"/>
        <w:spacing w:after="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Pokud vstupenky nebudou vyčerpány do 15. 8. 2022, vyhrazuje si PARTNER právo     </w:t>
      </w:r>
    </w:p>
    <w:p w14:paraId="32490BC9" w14:textId="77777777" w:rsidR="00A41FED" w:rsidRDefault="00A41FED" w:rsidP="00A41FED">
      <w:pPr>
        <w:pStyle w:val="Zkladntext"/>
        <w:widowControl/>
        <w:snapToGrid w:val="0"/>
        <w:spacing w:after="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vyfakturovat a zaslat pro APC zbylou část vstupenek podle vlastního výběru. </w:t>
      </w:r>
    </w:p>
    <w:p w14:paraId="3755FEC1" w14:textId="77777777" w:rsidR="00A41FED" w:rsidRDefault="00A41FED" w:rsidP="00A41FED">
      <w:pPr>
        <w:pStyle w:val="Odstavecseseznamem"/>
        <w:ind w:left="360"/>
        <w:jc w:val="both"/>
        <w:rPr>
          <w:rFonts w:ascii="Segoe UI" w:hAnsi="Segoe UI" w:cs="Segoe UI"/>
          <w:sz w:val="22"/>
          <w:szCs w:val="22"/>
        </w:rPr>
      </w:pPr>
    </w:p>
    <w:p w14:paraId="791AF8B1" w14:textId="77777777" w:rsidR="00A41FED" w:rsidRDefault="00A41FED" w:rsidP="00A41FED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 vstupenky na 18 premiér v celkové hodnotě 21 600 Kč osvobozeno od DPH dle § 61 písm. e) zákona</w:t>
      </w:r>
    </w:p>
    <w:p w14:paraId="1AC3A28D" w14:textId="77777777" w:rsidR="00A41FED" w:rsidRDefault="00A41FED" w:rsidP="00A41FED">
      <w:pPr>
        <w:pStyle w:val="Zkladntextodsazen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14:paraId="5E3FC5A0" w14:textId="77777777" w:rsidR="00A41FED" w:rsidRDefault="00A41FED" w:rsidP="00A41FED">
      <w:pPr>
        <w:spacing w:before="120" w:line="240" w:lineRule="auto"/>
        <w:ind w:left="3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Částka za propagaci dle odst. 2. 1. činí 56 870 vč. DPH , částka za vstupenky dle odst. 2.2., písm. a) činí 30 000 Kč osvobozeno od DPH a částka za vstupenky na premiéry dle odst. 2.2., písm. b) činí  21 600 Kč osvobozeno od DPH. 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Celková částka za poskytnuté plnění NdB činí 108 470 Kč včetně DPH v zákonem stanovené výši.</w:t>
      </w:r>
    </w:p>
    <w:p w14:paraId="4F8D7320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008670F7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40A85B25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</w:t>
      </w:r>
    </w:p>
    <w:p w14:paraId="15BD62C0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D82298F" w14:textId="77777777" w:rsidR="00A41FED" w:rsidRDefault="00A41FED" w:rsidP="00A41FED">
      <w:pPr>
        <w:widowControl/>
        <w:tabs>
          <w:tab w:val="left" w:pos="567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Článek III</w:t>
      </w:r>
    </w:p>
    <w:p w14:paraId="25810334" w14:textId="77777777" w:rsidR="00A41FED" w:rsidRDefault="00A41FED" w:rsidP="00A41FED">
      <w:pPr>
        <w:widowControl/>
        <w:tabs>
          <w:tab w:val="left" w:pos="567"/>
        </w:tabs>
        <w:spacing w:line="240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Platební podmínky</w:t>
      </w:r>
    </w:p>
    <w:p w14:paraId="6164BAD4" w14:textId="77777777" w:rsidR="00A41FED" w:rsidRDefault="00A41FED" w:rsidP="00A41FED">
      <w:pPr>
        <w:widowControl/>
        <w:tabs>
          <w:tab w:val="left" w:pos="567"/>
        </w:tabs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70604828" w14:textId="77777777" w:rsidR="00A41FED" w:rsidRDefault="00A41FED" w:rsidP="00A41FED">
      <w:pPr>
        <w:widowControl/>
        <w:tabs>
          <w:tab w:val="left" w:pos="567"/>
        </w:tabs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38BD0B03" w14:textId="77777777" w:rsidR="00A41FED" w:rsidRDefault="00A41FED" w:rsidP="00A41FED">
      <w:pPr>
        <w:pStyle w:val="slovanseznam51"/>
        <w:numPr>
          <w:ilvl w:val="0"/>
          <w:numId w:val="0"/>
        </w:numPr>
        <w:tabs>
          <w:tab w:val="left" w:pos="360"/>
        </w:tabs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1.</w:t>
      </w:r>
      <w:r>
        <w:rPr>
          <w:rFonts w:ascii="Segoe UI" w:hAnsi="Segoe UI" w:cs="Segoe UI"/>
          <w:szCs w:val="22"/>
        </w:rPr>
        <w:t xml:space="preserve"> APC se zavazuje zajistit pro PARTNERA zveřejnění jeho reklamní kampaně v celkové hodnotě 159 290-, Kč (slovy: sto padesát devět tisíc dvě stě devadesát korun českých) vč. DPH.</w:t>
      </w:r>
    </w:p>
    <w:p w14:paraId="475C3BE5" w14:textId="77777777" w:rsidR="00A41FED" w:rsidRDefault="00A41FED" w:rsidP="00A41FED">
      <w:pPr>
        <w:pStyle w:val="slovanseznam51"/>
        <w:numPr>
          <w:ilvl w:val="0"/>
          <w:numId w:val="0"/>
        </w:numPr>
        <w:tabs>
          <w:tab w:val="left" w:pos="360"/>
        </w:tabs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PARTNER se zavazuje pro APC zajistit plnění dle čl. II. bod 2. v celkové hodnotě 108 470,- Kč (slovy: sto osm tisíc čtyři sta sedmdesát korun českých) vč. DPH.</w:t>
      </w:r>
    </w:p>
    <w:p w14:paraId="387296CF" w14:textId="77777777" w:rsidR="00A41FED" w:rsidRDefault="00A41FED" w:rsidP="00A41FED">
      <w:pPr>
        <w:pStyle w:val="slovanseznam51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rFonts w:ascii="Segoe UI" w:hAnsi="Segoe UI" w:cs="Segoe UI"/>
          <w:szCs w:val="22"/>
        </w:rPr>
      </w:pPr>
    </w:p>
    <w:p w14:paraId="1F105C24" w14:textId="77777777" w:rsidR="00A41FED" w:rsidRDefault="00A41FED" w:rsidP="00A41FED">
      <w:pPr>
        <w:pStyle w:val="slovanseznam51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rFonts w:ascii="Segoe UI" w:hAnsi="Segoe UI" w:cs="Segoe UI"/>
          <w:szCs w:val="22"/>
        </w:rPr>
      </w:pPr>
    </w:p>
    <w:p w14:paraId="51AB9BDB" w14:textId="77777777" w:rsidR="00A41FED" w:rsidRDefault="00A41FED" w:rsidP="00A41FED">
      <w:pPr>
        <w:pStyle w:val="slovanseznam51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2. FAKTURACE</w:t>
      </w:r>
    </w:p>
    <w:p w14:paraId="3F87050A" w14:textId="77777777" w:rsidR="00A41FED" w:rsidRDefault="00A41FED" w:rsidP="00A41FED">
      <w:pPr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14:paraId="39D91A5D" w14:textId="77777777" w:rsidR="00A41FED" w:rsidRDefault="00A41FED" w:rsidP="00A41FED">
      <w:pPr>
        <w:spacing w:line="240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APC vystaví PARTNEROVI měsíčně fakturu se splatností 14 dní od data doručení faktury na částku 3 500,- Kč + 21% DPH, která bude uhrazena převodem na výše uvedený účet APC. První faktura bude vystavena v září 2021, poslední faktura bude vystavena v srpnu 2022.</w:t>
      </w:r>
    </w:p>
    <w:p w14:paraId="58D5316F" w14:textId="77777777" w:rsidR="00A41FED" w:rsidRDefault="00A41FED" w:rsidP="00A41FED">
      <w:pPr>
        <w:pStyle w:val="Zkladntext"/>
        <w:widowControl/>
        <w:autoSpaceDE w:val="0"/>
        <w:autoSpaceDN w:val="0"/>
        <w:snapToGrid w:val="0"/>
        <w:spacing w:before="120" w:line="240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APC vystaví fakturu na reklamní plnění dle této smlouvy na částku 108 470 Kč vč. DPH       7. 9. 2021 a označí ji „Neproplácet - kompenzace“. </w:t>
      </w:r>
    </w:p>
    <w:p w14:paraId="05D64C64" w14:textId="77777777" w:rsidR="00A41FED" w:rsidRDefault="00A41FED" w:rsidP="00A41FED">
      <w:pPr>
        <w:pStyle w:val="Zkladntext"/>
        <w:widowControl/>
        <w:autoSpaceDE w:val="0"/>
        <w:autoSpaceDN w:val="0"/>
        <w:snapToGrid w:val="0"/>
        <w:spacing w:before="120" w:line="240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PARTNER vystaví fakturu na reklamní plnění na částku 56 870 Kč vč. DPH dle této smlouvy  k 7. 9. 2021 a označí ji „Neproplácet - kompenzace“. Datum uskutečnění zdanitelného plnění bude datum vystavení faktur. Splatnost těchto faktur bude k 31. 8. 2022. </w:t>
      </w:r>
    </w:p>
    <w:p w14:paraId="093D3C5F" w14:textId="77777777" w:rsidR="00A41FED" w:rsidRDefault="00A41FED" w:rsidP="00A41FED">
      <w:pPr>
        <w:pStyle w:val="Zkladntext"/>
        <w:widowControl/>
        <w:snapToGrid w:val="0"/>
        <w:spacing w:line="240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Fakturace za vstupenky bude probíhat postupně po každém odběru vstupenek a budou označeny „Neproplácet – kompenzace“. Splatnost faktur bude 31. 8. 2022. </w:t>
      </w:r>
    </w:p>
    <w:p w14:paraId="0D41CA27" w14:textId="77777777" w:rsidR="00A41FED" w:rsidRDefault="00A41FED" w:rsidP="00A41FED">
      <w:pPr>
        <w:widowControl/>
        <w:suppressAutoHyphens/>
        <w:spacing w:line="240" w:lineRule="auto"/>
        <w:ind w:left="426" w:hanging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       Vstupenky na premiéry dle čl. II., bodu 2., odst. 2. 2., písm. b) v celkové hodnotě </w:t>
      </w:r>
    </w:p>
    <w:p w14:paraId="2FF4F224" w14:textId="5D8BE462" w:rsidR="00A41FED" w:rsidRDefault="00A41FED" w:rsidP="00A41FED">
      <w:pPr>
        <w:suppressAutoHyphens/>
        <w:spacing w:line="240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21 600 Kč budou účtovány ve dvou fakturách, které budou označeny „Neproplácet – kompenzace“. Premiéry první poloviny sezony 2021/2022   bude PARTNER účtovat do 4</w:t>
      </w:r>
      <w:r w:rsidR="00E06141">
        <w:rPr>
          <w:rFonts w:ascii="Segoe UI" w:hAnsi="Segoe UI" w:cs="Segoe UI"/>
          <w:sz w:val="22"/>
          <w:szCs w:val="22"/>
        </w:rPr>
        <w:t>. 9. 2021</w:t>
      </w:r>
      <w:r>
        <w:rPr>
          <w:rFonts w:ascii="Segoe UI" w:hAnsi="Segoe UI" w:cs="Segoe UI"/>
          <w:sz w:val="22"/>
          <w:szCs w:val="22"/>
        </w:rPr>
        <w:t>.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 xml:space="preserve"> Premiéry druhé poloviny sezony 2021/2022 bude PARTNER účtovat do 15. 1. 2022. Splatnost těchto faktur bude 31. 8. 2022.</w:t>
      </w:r>
    </w:p>
    <w:p w14:paraId="62FA1CDA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3031C5DE" w14:textId="77777777" w:rsidR="00A41FED" w:rsidRDefault="00A41FED" w:rsidP="00A41FED">
      <w:pPr>
        <w:pStyle w:val="Zkladntext"/>
        <w:widowControl/>
        <w:snapToGrid w:val="0"/>
        <w:spacing w:before="12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souhlasí se vzájemným zápočtem faktur podle bodu 2. k 31. 8. 2022.</w:t>
      </w:r>
    </w:p>
    <w:p w14:paraId="008093FE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5FBA2F8B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Článek IV</w:t>
      </w:r>
    </w:p>
    <w:p w14:paraId="04BED126" w14:textId="77777777" w:rsidR="00A41FED" w:rsidRDefault="00A41FED" w:rsidP="00A41FED">
      <w:pPr>
        <w:pStyle w:val="Nadpis2"/>
        <w:tabs>
          <w:tab w:val="clear" w:pos="567"/>
          <w:tab w:val="left" w:pos="708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Zvláštní ustanovení</w:t>
      </w:r>
    </w:p>
    <w:p w14:paraId="276A6218" w14:textId="77777777" w:rsidR="00A41FED" w:rsidRDefault="00A41FED" w:rsidP="00A41FED">
      <w:pPr>
        <w:rPr>
          <w:rFonts w:ascii="Segoe UI" w:hAnsi="Segoe UI" w:cs="Segoe UI"/>
        </w:rPr>
      </w:pPr>
    </w:p>
    <w:p w14:paraId="3741EA8B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případě zájmu vytvoří APC pro PARTNERA marketingovou koncepci s využitím komunikačních prostředků Dopravního podniku města Brna, a.s. Podmínky vytvoření této koncepce budou stanoveny vzájemnou dohodou smluvních stran.</w:t>
      </w:r>
    </w:p>
    <w:p w14:paraId="76CF9655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4C731CB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38CDF66A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507306CA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Článek V</w:t>
      </w:r>
    </w:p>
    <w:p w14:paraId="67D85BC1" w14:textId="77777777" w:rsidR="00A41FED" w:rsidRDefault="00A41FED" w:rsidP="00A41FED">
      <w:pPr>
        <w:pStyle w:val="Nadpis2"/>
        <w:tabs>
          <w:tab w:val="clear" w:pos="567"/>
          <w:tab w:val="left" w:pos="708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Doba trvání smlouvy</w:t>
      </w:r>
    </w:p>
    <w:p w14:paraId="7244FC49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5B8F826A" w14:textId="77777777" w:rsidR="00A41FED" w:rsidRDefault="00A41FED" w:rsidP="00A41FED">
      <w:pPr>
        <w:tabs>
          <w:tab w:val="left" w:pos="284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Smlouva se uzavírá na dobu určitou do 31. 8. 2022. </w:t>
      </w:r>
    </w:p>
    <w:p w14:paraId="2B8B0D20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0835EB1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AD46C84" w14:textId="77777777" w:rsidR="00A41FED" w:rsidRDefault="00A41FED" w:rsidP="00A41FED">
      <w:pPr>
        <w:pStyle w:val="Nadpis1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Článek VI</w:t>
      </w:r>
    </w:p>
    <w:p w14:paraId="6253D0FA" w14:textId="77777777" w:rsidR="00A41FED" w:rsidRDefault="00A41FED" w:rsidP="00A41FED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Předčasné ukončení smlouvy</w:t>
      </w:r>
    </w:p>
    <w:p w14:paraId="4484FC88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3CD8D4F5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Předčasné ukončení smlouvy je možné:</w:t>
      </w:r>
    </w:p>
    <w:p w14:paraId="656E95E4" w14:textId="77777777" w:rsidR="00A41FED" w:rsidRDefault="00A41FED" w:rsidP="00A41FED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vzájemnou dohodou smluvních stran v písemné formě</w:t>
      </w:r>
    </w:p>
    <w:p w14:paraId="5E793254" w14:textId="77777777" w:rsidR="00A41FED" w:rsidRDefault="00A41FED" w:rsidP="00A41FED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odstoupením od smlouvy jedné ze smluvních stran z důvodu hrubého porušení podmínek smlouvy</w:t>
      </w:r>
    </w:p>
    <w:p w14:paraId="6A8CACEF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31D346A9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 hrubého porušení podmínek smlouvy jedné ze smluvních stran je dotčená smluvní strana povinna protistranu písemně vyzvat k odstranění nedostatků. Pokud k odstranění nedostatků nedojde do 60 dnů od doručení této výzvy na adresu sídla protistrany, je dotčená strana oprávněna odstoupit od smlouvy. </w:t>
      </w:r>
    </w:p>
    <w:p w14:paraId="114A8236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727209A9" w14:textId="77777777" w:rsidR="00A41FED" w:rsidRDefault="00A41FED" w:rsidP="00A41FED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Odstoupení od smlouvy musí být provedeno písemnou formou. Odstoupení od smlouvy je účinné 30. dnem od doručení jeho písemného vyhotovení protistraně. </w:t>
      </w:r>
    </w:p>
    <w:p w14:paraId="1BE99381" w14:textId="77777777" w:rsidR="00A41FED" w:rsidRDefault="00A41FED" w:rsidP="00A41FED">
      <w:pPr>
        <w:rPr>
          <w:rFonts w:ascii="Segoe UI" w:hAnsi="Segoe UI" w:cs="Segoe UI"/>
        </w:rPr>
      </w:pPr>
    </w:p>
    <w:p w14:paraId="6ACC801F" w14:textId="77777777" w:rsidR="00A41FED" w:rsidRDefault="00A41FED" w:rsidP="00A41FED">
      <w:pPr>
        <w:pStyle w:val="Nadpis1"/>
        <w:jc w:val="center"/>
        <w:rPr>
          <w:rFonts w:ascii="Segoe UI" w:hAnsi="Segoe UI" w:cs="Segoe UI"/>
          <w:sz w:val="22"/>
          <w:szCs w:val="22"/>
        </w:rPr>
      </w:pPr>
    </w:p>
    <w:p w14:paraId="425C114F" w14:textId="77777777" w:rsidR="00A41FED" w:rsidRDefault="00A41FED" w:rsidP="00A41FED">
      <w:pPr>
        <w:pStyle w:val="Nadpis1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Článek VII</w:t>
      </w:r>
    </w:p>
    <w:p w14:paraId="6110DAD7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Komunikace a řešení sporů</w:t>
      </w:r>
    </w:p>
    <w:p w14:paraId="5EA84D75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79B07C29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Kontaktními osobami pro plnění povinností vyplývajících z ustanovení této smlouvy jsou za:</w:t>
      </w:r>
    </w:p>
    <w:p w14:paraId="02981800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1FDD6915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APC</w:t>
      </w:r>
    </w:p>
    <w:p w14:paraId="0C14FD23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PhDr. Juraj Groch, email: </w:t>
      </w:r>
      <w:hyperlink r:id="rId6" w:history="1">
        <w:r>
          <w:rPr>
            <w:rStyle w:val="Hypertextovodkaz"/>
            <w:rFonts w:ascii="Segoe UI" w:hAnsi="Segoe UI" w:cs="Segoe UI"/>
            <w:sz w:val="22"/>
            <w:szCs w:val="22"/>
          </w:rPr>
          <w:t>jgroch@apc-pr.cz</w:t>
        </w:r>
      </w:hyperlink>
      <w:r>
        <w:rPr>
          <w:rFonts w:ascii="Segoe UI" w:hAnsi="Segoe UI" w:cs="Segoe UI"/>
          <w:sz w:val="22"/>
          <w:szCs w:val="22"/>
        </w:rPr>
        <w:t>, jednatel</w:t>
      </w:r>
    </w:p>
    <w:p w14:paraId="1C3FDC2B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PhDr. Jiřina Veselá, tel. 737 243 002, email:</w:t>
      </w:r>
      <w:r>
        <w:rPr>
          <w:rFonts w:ascii="Segoe UI" w:hAnsi="Segoe UI" w:cs="Segoe UI"/>
        </w:rPr>
        <w:t>jvesela@apc-cz</w:t>
      </w:r>
      <w:r>
        <w:rPr>
          <w:rFonts w:ascii="Segoe UI" w:hAnsi="Segoe UI" w:cs="Segoe UI"/>
          <w:sz w:val="22"/>
          <w:szCs w:val="22"/>
        </w:rPr>
        <w:t>, šéfredaktorka</w:t>
      </w:r>
    </w:p>
    <w:p w14:paraId="58EE16CA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Mgr. Inka Novotná, tel: 737 243 007, email: inovotna@apc-pr.cz, produkční</w:t>
      </w:r>
    </w:p>
    <w:p w14:paraId="40ED33ED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66EDDE31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PARTNERA</w:t>
      </w:r>
    </w:p>
    <w:p w14:paraId="4E71E880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Zuzana Žáková, tel. 725 798 097, email: </w:t>
      </w:r>
      <w:hyperlink r:id="rId7" w:history="1">
        <w:r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>
        <w:rPr>
          <w:rFonts w:ascii="Segoe UI" w:hAnsi="Segoe UI" w:cs="Segoe UI"/>
          <w:sz w:val="22"/>
          <w:szCs w:val="22"/>
        </w:rPr>
        <w:t>, marketing/PR NdB</w:t>
      </w:r>
    </w:p>
    <w:p w14:paraId="02F14328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7CAA0209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211D0F6E" w14:textId="77777777" w:rsidR="00A41FED" w:rsidRDefault="00A41FED" w:rsidP="00A41FED">
      <w:p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zavazují, že v případě sporů o obsah a plnění této smlouvy vynaloží veškeré úsilí k tomu, aby tyto spory byly vyřešeny smírnou cestou, zejména, aby byly odstraněny okolnosti vedoucí ke vzniku práva od smlouvy odstoupit nebo způsobit její neplatnost.</w:t>
      </w:r>
    </w:p>
    <w:p w14:paraId="72E5B89D" w14:textId="77777777" w:rsidR="00A41FED" w:rsidRDefault="00A41FED" w:rsidP="00A41FED">
      <w:pPr>
        <w:pStyle w:val="Nadpis2"/>
        <w:tabs>
          <w:tab w:val="clear" w:pos="567"/>
          <w:tab w:val="left" w:pos="708"/>
        </w:tabs>
        <w:rPr>
          <w:rFonts w:ascii="Segoe UI" w:hAnsi="Segoe UI" w:cs="Segoe UI"/>
          <w:sz w:val="22"/>
          <w:szCs w:val="22"/>
        </w:rPr>
      </w:pPr>
    </w:p>
    <w:p w14:paraId="71E84E14" w14:textId="77777777" w:rsidR="00A41FED" w:rsidRDefault="00A41FED" w:rsidP="00A41FED">
      <w:pPr>
        <w:rPr>
          <w:rFonts w:ascii="Segoe UI" w:hAnsi="Segoe UI" w:cs="Segoe UI"/>
        </w:rPr>
      </w:pPr>
    </w:p>
    <w:p w14:paraId="78083698" w14:textId="77777777" w:rsidR="00A41FED" w:rsidRDefault="00A41FED" w:rsidP="00A41FED">
      <w:pPr>
        <w:pStyle w:val="Nadpis2"/>
        <w:tabs>
          <w:tab w:val="clear" w:pos="567"/>
          <w:tab w:val="left" w:pos="708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Článek VIII.</w:t>
      </w:r>
    </w:p>
    <w:p w14:paraId="6E23639F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Ostatní ujednání</w:t>
      </w:r>
    </w:p>
    <w:p w14:paraId="5EB1B515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627CDD3D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jsou povinny při zařizování záležitostí jednat  s potřebnou péči, poskytovat si vzájemně podklady a informace tak, aby bylo dosaženo předmětu této smlouvy a nebylo poškozeno jejich dobré jméno. APC vzniká právo požádat o doplnění předaných podkladů a o prodloužení doby plnění, pokud ze strany PARTNERA došlo k předání nesprávných či neúplných podkladů nebo pokud je plnění požadováno v nereálném termínu.</w:t>
      </w:r>
    </w:p>
    <w:p w14:paraId="6B405B9A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Cs/>
          <w:sz w:val="22"/>
          <w:szCs w:val="22"/>
        </w:rPr>
      </w:pPr>
    </w:p>
    <w:p w14:paraId="1F07191C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Obě smluvní strany jsou</w:t>
      </w:r>
      <w:r>
        <w:rPr>
          <w:rFonts w:ascii="Segoe UI" w:hAnsi="Segoe UI" w:cs="Segoe UI"/>
          <w:sz w:val="22"/>
          <w:szCs w:val="22"/>
        </w:rPr>
        <w:t xml:space="preserve"> při plnění předmětu této smlouvy povinny postupovat tak, aby nebylo poškozeno dobré jméno smluvního </w:t>
      </w:r>
      <w:r>
        <w:rPr>
          <w:rFonts w:ascii="Segoe UI" w:hAnsi="Segoe UI" w:cs="Segoe UI"/>
          <w:bCs/>
          <w:sz w:val="22"/>
          <w:szCs w:val="22"/>
        </w:rPr>
        <w:t xml:space="preserve">partnera </w:t>
      </w:r>
      <w:r>
        <w:rPr>
          <w:rFonts w:ascii="Segoe UI" w:hAnsi="Segoe UI" w:cs="Segoe UI"/>
          <w:sz w:val="22"/>
          <w:szCs w:val="22"/>
        </w:rPr>
        <w:t>a aby neutrpěl jinou újmu.</w:t>
      </w:r>
    </w:p>
    <w:p w14:paraId="6E5B0BE1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Cs/>
          <w:sz w:val="22"/>
          <w:szCs w:val="22"/>
        </w:rPr>
      </w:pPr>
    </w:p>
    <w:p w14:paraId="35E3A63C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Obě smluvní strany</w:t>
      </w:r>
      <w:r>
        <w:rPr>
          <w:rFonts w:ascii="Segoe UI" w:hAnsi="Segoe UI" w:cs="Segoe UI"/>
          <w:sz w:val="22"/>
          <w:szCs w:val="22"/>
        </w:rPr>
        <w:t xml:space="preserve"> odpovídají plně při plnění předmětu této smlouvy za dodržování platných právních předpisů České republiky a za případné porušení svých povinností.</w:t>
      </w:r>
    </w:p>
    <w:p w14:paraId="796D0A0F" w14:textId="77777777" w:rsidR="00A41FED" w:rsidRDefault="00A41FED" w:rsidP="00A41FED">
      <w:pPr>
        <w:spacing w:line="240" w:lineRule="auto"/>
        <w:rPr>
          <w:rFonts w:ascii="Segoe UI" w:hAnsi="Segoe UI" w:cs="Segoe UI"/>
          <w:sz w:val="22"/>
          <w:szCs w:val="22"/>
        </w:rPr>
      </w:pPr>
    </w:p>
    <w:p w14:paraId="6727DF7A" w14:textId="77777777" w:rsidR="00A41FED" w:rsidRDefault="00A41FED" w:rsidP="00A41FED">
      <w:pPr>
        <w:rPr>
          <w:rFonts w:ascii="Segoe UI" w:hAnsi="Segoe UI" w:cs="Segoe UI"/>
        </w:rPr>
      </w:pPr>
    </w:p>
    <w:p w14:paraId="7FB5393D" w14:textId="77777777" w:rsidR="00A41FED" w:rsidRDefault="00A41FED" w:rsidP="00A41FED">
      <w:pPr>
        <w:pStyle w:val="Nadpis7"/>
        <w:overflowPunct/>
        <w:autoSpaceDE/>
        <w:adjustRightInd/>
        <w:spacing w:line="240" w:lineRule="auto"/>
        <w:rPr>
          <w:rFonts w:ascii="Segoe UI" w:hAnsi="Segoe UI" w:cs="Segoe UI"/>
          <w:szCs w:val="22"/>
        </w:rPr>
      </w:pPr>
    </w:p>
    <w:p w14:paraId="6661C4E8" w14:textId="77777777" w:rsidR="00A41FED" w:rsidRDefault="00A41FED" w:rsidP="00A41FED">
      <w:pPr>
        <w:pStyle w:val="Nadpis7"/>
        <w:overflowPunct/>
        <w:autoSpaceDE/>
        <w:adjustRightInd/>
        <w:spacing w:line="240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Článek IX</w:t>
      </w:r>
    </w:p>
    <w:p w14:paraId="4FCBD9EA" w14:textId="77777777" w:rsidR="00A41FED" w:rsidRDefault="00A41FED" w:rsidP="00A41FED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Závěrečná ustanovení</w:t>
      </w:r>
    </w:p>
    <w:p w14:paraId="5A73B37B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23B96ED8" w14:textId="77777777" w:rsidR="00A41FED" w:rsidRDefault="00A41FED" w:rsidP="00A41FED">
      <w:pPr>
        <w:pStyle w:val="Zkladntext2"/>
        <w:widowControl/>
        <w:spacing w:before="0" w:after="0" w:line="240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Tuto smlouvu lze měnit, upravovat a doplňovat pouze formou písemného dodatku na základě souhlasu smluvních stran.</w:t>
      </w:r>
    </w:p>
    <w:p w14:paraId="1BDE234C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33FCD162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Pokud není touto smlouvou stanoveno jinak, řídí se právní vztahy smlouvou založené ustanoveními Občanského zákoníku.</w:t>
      </w:r>
    </w:p>
    <w:p w14:paraId="04F96DFA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6FFCCD55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Smlouva je vyhotovena ve dvou výtiscích s platností originálu, z nichž každá smluvní strana obdrží dvě vyhotovení.</w:t>
      </w:r>
    </w:p>
    <w:p w14:paraId="505E3AF3" w14:textId="77777777" w:rsidR="00A41FED" w:rsidRDefault="00A41FED" w:rsidP="00A41FED">
      <w:pPr>
        <w:pStyle w:val="Odstavecseseznamem"/>
        <w:widowControl w:val="0"/>
        <w:tabs>
          <w:tab w:val="left" w:pos="426"/>
          <w:tab w:val="left" w:pos="851"/>
          <w:tab w:val="left" w:pos="1134"/>
        </w:tabs>
        <w:autoSpaceDN w:val="0"/>
        <w:spacing w:before="1"/>
        <w:ind w:left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A086CE5" w14:textId="77777777" w:rsidR="00A41FED" w:rsidRDefault="00A41FED" w:rsidP="00A41FED">
      <w:pPr>
        <w:pStyle w:val="Odstavecseseznamem"/>
        <w:widowControl w:val="0"/>
        <w:tabs>
          <w:tab w:val="left" w:pos="0"/>
          <w:tab w:val="left" w:pos="851"/>
          <w:tab w:val="left" w:pos="1134"/>
        </w:tabs>
        <w:autoSpaceDN w:val="0"/>
        <w:spacing w:before="1"/>
        <w:ind w:left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APC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40466741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67F40F30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18F797D4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Tato smlouva byla smluvními stranami uzavřena na základě jejich svobodné a pravé vůle. Na důkaz souhlasu s touto smlouvou připojují oprávnění zástupci smluvních stran své podpisy.</w:t>
      </w:r>
    </w:p>
    <w:p w14:paraId="6D886F5D" w14:textId="77777777" w:rsidR="00A41FED" w:rsidRPr="00B06785" w:rsidRDefault="00A41FED" w:rsidP="00A41FED">
      <w:pPr>
        <w:widowControl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before="60" w:after="60" w:line="100" w:lineRule="atLeast"/>
        <w:jc w:val="left"/>
        <w:rPr>
          <w:rFonts w:ascii="Segoe UI" w:hAnsi="Segoe UI" w:cs="Segoe UI"/>
          <w:color w:val="000000"/>
          <w:sz w:val="22"/>
          <w:szCs w:val="22"/>
        </w:rPr>
      </w:pPr>
      <w:r w:rsidRPr="00B06785">
        <w:rPr>
          <w:rFonts w:ascii="Segoe UI" w:hAnsi="Segoe UI" w:cs="Segoe UI"/>
          <w:color w:val="00000A"/>
          <w:sz w:val="22"/>
          <w:szCs w:val="22"/>
        </w:rPr>
        <w:t>Tato smlouva nabývá platnosti dnem podpisu smluvních stran.</w:t>
      </w:r>
      <w:r>
        <w:rPr>
          <w:rFonts w:ascii="Segoe UI" w:hAnsi="Segoe UI" w:cs="Segoe UI"/>
          <w:color w:val="00000A"/>
          <w:sz w:val="22"/>
          <w:szCs w:val="22"/>
        </w:rPr>
        <w:t xml:space="preserve"> </w:t>
      </w:r>
      <w:r w:rsidRPr="00B06785">
        <w:rPr>
          <w:rFonts w:ascii="Segoe UI" w:hAnsi="Segoe UI" w:cs="Segoe UI"/>
          <w:color w:val="00000A"/>
          <w:sz w:val="22"/>
          <w:szCs w:val="22"/>
        </w:rPr>
        <w:t>V pochybnostech se má za to, že rozhodující je datum podpisu smluvní strany, která smlouvu podepsala později.</w:t>
      </w:r>
    </w:p>
    <w:p w14:paraId="26252A57" w14:textId="77777777" w:rsidR="00A41FED" w:rsidRDefault="00A41FED" w:rsidP="00A41FED">
      <w:pPr>
        <w:pStyle w:val="Zkladntext"/>
        <w:widowControl/>
        <w:tabs>
          <w:tab w:val="left" w:pos="0"/>
        </w:tabs>
        <w:spacing w:before="60" w:after="60" w:line="240" w:lineRule="auto"/>
        <w:rPr>
          <w:rFonts w:ascii="Segoe UI" w:hAnsi="Segoe UI" w:cs="Segoe UI"/>
          <w:sz w:val="22"/>
          <w:szCs w:val="22"/>
        </w:rPr>
      </w:pPr>
    </w:p>
    <w:p w14:paraId="7AD60047" w14:textId="77777777" w:rsidR="00A41FED" w:rsidRDefault="00A41FED" w:rsidP="00A41FED">
      <w:pPr>
        <w:pStyle w:val="Zkladntext"/>
        <w:widowControl/>
        <w:tabs>
          <w:tab w:val="left" w:pos="0"/>
        </w:tabs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7ED5983A" w14:textId="77777777" w:rsidR="00A41FED" w:rsidRDefault="00A41FED" w:rsidP="00A41FED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633DF3C3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5ABD6212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2E682B66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6D55C03E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0DBD02B6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271DC115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3B85089D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79A83B89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4600E211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2AED8436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p w14:paraId="74F5E3E1" w14:textId="77777777" w:rsidR="00A41FED" w:rsidRDefault="00A41FED" w:rsidP="00A41FED">
      <w:pPr>
        <w:pStyle w:val="Zhlav"/>
        <w:widowControl/>
        <w:tabs>
          <w:tab w:val="left" w:pos="708"/>
        </w:tabs>
        <w:spacing w:line="240" w:lineRule="auto"/>
        <w:rPr>
          <w:rFonts w:ascii="Segoe UI" w:hAnsi="Segoe UI" w:cs="Segoe UI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41FED" w14:paraId="6B882E99" w14:textId="77777777" w:rsidTr="00585B70">
        <w:trPr>
          <w:jc w:val="center"/>
        </w:trPr>
        <w:tc>
          <w:tcPr>
            <w:tcW w:w="4606" w:type="dxa"/>
            <w:hideMark/>
          </w:tcPr>
          <w:p w14:paraId="18342DE5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V Brně dne: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4606" w:type="dxa"/>
          </w:tcPr>
          <w:p w14:paraId="24D1671C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V Brně dne:</w:t>
            </w:r>
          </w:p>
          <w:p w14:paraId="106D6A80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14:paraId="509B755C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14:paraId="76F2217C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14:paraId="41FB94CC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</w:tc>
      </w:tr>
      <w:tr w:rsidR="00A41FED" w14:paraId="5F23E1F1" w14:textId="77777777" w:rsidTr="00585B70">
        <w:trPr>
          <w:jc w:val="center"/>
        </w:trPr>
        <w:tc>
          <w:tcPr>
            <w:tcW w:w="4606" w:type="dxa"/>
          </w:tcPr>
          <w:p w14:paraId="62709146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138227A3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03375FB3" w14:textId="77777777" w:rsidR="00A41FED" w:rsidRDefault="00A41FED" w:rsidP="00585B70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14:paraId="7E5F1470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20A018A8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4606" w:type="dxa"/>
          </w:tcPr>
          <w:p w14:paraId="38DEBB46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53C348E4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05D03237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1F23243A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14:paraId="22317A0C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</w:t>
            </w:r>
          </w:p>
        </w:tc>
      </w:tr>
      <w:tr w:rsidR="00A41FED" w14:paraId="7B71872A" w14:textId="77777777" w:rsidTr="00585B70">
        <w:trPr>
          <w:jc w:val="center"/>
        </w:trPr>
        <w:tc>
          <w:tcPr>
            <w:tcW w:w="4606" w:type="dxa"/>
            <w:hideMark/>
          </w:tcPr>
          <w:p w14:paraId="7E9FD49B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MgA. Martin Glaser</w:t>
            </w:r>
          </w:p>
          <w:p w14:paraId="54AC3A64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ředitel NdB</w:t>
            </w:r>
          </w:p>
          <w:p w14:paraId="6E48E05F" w14:textId="77777777" w:rsidR="00A41FED" w:rsidRDefault="00A41FED" w:rsidP="00585B70">
            <w:pPr>
              <w:spacing w:line="240" w:lineRule="auto"/>
              <w:jc w:val="center"/>
            </w:pPr>
            <w:r>
              <w:rPr>
                <w:rFonts w:ascii="Segoe UI" w:hAnsi="Segoe UI" w:cs="Segoe UI"/>
                <w:bCs/>
                <w:color w:val="000000"/>
                <w:szCs w:val="22"/>
                <w:bdr w:val="none" w:sz="0" w:space="0" w:color="auto" w:frame="1"/>
                <w:shd w:val="clear" w:color="auto" w:fill="F5F5F5"/>
              </w:rPr>
              <w:t>PARTNER</w:t>
            </w:r>
          </w:p>
        </w:tc>
        <w:tc>
          <w:tcPr>
            <w:tcW w:w="4606" w:type="dxa"/>
            <w:hideMark/>
          </w:tcPr>
          <w:p w14:paraId="7CD498BD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PhDr. Juraj Groch</w:t>
            </w:r>
            <w:r>
              <w:rPr>
                <w:rFonts w:ascii="Segoe UI" w:hAnsi="Segoe UI" w:cs="Segoe UI"/>
                <w:sz w:val="22"/>
                <w:szCs w:val="22"/>
              </w:rPr>
              <w:br/>
              <w:t>jednatel</w:t>
            </w:r>
          </w:p>
          <w:p w14:paraId="02F49129" w14:textId="77777777" w:rsidR="00A41FED" w:rsidRDefault="00A41FED" w:rsidP="00585B70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APC</w:t>
            </w:r>
          </w:p>
        </w:tc>
      </w:tr>
    </w:tbl>
    <w:p w14:paraId="4D5B5C15" w14:textId="77777777" w:rsidR="00A41FED" w:rsidRDefault="00A41FED" w:rsidP="00A41FED">
      <w:pPr>
        <w:spacing w:line="240" w:lineRule="auto"/>
        <w:rPr>
          <w:rFonts w:ascii="Segoe UI" w:hAnsi="Segoe UI" w:cs="Segoe UI"/>
        </w:rPr>
      </w:pPr>
    </w:p>
    <w:p w14:paraId="44E86BEB" w14:textId="77777777" w:rsidR="00A41FED" w:rsidRDefault="00A41FED" w:rsidP="00A41FED">
      <w:pPr>
        <w:spacing w:line="240" w:lineRule="auto"/>
        <w:rPr>
          <w:rFonts w:ascii="Segoe UI" w:hAnsi="Segoe UI" w:cs="Segoe UI"/>
        </w:rPr>
      </w:pPr>
    </w:p>
    <w:p w14:paraId="2380EB7E" w14:textId="77777777" w:rsidR="00A41FED" w:rsidRDefault="00A41FED" w:rsidP="00A41FED"/>
    <w:p w14:paraId="23D70170" w14:textId="77777777" w:rsidR="00A53568" w:rsidRDefault="00A53568"/>
    <w:sectPr w:rsidR="00A53568" w:rsidSect="006369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slovanseznam5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48A33EF"/>
    <w:multiLevelType w:val="hybridMultilevel"/>
    <w:tmpl w:val="3F54FA58"/>
    <w:lvl w:ilvl="0" w:tplc="2FE27C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15D53"/>
    <w:multiLevelType w:val="hybridMultilevel"/>
    <w:tmpl w:val="43AA47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E27C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E66BB"/>
    <w:multiLevelType w:val="hybridMultilevel"/>
    <w:tmpl w:val="9E6C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ED"/>
    <w:rsid w:val="005F2049"/>
    <w:rsid w:val="00A41FED"/>
    <w:rsid w:val="00A53568"/>
    <w:rsid w:val="00E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13C9"/>
  <w15:chartTrackingRefBased/>
  <w15:docId w15:val="{1EB5403E-4539-489A-B00A-62533760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41FED"/>
    <w:pPr>
      <w:keepNext/>
      <w:widowControl/>
      <w:tabs>
        <w:tab w:val="left" w:pos="1134"/>
      </w:tabs>
      <w:spacing w:line="240" w:lineRule="auto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41FED"/>
    <w:pPr>
      <w:keepNext/>
      <w:widowControl/>
      <w:tabs>
        <w:tab w:val="left" w:pos="567"/>
      </w:tabs>
      <w:spacing w:line="240" w:lineRule="auto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A41FED"/>
    <w:pPr>
      <w:keepNext/>
      <w:widowControl/>
      <w:overflowPunct w:val="0"/>
      <w:autoSpaceDE w:val="0"/>
      <w:autoSpaceDN w:val="0"/>
      <w:adjustRightInd w:val="0"/>
      <w:spacing w:line="240" w:lineRule="auto"/>
      <w:jc w:val="center"/>
      <w:outlineLvl w:val="3"/>
    </w:pPr>
    <w:rPr>
      <w:sz w:val="36"/>
      <w:lang w:val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A41FED"/>
    <w:pPr>
      <w:keepNext/>
      <w:widowControl/>
      <w:overflowPunct w:val="0"/>
      <w:autoSpaceDE w:val="0"/>
      <w:autoSpaceDN w:val="0"/>
      <w:adjustRightInd w:val="0"/>
      <w:spacing w:line="252" w:lineRule="auto"/>
      <w:jc w:val="center"/>
      <w:outlineLvl w:val="6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41F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A41F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A41FED"/>
    <w:rPr>
      <w:rFonts w:ascii="Times New Roman" w:eastAsia="Times New Roman" w:hAnsi="Times New Roman" w:cs="Times New Roman"/>
      <w:sz w:val="36"/>
      <w:szCs w:val="20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A41FED"/>
    <w:rPr>
      <w:rFonts w:ascii="Arial" w:eastAsia="Times New Roman" w:hAnsi="Arial" w:cs="Arial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1FED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41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1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1F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1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1FED"/>
    <w:pPr>
      <w:widowControl/>
      <w:spacing w:after="120" w:line="240" w:lineRule="auto"/>
      <w:ind w:left="283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1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FED"/>
    <w:pPr>
      <w:spacing w:before="120" w:after="120" w:line="252" w:lineRule="auto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FED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41FED"/>
    <w:pPr>
      <w:widowControl/>
      <w:spacing w:line="240" w:lineRule="auto"/>
      <w:ind w:left="720"/>
      <w:contextualSpacing/>
      <w:jc w:val="left"/>
    </w:pPr>
  </w:style>
  <w:style w:type="paragraph" w:customStyle="1" w:styleId="slovanseznam51">
    <w:name w:val="Číslovaný seznam 51"/>
    <w:basedOn w:val="Normln"/>
    <w:uiPriority w:val="99"/>
    <w:rsid w:val="00A41FED"/>
    <w:pPr>
      <w:widowControl/>
      <w:numPr>
        <w:numId w:val="1"/>
      </w:numPr>
      <w:suppressAutoHyphens/>
      <w:overflowPunct w:val="0"/>
      <w:autoSpaceDE w:val="0"/>
      <w:spacing w:line="240" w:lineRule="auto"/>
      <w:jc w:val="left"/>
    </w:pPr>
    <w:rPr>
      <w:rFonts w:ascii="Tahoma" w:hAnsi="Tahoma" w:cs="Calibri"/>
      <w:sz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F2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04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0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0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0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0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pl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roch@apc-pr.cz" TargetMode="External"/><Relationship Id="rId5" Type="http://schemas.openxmlformats.org/officeDocument/2006/relationships/hyperlink" Target="http://www.ndbrno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2</cp:revision>
  <dcterms:created xsi:type="dcterms:W3CDTF">2021-08-25T14:58:00Z</dcterms:created>
  <dcterms:modified xsi:type="dcterms:W3CDTF">2021-08-25T14:58:00Z</dcterms:modified>
</cp:coreProperties>
</file>