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BFB" w:rsidRDefault="00AE5ACD" w:rsidP="00245818">
      <w:pPr>
        <w:tabs>
          <w:tab w:val="center" w:pos="1349"/>
        </w:tabs>
        <w:spacing w:after="0" w:line="259" w:lineRule="auto"/>
        <w:ind w:right="-635" w:firstLine="0"/>
        <w:jc w:val="left"/>
      </w:pPr>
      <w:r>
        <w:rPr>
          <w:sz w:val="16"/>
        </w:rPr>
        <w:tab/>
        <w:t>Mobilní Rozhlas</w:t>
      </w:r>
      <w:r>
        <w:rPr>
          <w:sz w:val="16"/>
        </w:rPr>
        <w:tab/>
        <w:t>Jednička na trhu SMART komunikace s občany</w:t>
      </w:r>
    </w:p>
    <w:p w:rsidR="006D1BFB" w:rsidRDefault="00AE5ACD">
      <w:pPr>
        <w:spacing w:after="200" w:line="259" w:lineRule="auto"/>
        <w:ind w:right="10" w:firstLine="0"/>
        <w:jc w:val="right"/>
      </w:pPr>
      <w:r>
        <w:t>Více než 1 500 zapojených samospráv a 500 000 občanů</w:t>
      </w:r>
    </w:p>
    <w:p w:rsidR="006D1BFB" w:rsidRDefault="00AE5ACD">
      <w:pPr>
        <w:spacing w:after="0" w:line="259" w:lineRule="auto"/>
        <w:ind w:left="20" w:right="0" w:hanging="10"/>
        <w:jc w:val="center"/>
      </w:pPr>
      <w:r>
        <w:rPr>
          <w:sz w:val="24"/>
        </w:rPr>
        <w:t>DODATEK KE SMLOUVĚ O POSKYTOVÁNÍ SLUŽEB KOMUNIKAČNÍHO EKOSYSTÉMU</w:t>
      </w:r>
    </w:p>
    <w:p w:rsidR="006D1BFB" w:rsidRDefault="00AE5ACD">
      <w:pPr>
        <w:spacing w:after="0" w:line="259" w:lineRule="auto"/>
        <w:ind w:left="20" w:right="10" w:hanging="10"/>
        <w:jc w:val="center"/>
      </w:pPr>
      <w:r>
        <w:rPr>
          <w:sz w:val="24"/>
        </w:rPr>
        <w:t xml:space="preserve">MOBILNÍ ROZHLAS ZE DNE </w:t>
      </w:r>
      <w:proofErr w:type="gramStart"/>
      <w:r>
        <w:rPr>
          <w:sz w:val="24"/>
        </w:rPr>
        <w:t>24.7.2019</w:t>
      </w:r>
      <w:proofErr w:type="gramEnd"/>
      <w:r>
        <w:rPr>
          <w:sz w:val="24"/>
        </w:rPr>
        <w:t xml:space="preserve"> A KE SMLOUVĚ O POSKYTOVÁNÍ SLUŽEB KOMUNIKAČNÍHO EKOSYSTÉMU MOBILNÍ ROZHLAS ZE DNE 30.10.2020</w:t>
      </w:r>
    </w:p>
    <w:tbl>
      <w:tblPr>
        <w:tblStyle w:val="TableGrid"/>
        <w:tblW w:w="8671" w:type="dxa"/>
        <w:tblInd w:w="17" w:type="dxa"/>
        <w:tblLook w:val="04A0" w:firstRow="1" w:lastRow="0" w:firstColumn="1" w:lastColumn="0" w:noHBand="0" w:noVBand="1"/>
      </w:tblPr>
      <w:tblGrid>
        <w:gridCol w:w="6643"/>
        <w:gridCol w:w="2028"/>
      </w:tblGrid>
      <w:tr w:rsidR="006D1BFB">
        <w:trPr>
          <w:trHeight w:val="2105"/>
        </w:trPr>
        <w:tc>
          <w:tcPr>
            <w:tcW w:w="6643" w:type="dxa"/>
            <w:tcBorders>
              <w:top w:val="nil"/>
              <w:left w:val="nil"/>
              <w:bottom w:val="nil"/>
              <w:right w:val="nil"/>
            </w:tcBorders>
          </w:tcPr>
          <w:p w:rsidR="006D1BFB" w:rsidRDefault="006D1BFB">
            <w:pPr>
              <w:spacing w:after="0" w:line="259" w:lineRule="auto"/>
              <w:ind w:left="-1635" w:right="233" w:firstLine="0"/>
              <w:jc w:val="left"/>
            </w:pPr>
          </w:p>
          <w:tbl>
            <w:tblPr>
              <w:tblStyle w:val="TableGrid"/>
              <w:tblW w:w="6410" w:type="dxa"/>
              <w:tblInd w:w="0" w:type="dxa"/>
              <w:tblCellMar>
                <w:top w:w="45" w:type="dxa"/>
                <w:left w:w="94" w:type="dxa"/>
                <w:right w:w="115" w:type="dxa"/>
              </w:tblCellMar>
              <w:tblLook w:val="04A0" w:firstRow="1" w:lastRow="0" w:firstColumn="1" w:lastColumn="0" w:noHBand="0" w:noVBand="1"/>
            </w:tblPr>
            <w:tblGrid>
              <w:gridCol w:w="2149"/>
              <w:gridCol w:w="2132"/>
              <w:gridCol w:w="2129"/>
            </w:tblGrid>
            <w:tr w:rsidR="006D1BFB">
              <w:trPr>
                <w:trHeight w:val="336"/>
              </w:trPr>
              <w:tc>
                <w:tcPr>
                  <w:tcW w:w="2149" w:type="dxa"/>
                  <w:tcBorders>
                    <w:top w:val="single" w:sz="2" w:space="0" w:color="000000"/>
                    <w:left w:val="single" w:sz="2" w:space="0" w:color="000000"/>
                    <w:bottom w:val="single" w:sz="2" w:space="0" w:color="000000"/>
                    <w:right w:val="single" w:sz="2" w:space="0" w:color="000000"/>
                  </w:tcBorders>
                </w:tcPr>
                <w:p w:rsidR="006D1BFB" w:rsidRDefault="006D1BFB">
                  <w:pPr>
                    <w:spacing w:after="160" w:line="259" w:lineRule="auto"/>
                    <w:ind w:right="0" w:firstLine="0"/>
                    <w:jc w:val="left"/>
                  </w:pPr>
                </w:p>
              </w:tc>
              <w:tc>
                <w:tcPr>
                  <w:tcW w:w="2132"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left="13" w:right="0" w:firstLine="0"/>
                    <w:jc w:val="center"/>
                  </w:pPr>
                  <w:r>
                    <w:t>Uživatel</w:t>
                  </w:r>
                </w:p>
              </w:tc>
              <w:tc>
                <w:tcPr>
                  <w:tcW w:w="2129" w:type="dxa"/>
                  <w:tcBorders>
                    <w:top w:val="single" w:sz="2" w:space="0" w:color="000000"/>
                    <w:left w:val="single" w:sz="2" w:space="0" w:color="000000"/>
                    <w:bottom w:val="single" w:sz="2" w:space="0" w:color="000000"/>
                    <w:right w:val="single" w:sz="2" w:space="0" w:color="000000"/>
                  </w:tcBorders>
                </w:tcPr>
                <w:p w:rsidR="006D1BFB" w:rsidRDefault="00AE5ACD">
                  <w:pPr>
                    <w:spacing w:after="0" w:line="259" w:lineRule="auto"/>
                    <w:ind w:left="10" w:right="0" w:firstLine="0"/>
                    <w:jc w:val="center"/>
                  </w:pPr>
                  <w:r>
                    <w:t>Poskytovatel</w:t>
                  </w:r>
                </w:p>
              </w:tc>
            </w:tr>
            <w:tr w:rsidR="006D1BFB">
              <w:trPr>
                <w:trHeight w:val="338"/>
              </w:trPr>
              <w:tc>
                <w:tcPr>
                  <w:tcW w:w="2149"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left="14" w:right="0" w:firstLine="0"/>
                    <w:jc w:val="left"/>
                  </w:pPr>
                  <w:r>
                    <w:t>Název:</w:t>
                  </w:r>
                </w:p>
              </w:tc>
              <w:tc>
                <w:tcPr>
                  <w:tcW w:w="2132"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left="6" w:right="0" w:firstLine="0"/>
                    <w:jc w:val="left"/>
                  </w:pPr>
                  <w:r>
                    <w:t>Město Bílina</w:t>
                  </w:r>
                </w:p>
              </w:tc>
              <w:tc>
                <w:tcPr>
                  <w:tcW w:w="2129" w:type="dxa"/>
                  <w:tcBorders>
                    <w:top w:val="single" w:sz="2" w:space="0" w:color="000000"/>
                    <w:left w:val="single" w:sz="2" w:space="0" w:color="000000"/>
                    <w:bottom w:val="single" w:sz="2" w:space="0" w:color="000000"/>
                    <w:right w:val="single" w:sz="2" w:space="0" w:color="000000"/>
                  </w:tcBorders>
                </w:tcPr>
                <w:p w:rsidR="006D1BFB" w:rsidRDefault="00AE5ACD">
                  <w:pPr>
                    <w:spacing w:after="0" w:line="259" w:lineRule="auto"/>
                    <w:ind w:left="10" w:right="0" w:firstLine="0"/>
                    <w:jc w:val="left"/>
                  </w:pPr>
                  <w:r>
                    <w:t>MUNIPOLIS s.r.o.</w:t>
                  </w:r>
                </w:p>
              </w:tc>
            </w:tr>
            <w:tr w:rsidR="006D1BFB">
              <w:trPr>
                <w:trHeight w:val="337"/>
              </w:trPr>
              <w:tc>
                <w:tcPr>
                  <w:tcW w:w="2149" w:type="dxa"/>
                  <w:tcBorders>
                    <w:top w:val="single" w:sz="2" w:space="0" w:color="000000"/>
                    <w:left w:val="single" w:sz="2" w:space="0" w:color="000000"/>
                    <w:bottom w:val="single" w:sz="2" w:space="0" w:color="000000"/>
                    <w:right w:val="single" w:sz="2" w:space="0" w:color="000000"/>
                  </w:tcBorders>
                </w:tcPr>
                <w:p w:rsidR="006D1BFB" w:rsidRDefault="006D1BFB">
                  <w:pPr>
                    <w:spacing w:after="160" w:line="259" w:lineRule="auto"/>
                    <w:ind w:right="0" w:firstLine="0"/>
                    <w:jc w:val="left"/>
                  </w:pPr>
                </w:p>
              </w:tc>
              <w:tc>
                <w:tcPr>
                  <w:tcW w:w="2132"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left="11" w:right="0" w:firstLine="0"/>
                    <w:jc w:val="left"/>
                  </w:pPr>
                  <w:r>
                    <w:t>00266230</w:t>
                  </w:r>
                </w:p>
              </w:tc>
              <w:tc>
                <w:tcPr>
                  <w:tcW w:w="2129" w:type="dxa"/>
                  <w:tcBorders>
                    <w:top w:val="single" w:sz="2" w:space="0" w:color="000000"/>
                    <w:left w:val="single" w:sz="2" w:space="0" w:color="000000"/>
                    <w:bottom w:val="single" w:sz="2" w:space="0" w:color="000000"/>
                    <w:right w:val="single" w:sz="2" w:space="0" w:color="000000"/>
                  </w:tcBorders>
                </w:tcPr>
                <w:p w:rsidR="006D1BFB" w:rsidRDefault="00AE5ACD">
                  <w:pPr>
                    <w:spacing w:after="0" w:line="259" w:lineRule="auto"/>
                    <w:ind w:left="10" w:right="0" w:firstLine="0"/>
                    <w:jc w:val="left"/>
                  </w:pPr>
                  <w:r>
                    <w:t>29198950</w:t>
                  </w:r>
                </w:p>
              </w:tc>
            </w:tr>
            <w:tr w:rsidR="006D1BFB">
              <w:trPr>
                <w:trHeight w:val="336"/>
              </w:trPr>
              <w:tc>
                <w:tcPr>
                  <w:tcW w:w="2149" w:type="dxa"/>
                  <w:tcBorders>
                    <w:top w:val="single" w:sz="2" w:space="0" w:color="000000"/>
                    <w:left w:val="single" w:sz="2" w:space="0" w:color="000000"/>
                    <w:bottom w:val="single" w:sz="2" w:space="0" w:color="000000"/>
                    <w:right w:val="single" w:sz="2" w:space="0" w:color="000000"/>
                  </w:tcBorders>
                </w:tcPr>
                <w:p w:rsidR="006D1BFB" w:rsidRDefault="00AE5ACD">
                  <w:pPr>
                    <w:spacing w:after="0" w:line="259" w:lineRule="auto"/>
                    <w:ind w:left="14" w:right="0" w:firstLine="0"/>
                    <w:jc w:val="left"/>
                  </w:pPr>
                  <w:r>
                    <w:t>DIČ:</w:t>
                  </w:r>
                </w:p>
              </w:tc>
              <w:tc>
                <w:tcPr>
                  <w:tcW w:w="2132" w:type="dxa"/>
                  <w:tcBorders>
                    <w:top w:val="single" w:sz="2" w:space="0" w:color="000000"/>
                    <w:left w:val="single" w:sz="2" w:space="0" w:color="000000"/>
                    <w:bottom w:val="single" w:sz="2" w:space="0" w:color="000000"/>
                    <w:right w:val="single" w:sz="2" w:space="0" w:color="000000"/>
                  </w:tcBorders>
                </w:tcPr>
                <w:p w:rsidR="006D1BFB" w:rsidRDefault="00AE5ACD">
                  <w:pPr>
                    <w:spacing w:after="0" w:line="259" w:lineRule="auto"/>
                    <w:ind w:left="11" w:right="0" w:firstLine="0"/>
                    <w:jc w:val="left"/>
                  </w:pPr>
                  <w:r>
                    <w:t>CZ 00266230</w:t>
                  </w:r>
                </w:p>
              </w:tc>
              <w:tc>
                <w:tcPr>
                  <w:tcW w:w="2129" w:type="dxa"/>
                  <w:tcBorders>
                    <w:top w:val="single" w:sz="2" w:space="0" w:color="000000"/>
                    <w:left w:val="single" w:sz="2" w:space="0" w:color="000000"/>
                    <w:bottom w:val="single" w:sz="2" w:space="0" w:color="000000"/>
                    <w:right w:val="single" w:sz="2" w:space="0" w:color="000000"/>
                  </w:tcBorders>
                </w:tcPr>
                <w:p w:rsidR="006D1BFB" w:rsidRDefault="00AE5ACD">
                  <w:pPr>
                    <w:spacing w:after="0" w:line="259" w:lineRule="auto"/>
                    <w:ind w:left="10" w:right="0" w:firstLine="0"/>
                    <w:jc w:val="left"/>
                  </w:pPr>
                  <w:r>
                    <w:t>CZ29198950</w:t>
                  </w:r>
                </w:p>
              </w:tc>
            </w:tr>
            <w:tr w:rsidR="006D1BFB">
              <w:trPr>
                <w:trHeight w:val="422"/>
              </w:trPr>
              <w:tc>
                <w:tcPr>
                  <w:tcW w:w="2149"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left="19" w:right="0" w:firstLine="0"/>
                    <w:jc w:val="left"/>
                  </w:pPr>
                  <w:r>
                    <w:t>Sídlo:</w:t>
                  </w:r>
                </w:p>
              </w:tc>
              <w:tc>
                <w:tcPr>
                  <w:tcW w:w="2132" w:type="dxa"/>
                  <w:tcBorders>
                    <w:top w:val="single" w:sz="2" w:space="0" w:color="000000"/>
                    <w:left w:val="single" w:sz="2" w:space="0" w:color="000000"/>
                    <w:bottom w:val="single" w:sz="2" w:space="0" w:color="000000"/>
                    <w:right w:val="single" w:sz="2" w:space="0" w:color="000000"/>
                  </w:tcBorders>
                </w:tcPr>
                <w:p w:rsidR="006D1BFB" w:rsidRDefault="00AE5ACD">
                  <w:pPr>
                    <w:spacing w:line="259" w:lineRule="auto"/>
                    <w:ind w:left="11" w:right="0" w:firstLine="0"/>
                    <w:jc w:val="left"/>
                  </w:pPr>
                  <w:proofErr w:type="spellStart"/>
                  <w:r>
                    <w:t>Břežánská</w:t>
                  </w:r>
                  <w:proofErr w:type="spellEnd"/>
                  <w:r>
                    <w:t xml:space="preserve"> 50/4, 418 01</w:t>
                  </w:r>
                </w:p>
                <w:p w:rsidR="006D1BFB" w:rsidRDefault="00AE5ACD">
                  <w:pPr>
                    <w:spacing w:after="0" w:line="259" w:lineRule="auto"/>
                    <w:ind w:left="6" w:right="0" w:firstLine="0"/>
                    <w:jc w:val="left"/>
                  </w:pPr>
                  <w:r>
                    <w:t>Bílina</w:t>
                  </w:r>
                </w:p>
              </w:tc>
              <w:tc>
                <w:tcPr>
                  <w:tcW w:w="2129" w:type="dxa"/>
                  <w:tcBorders>
                    <w:top w:val="single" w:sz="2" w:space="0" w:color="000000"/>
                    <w:left w:val="single" w:sz="2" w:space="0" w:color="000000"/>
                    <w:bottom w:val="single" w:sz="2" w:space="0" w:color="000000"/>
                    <w:right w:val="single" w:sz="2" w:space="0" w:color="000000"/>
                  </w:tcBorders>
                </w:tcPr>
                <w:p w:rsidR="006D1BFB" w:rsidRDefault="00AE5ACD">
                  <w:pPr>
                    <w:spacing w:after="0" w:line="259" w:lineRule="auto"/>
                    <w:ind w:left="10" w:right="0" w:firstLine="0"/>
                    <w:jc w:val="left"/>
                  </w:pPr>
                  <w:r>
                    <w:t>Londýnské náměstí 886/4, 639 OO Brno</w:t>
                  </w:r>
                </w:p>
              </w:tc>
            </w:tr>
            <w:tr w:rsidR="006D1BFB">
              <w:trPr>
                <w:trHeight w:val="336"/>
              </w:trPr>
              <w:tc>
                <w:tcPr>
                  <w:tcW w:w="2149" w:type="dxa"/>
                  <w:tcBorders>
                    <w:top w:val="single" w:sz="2" w:space="0" w:color="000000"/>
                    <w:left w:val="single" w:sz="2" w:space="0" w:color="000000"/>
                    <w:bottom w:val="single" w:sz="2" w:space="0" w:color="000000"/>
                    <w:right w:val="single" w:sz="2" w:space="0" w:color="000000"/>
                  </w:tcBorders>
                </w:tcPr>
                <w:p w:rsidR="006D1BFB" w:rsidRDefault="00AE5ACD">
                  <w:pPr>
                    <w:spacing w:after="0" w:line="259" w:lineRule="auto"/>
                    <w:ind w:left="14" w:right="0" w:firstLine="0"/>
                    <w:jc w:val="left"/>
                  </w:pPr>
                  <w:r>
                    <w:t>dále jen</w:t>
                  </w:r>
                </w:p>
              </w:tc>
              <w:tc>
                <w:tcPr>
                  <w:tcW w:w="2132" w:type="dxa"/>
                  <w:tcBorders>
                    <w:top w:val="single" w:sz="2" w:space="0" w:color="000000"/>
                    <w:left w:val="single" w:sz="2" w:space="0" w:color="000000"/>
                    <w:bottom w:val="single" w:sz="2" w:space="0" w:color="000000"/>
                    <w:right w:val="single" w:sz="2" w:space="0" w:color="000000"/>
                  </w:tcBorders>
                </w:tcPr>
                <w:p w:rsidR="006D1BFB" w:rsidRDefault="00AE5ACD">
                  <w:pPr>
                    <w:spacing w:after="0" w:line="259" w:lineRule="auto"/>
                    <w:ind w:left="6" w:right="0" w:firstLine="0"/>
                    <w:jc w:val="left"/>
                  </w:pPr>
                  <w:r>
                    <w:t>„ uživatel</w:t>
                  </w:r>
                </w:p>
              </w:tc>
              <w:tc>
                <w:tcPr>
                  <w:tcW w:w="2129" w:type="dxa"/>
                  <w:tcBorders>
                    <w:top w:val="single" w:sz="2" w:space="0" w:color="000000"/>
                    <w:left w:val="single" w:sz="2" w:space="0" w:color="000000"/>
                    <w:bottom w:val="single" w:sz="2" w:space="0" w:color="000000"/>
                    <w:right w:val="single" w:sz="2" w:space="0" w:color="000000"/>
                  </w:tcBorders>
                </w:tcPr>
                <w:p w:rsidR="006D1BFB" w:rsidRDefault="00AE5ACD">
                  <w:pPr>
                    <w:spacing w:after="0" w:line="259" w:lineRule="auto"/>
                    <w:ind w:right="0" w:firstLine="0"/>
                    <w:jc w:val="left"/>
                  </w:pPr>
                  <w:r>
                    <w:t>„poskytovatel ”</w:t>
                  </w:r>
                </w:p>
              </w:tc>
            </w:tr>
          </w:tbl>
          <w:p w:rsidR="006D1BFB" w:rsidRDefault="006D1BFB">
            <w:pPr>
              <w:spacing w:after="160" w:line="259" w:lineRule="auto"/>
              <w:ind w:right="0" w:firstLine="0"/>
              <w:jc w:val="left"/>
            </w:pPr>
          </w:p>
        </w:tc>
        <w:tc>
          <w:tcPr>
            <w:tcW w:w="2028" w:type="dxa"/>
            <w:tcBorders>
              <w:top w:val="nil"/>
              <w:left w:val="nil"/>
              <w:bottom w:val="nil"/>
              <w:right w:val="nil"/>
            </w:tcBorders>
          </w:tcPr>
          <w:p w:rsidR="006D1BFB" w:rsidRDefault="00AE5ACD">
            <w:pPr>
              <w:spacing w:after="0" w:line="259" w:lineRule="auto"/>
              <w:ind w:left="233" w:right="0" w:firstLine="0"/>
              <w:jc w:val="left"/>
            </w:pPr>
            <w:r>
              <w:rPr>
                <w:noProof/>
              </w:rPr>
              <w:drawing>
                <wp:inline distT="0" distB="0" distL="0" distR="0">
                  <wp:extent cx="1139951" cy="1268330"/>
                  <wp:effectExtent l="0" t="0" r="0" b="0"/>
                  <wp:docPr id="17192" name="Picture 17192"/>
                  <wp:cNvGraphicFramePr/>
                  <a:graphic xmlns:a="http://schemas.openxmlformats.org/drawingml/2006/main">
                    <a:graphicData uri="http://schemas.openxmlformats.org/drawingml/2006/picture">
                      <pic:pic xmlns:pic="http://schemas.openxmlformats.org/drawingml/2006/picture">
                        <pic:nvPicPr>
                          <pic:cNvPr id="17192" name="Picture 17192"/>
                          <pic:cNvPicPr/>
                        </pic:nvPicPr>
                        <pic:blipFill>
                          <a:blip r:embed="rId5"/>
                          <a:stretch>
                            <a:fillRect/>
                          </a:stretch>
                        </pic:blipFill>
                        <pic:spPr>
                          <a:xfrm>
                            <a:off x="0" y="0"/>
                            <a:ext cx="1139951" cy="1268330"/>
                          </a:xfrm>
                          <a:prstGeom prst="rect">
                            <a:avLst/>
                          </a:prstGeom>
                        </pic:spPr>
                      </pic:pic>
                    </a:graphicData>
                  </a:graphic>
                </wp:inline>
              </w:drawing>
            </w:r>
          </w:p>
        </w:tc>
      </w:tr>
    </w:tbl>
    <w:p w:rsidR="00DC0DB0" w:rsidRDefault="00AE5ACD">
      <w:pPr>
        <w:tabs>
          <w:tab w:val="center" w:pos="3698"/>
          <w:tab w:val="center" w:pos="4704"/>
        </w:tabs>
        <w:spacing w:after="76" w:line="259" w:lineRule="auto"/>
        <w:ind w:right="0" w:firstLine="0"/>
        <w:jc w:val="left"/>
      </w:pPr>
      <w:r>
        <w:tab/>
      </w:r>
      <w:r w:rsidR="00DC0DB0">
        <w:t xml:space="preserve"> </w:t>
      </w:r>
    </w:p>
    <w:p w:rsidR="006D1BFB" w:rsidRDefault="00DC0DB0" w:rsidP="00DC0DB0">
      <w:pPr>
        <w:pStyle w:val="Odstavecseseznamem"/>
        <w:numPr>
          <w:ilvl w:val="0"/>
          <w:numId w:val="2"/>
        </w:numPr>
        <w:tabs>
          <w:tab w:val="center" w:pos="3698"/>
          <w:tab w:val="center" w:pos="4704"/>
        </w:tabs>
        <w:spacing w:after="76" w:line="259" w:lineRule="auto"/>
        <w:ind w:right="0"/>
        <w:jc w:val="left"/>
      </w:pPr>
      <w:r>
        <w:t xml:space="preserve">   </w:t>
      </w:r>
      <w:bookmarkStart w:id="0" w:name="_GoBack"/>
      <w:bookmarkEnd w:id="0"/>
      <w:r w:rsidR="00AE5ACD">
        <w:t>Předmět dodatku</w:t>
      </w:r>
    </w:p>
    <w:p w:rsidR="006D1BFB" w:rsidRDefault="00AE5ACD">
      <w:pPr>
        <w:spacing w:after="166" w:line="252" w:lineRule="auto"/>
        <w:ind w:left="24" w:right="9" w:hanging="10"/>
      </w:pPr>
      <w:r>
        <w:t>Poskytovatel poskytuje uživateli nevýhradní licenci k užití komunikačního ekosystému Mobilní Rozhlas na dobu trvání smluvního vztahu, a to v rozsahu a způsobem potřebnými pro užívání služeb v souladu s jejich určením. Komunikační ekosystém Mobilní Rozhlas umožňuje uživateli užívat systémy:</w:t>
      </w:r>
    </w:p>
    <w:p w:rsidR="006D1BFB" w:rsidRPr="00245818" w:rsidRDefault="00AE5ACD">
      <w:pPr>
        <w:numPr>
          <w:ilvl w:val="0"/>
          <w:numId w:val="1"/>
        </w:numPr>
        <w:spacing w:after="71" w:line="259" w:lineRule="auto"/>
        <w:ind w:right="9" w:hanging="350"/>
        <w:rPr>
          <w:sz w:val="12"/>
          <w:szCs w:val="12"/>
        </w:rPr>
      </w:pPr>
      <w:r w:rsidRPr="00245818">
        <w:rPr>
          <w:szCs w:val="18"/>
        </w:rPr>
        <w:t xml:space="preserve">Systém pro </w:t>
      </w:r>
      <w:r w:rsidRPr="00245818">
        <w:rPr>
          <w:szCs w:val="18"/>
        </w:rPr>
        <w:tab/>
      </w:r>
      <w:r w:rsidR="00245818">
        <w:rPr>
          <w:szCs w:val="18"/>
        </w:rPr>
        <w:t>SMART komunikaci s</w:t>
      </w:r>
      <w:r w:rsidRPr="00245818">
        <w:rPr>
          <w:szCs w:val="18"/>
        </w:rPr>
        <w:t xml:space="preserve"> občany </w:t>
      </w:r>
      <w:r w:rsidRPr="00245818">
        <w:rPr>
          <w:sz w:val="12"/>
          <w:szCs w:val="12"/>
        </w:rPr>
        <w:t>(SMS až 4 800 ks/min, hlasové zprávy pro nevidomé a slabozraké, e-maily, zprávy do aplikace)</w:t>
      </w:r>
    </w:p>
    <w:p w:rsidR="006D1BFB" w:rsidRDefault="00AE5ACD">
      <w:pPr>
        <w:numPr>
          <w:ilvl w:val="0"/>
          <w:numId w:val="1"/>
        </w:numPr>
        <w:spacing w:after="71" w:line="252" w:lineRule="auto"/>
        <w:ind w:right="9" w:hanging="350"/>
      </w:pPr>
      <w:r>
        <w:t xml:space="preserve">Mobilní aplikace pro chytré telefony (Android i </w:t>
      </w:r>
      <w:proofErr w:type="spellStart"/>
      <w:r>
        <w:t>iOS</w:t>
      </w:r>
      <w:proofErr w:type="spellEnd"/>
      <w:r>
        <w:t xml:space="preserve"> s hodnocením 4+ a více než 100 000 staženími)</w:t>
      </w:r>
    </w:p>
    <w:p w:rsidR="006D1BFB" w:rsidRDefault="00AE5ACD">
      <w:pPr>
        <w:numPr>
          <w:ilvl w:val="0"/>
          <w:numId w:val="1"/>
        </w:numPr>
        <w:spacing w:after="71" w:line="252" w:lineRule="auto"/>
        <w:ind w:right="9" w:hanging="350"/>
      </w:pPr>
      <w:r>
        <w:t>Systém na správu podnětů od občanů (s dispečinkem kontrolujícím relevantnost hlášení)</w:t>
      </w:r>
    </w:p>
    <w:p w:rsidR="006D1BFB" w:rsidRDefault="00AE5ACD">
      <w:pPr>
        <w:numPr>
          <w:ilvl w:val="0"/>
          <w:numId w:val="1"/>
        </w:numPr>
        <w:spacing w:after="71" w:line="252" w:lineRule="auto"/>
        <w:ind w:right="9" w:hanging="350"/>
      </w:pPr>
      <w:r>
        <w:t>Systém pro tvorbu anket a participativních rozpočtů (s ověřením unikátnosti hlasu)</w:t>
      </w:r>
    </w:p>
    <w:p w:rsidR="006D1BFB" w:rsidRDefault="00AE5ACD">
      <w:pPr>
        <w:numPr>
          <w:ilvl w:val="0"/>
          <w:numId w:val="1"/>
        </w:numPr>
        <w:spacing w:after="71" w:line="252" w:lineRule="auto"/>
        <w:ind w:right="9" w:hanging="350"/>
      </w:pPr>
      <w:r>
        <w:t xml:space="preserve">Dynamický webový profil samosprávy na </w:t>
      </w:r>
      <w:r>
        <w:rPr>
          <w:u w:val="single" w:color="000000"/>
        </w:rPr>
        <w:t>www.mobilnirozhlas.cz</w:t>
      </w:r>
      <w:r>
        <w:t>.</w:t>
      </w:r>
    </w:p>
    <w:p w:rsidR="006D1BFB" w:rsidRDefault="00AE5ACD">
      <w:pPr>
        <w:numPr>
          <w:ilvl w:val="0"/>
          <w:numId w:val="1"/>
        </w:numPr>
        <w:spacing w:after="71" w:line="252" w:lineRule="auto"/>
        <w:ind w:right="9" w:hanging="350"/>
      </w:pPr>
      <w:r>
        <w:t xml:space="preserve">Systém automatického propojení s </w:t>
      </w:r>
      <w:proofErr w:type="spellStart"/>
      <w:r>
        <w:t>facebookovými</w:t>
      </w:r>
      <w:proofErr w:type="spellEnd"/>
      <w:r>
        <w:t xml:space="preserve"> stránkami samosprávy</w:t>
      </w:r>
    </w:p>
    <w:p w:rsidR="006D1BFB" w:rsidRDefault="00AE5ACD">
      <w:pPr>
        <w:numPr>
          <w:ilvl w:val="0"/>
          <w:numId w:val="1"/>
        </w:numPr>
        <w:spacing w:after="71" w:line="252" w:lineRule="auto"/>
        <w:ind w:right="9" w:hanging="350"/>
      </w:pPr>
      <w:r>
        <w:t>Automatické propojení na Systém doplňkové výstrahy občanů (</w:t>
      </w:r>
      <w:r>
        <w:rPr>
          <w:u w:val="single" w:color="000000"/>
        </w:rPr>
        <w:t>www.sdvo.cz</w:t>
      </w:r>
      <w:r>
        <w:t>)</w:t>
      </w:r>
    </w:p>
    <w:p w:rsidR="006D1BFB" w:rsidRDefault="00AE5ACD">
      <w:pPr>
        <w:numPr>
          <w:ilvl w:val="0"/>
          <w:numId w:val="1"/>
        </w:numPr>
        <w:spacing w:after="101" w:line="252" w:lineRule="auto"/>
        <w:ind w:right="9" w:hanging="350"/>
      </w:pPr>
      <w:r>
        <w:t xml:space="preserve">Systém propojení s web. stránkami (automatické zprávy e-mailem, do </w:t>
      </w:r>
      <w:proofErr w:type="gramStart"/>
      <w:r>
        <w:t>aplikace I.2 a na</w:t>
      </w:r>
      <w:proofErr w:type="gramEnd"/>
      <w:r>
        <w:t xml:space="preserve"> webový profil 1.5)</w:t>
      </w:r>
    </w:p>
    <w:p w:rsidR="006D1BFB" w:rsidRDefault="00AE5ACD">
      <w:pPr>
        <w:spacing w:after="349" w:line="252" w:lineRule="auto"/>
        <w:ind w:left="34" w:right="9" w:hanging="10"/>
      </w:pPr>
      <w:r>
        <w:t>Systém pro SMART komunikaci pro školy, školky a další instituce je možné objednat samostatně.</w:t>
      </w:r>
    </w:p>
    <w:p w:rsidR="006D1BFB" w:rsidRDefault="00AE5ACD">
      <w:pPr>
        <w:numPr>
          <w:ilvl w:val="1"/>
          <w:numId w:val="1"/>
        </w:numPr>
        <w:spacing w:after="0" w:line="259" w:lineRule="auto"/>
        <w:ind w:right="48" w:hanging="509"/>
        <w:jc w:val="center"/>
      </w:pPr>
      <w:r>
        <w:t>Licence a cena</w:t>
      </w:r>
    </w:p>
    <w:tbl>
      <w:tblPr>
        <w:tblStyle w:val="TableGrid"/>
        <w:tblW w:w="8726" w:type="dxa"/>
        <w:tblInd w:w="14" w:type="dxa"/>
        <w:tblCellMar>
          <w:top w:w="94" w:type="dxa"/>
          <w:left w:w="115" w:type="dxa"/>
          <w:right w:w="110" w:type="dxa"/>
        </w:tblCellMar>
        <w:tblLook w:val="04A0" w:firstRow="1" w:lastRow="0" w:firstColumn="1" w:lastColumn="0" w:noHBand="0" w:noVBand="1"/>
      </w:tblPr>
      <w:tblGrid>
        <w:gridCol w:w="8726"/>
      </w:tblGrid>
      <w:tr w:rsidR="006D1BFB">
        <w:trPr>
          <w:trHeight w:val="1691"/>
        </w:trPr>
        <w:tc>
          <w:tcPr>
            <w:tcW w:w="8726" w:type="dxa"/>
            <w:tcBorders>
              <w:top w:val="single" w:sz="2" w:space="0" w:color="000000"/>
              <w:left w:val="single" w:sz="2" w:space="0" w:color="000000"/>
              <w:bottom w:val="single" w:sz="2" w:space="0" w:color="000000"/>
              <w:right w:val="single" w:sz="2" w:space="0" w:color="000000"/>
            </w:tcBorders>
          </w:tcPr>
          <w:p w:rsidR="006D1BFB" w:rsidRDefault="00AE5ACD">
            <w:pPr>
              <w:spacing w:after="110" w:line="259" w:lineRule="auto"/>
              <w:ind w:left="350" w:right="0" w:firstLine="0"/>
              <w:jc w:val="center"/>
            </w:pPr>
            <w:r>
              <w:rPr>
                <w:sz w:val="16"/>
              </w:rPr>
              <w:t>Mobilní Rozhlas ”OPTIMAL”</w:t>
            </w:r>
          </w:p>
          <w:p w:rsidR="006D1BFB" w:rsidRPr="00245818" w:rsidRDefault="00AE5ACD">
            <w:pPr>
              <w:spacing w:after="37" w:line="259" w:lineRule="auto"/>
              <w:ind w:left="360" w:right="0" w:firstLine="0"/>
              <w:jc w:val="center"/>
              <w:rPr>
                <w:color w:val="385623" w:themeColor="accent6" w:themeShade="80"/>
              </w:rPr>
            </w:pPr>
            <w:r w:rsidRPr="00245818">
              <w:rPr>
                <w:color w:val="385623" w:themeColor="accent6" w:themeShade="80"/>
                <w:sz w:val="24"/>
              </w:rPr>
              <w:t>Cena 6 990 Kč / měsíc</w:t>
            </w:r>
          </w:p>
          <w:p w:rsidR="006D1BFB" w:rsidRDefault="00AE5ACD">
            <w:pPr>
              <w:spacing w:after="103" w:line="259" w:lineRule="auto"/>
              <w:ind w:left="24" w:right="0" w:firstLine="0"/>
              <w:jc w:val="left"/>
            </w:pPr>
            <w:r>
              <w:t>Licence obsahuje celý ekosystém (I. 1-1.8) pro všechny typy komunikace.</w:t>
            </w:r>
          </w:p>
          <w:p w:rsidR="006D1BFB" w:rsidRDefault="00AE5ACD">
            <w:pPr>
              <w:spacing w:after="0" w:line="259" w:lineRule="auto"/>
              <w:ind w:left="24" w:right="0" w:hanging="24"/>
            </w:pPr>
            <w:r>
              <w:t>Online / telefonické školení ZDARMA. Balíček propagačních materiálů (aktuální FB posty, texty, manuál FB komunikace, bannery na web, články do zpravodaje) je k dispozici ZDARMA.</w:t>
            </w:r>
          </w:p>
        </w:tc>
      </w:tr>
    </w:tbl>
    <w:p w:rsidR="006D1BFB" w:rsidRDefault="00AE5ACD">
      <w:pPr>
        <w:numPr>
          <w:ilvl w:val="1"/>
          <w:numId w:val="1"/>
        </w:numPr>
        <w:spacing w:after="0" w:line="259" w:lineRule="auto"/>
        <w:ind w:right="48" w:hanging="509"/>
        <w:jc w:val="center"/>
      </w:pPr>
      <w:r>
        <w:t>Doplňkové služby (zvolte zaškrtnutím)</w:t>
      </w:r>
    </w:p>
    <w:p w:rsidR="006D1BFB" w:rsidRDefault="00AE5ACD">
      <w:pPr>
        <w:spacing w:after="50" w:line="259" w:lineRule="auto"/>
        <w:ind w:left="279" w:right="154" w:hanging="10"/>
        <w:jc w:val="center"/>
      </w:pPr>
      <w:r>
        <w:rPr>
          <w:noProof/>
        </w:rPr>
        <w:drawing>
          <wp:anchor distT="0" distB="0" distL="114300" distR="114300" simplePos="0" relativeHeight="251658240" behindDoc="0" locked="0" layoutInCell="1" allowOverlap="0">
            <wp:simplePos x="0" y="0"/>
            <wp:positionH relativeFrom="column">
              <wp:posOffset>94488</wp:posOffset>
            </wp:positionH>
            <wp:positionV relativeFrom="paragraph">
              <wp:posOffset>-33830</wp:posOffset>
            </wp:positionV>
            <wp:extent cx="164592" cy="487819"/>
            <wp:effectExtent l="0" t="0" r="0" b="0"/>
            <wp:wrapSquare wrapText="bothSides"/>
            <wp:docPr id="4855" name="Picture 4855"/>
            <wp:cNvGraphicFramePr/>
            <a:graphic xmlns:a="http://schemas.openxmlformats.org/drawingml/2006/main">
              <a:graphicData uri="http://schemas.openxmlformats.org/drawingml/2006/picture">
                <pic:pic xmlns:pic="http://schemas.openxmlformats.org/drawingml/2006/picture">
                  <pic:nvPicPr>
                    <pic:cNvPr id="4855" name="Picture 4855"/>
                    <pic:cNvPicPr/>
                  </pic:nvPicPr>
                  <pic:blipFill>
                    <a:blip r:embed="rId6"/>
                    <a:stretch>
                      <a:fillRect/>
                    </a:stretch>
                  </pic:blipFill>
                  <pic:spPr>
                    <a:xfrm>
                      <a:off x="0" y="0"/>
                      <a:ext cx="164592" cy="487819"/>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3645408</wp:posOffset>
            </wp:positionH>
            <wp:positionV relativeFrom="paragraph">
              <wp:posOffset>255812</wp:posOffset>
            </wp:positionV>
            <wp:extent cx="557784" cy="15244"/>
            <wp:effectExtent l="0" t="0" r="0" b="0"/>
            <wp:wrapSquare wrapText="bothSides"/>
            <wp:docPr id="4853" name="Picture 4853"/>
            <wp:cNvGraphicFramePr/>
            <a:graphic xmlns:a="http://schemas.openxmlformats.org/drawingml/2006/main">
              <a:graphicData uri="http://schemas.openxmlformats.org/drawingml/2006/picture">
                <pic:pic xmlns:pic="http://schemas.openxmlformats.org/drawingml/2006/picture">
                  <pic:nvPicPr>
                    <pic:cNvPr id="4853" name="Picture 4853"/>
                    <pic:cNvPicPr/>
                  </pic:nvPicPr>
                  <pic:blipFill>
                    <a:blip r:embed="rId7"/>
                    <a:stretch>
                      <a:fillRect/>
                    </a:stretch>
                  </pic:blipFill>
                  <pic:spPr>
                    <a:xfrm>
                      <a:off x="0" y="0"/>
                      <a:ext cx="557784" cy="15244"/>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column">
              <wp:posOffset>2609088</wp:posOffset>
            </wp:positionH>
            <wp:positionV relativeFrom="paragraph">
              <wp:posOffset>420450</wp:posOffset>
            </wp:positionV>
            <wp:extent cx="554736" cy="12195"/>
            <wp:effectExtent l="0" t="0" r="0" b="0"/>
            <wp:wrapSquare wrapText="bothSides"/>
            <wp:docPr id="4854" name="Picture 4854"/>
            <wp:cNvGraphicFramePr/>
            <a:graphic xmlns:a="http://schemas.openxmlformats.org/drawingml/2006/main">
              <a:graphicData uri="http://schemas.openxmlformats.org/drawingml/2006/picture">
                <pic:pic xmlns:pic="http://schemas.openxmlformats.org/drawingml/2006/picture">
                  <pic:nvPicPr>
                    <pic:cNvPr id="4854" name="Picture 4854"/>
                    <pic:cNvPicPr/>
                  </pic:nvPicPr>
                  <pic:blipFill>
                    <a:blip r:embed="rId8"/>
                    <a:stretch>
                      <a:fillRect/>
                    </a:stretch>
                  </pic:blipFill>
                  <pic:spPr>
                    <a:xfrm>
                      <a:off x="0" y="0"/>
                      <a:ext cx="554736" cy="12195"/>
                    </a:xfrm>
                    <a:prstGeom prst="rect">
                      <a:avLst/>
                    </a:prstGeom>
                  </pic:spPr>
                </pic:pic>
              </a:graphicData>
            </a:graphic>
          </wp:anchor>
        </w:drawing>
      </w:r>
      <w:r>
        <w:t>Osobní školení (max. IO osob). Cena školení 4 900 Kč — v ceně je dojezd a 3 hodiny práce odborného školitele.</w:t>
      </w:r>
    </w:p>
    <w:p w:rsidR="006D1BFB" w:rsidRDefault="00AE5ACD">
      <w:pPr>
        <w:spacing w:after="258" w:line="336" w:lineRule="auto"/>
        <w:ind w:left="192" w:right="9" w:hanging="10"/>
      </w:pPr>
      <w:r>
        <w:t xml:space="preserve">Chytrý zpravodaj (digitalizace obecního zpravodaje). Měsíční cena </w:t>
      </w:r>
      <w:proofErr w:type="spellStart"/>
      <w:r>
        <w:t>službyKč</w:t>
      </w:r>
      <w:proofErr w:type="spellEnd"/>
      <w:r>
        <w:t xml:space="preserve"> (při roční platbě). Profesionální propagační kampaň. Cena kampaně Kč.</w:t>
      </w:r>
    </w:p>
    <w:p w:rsidR="006D1BFB" w:rsidRDefault="00AE5ACD">
      <w:pPr>
        <w:numPr>
          <w:ilvl w:val="1"/>
          <w:numId w:val="1"/>
        </w:numPr>
        <w:spacing w:after="0" w:line="259" w:lineRule="auto"/>
        <w:ind w:right="48" w:hanging="509"/>
        <w:jc w:val="center"/>
      </w:pPr>
      <w:r>
        <w:t>Platby, trvání smluvního vztahu, jednoduché ukončení</w:t>
      </w:r>
    </w:p>
    <w:tbl>
      <w:tblPr>
        <w:tblStyle w:val="TableGrid"/>
        <w:tblW w:w="8828" w:type="dxa"/>
        <w:tblInd w:w="17" w:type="dxa"/>
        <w:tblCellMar>
          <w:top w:w="22" w:type="dxa"/>
          <w:left w:w="19" w:type="dxa"/>
          <w:right w:w="27" w:type="dxa"/>
        </w:tblCellMar>
        <w:tblLook w:val="04A0" w:firstRow="1" w:lastRow="0" w:firstColumn="1" w:lastColumn="0" w:noHBand="0" w:noVBand="1"/>
      </w:tblPr>
      <w:tblGrid>
        <w:gridCol w:w="1766"/>
        <w:gridCol w:w="1649"/>
        <w:gridCol w:w="1640"/>
        <w:gridCol w:w="1653"/>
        <w:gridCol w:w="2120"/>
      </w:tblGrid>
      <w:tr w:rsidR="006D1BFB">
        <w:trPr>
          <w:trHeight w:val="390"/>
        </w:trPr>
        <w:tc>
          <w:tcPr>
            <w:tcW w:w="1766"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left="3" w:right="0" w:firstLine="0"/>
              <w:jc w:val="center"/>
            </w:pPr>
            <w:r>
              <w:rPr>
                <w:sz w:val="16"/>
              </w:rPr>
              <w:t>Začátek doby plnění</w:t>
            </w:r>
          </w:p>
        </w:tc>
        <w:tc>
          <w:tcPr>
            <w:tcW w:w="1649"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left="1" w:right="0" w:firstLine="0"/>
              <w:jc w:val="center"/>
            </w:pPr>
            <w:r>
              <w:rPr>
                <w:sz w:val="16"/>
              </w:rPr>
              <w:t xml:space="preserve">Trvání plnění </w:t>
            </w:r>
            <w:proofErr w:type="gramStart"/>
            <w:r>
              <w:rPr>
                <w:sz w:val="16"/>
              </w:rPr>
              <w:t>do</w:t>
            </w:r>
            <w:proofErr w:type="gramEnd"/>
          </w:p>
        </w:tc>
        <w:tc>
          <w:tcPr>
            <w:tcW w:w="1640"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right="5" w:firstLine="0"/>
              <w:jc w:val="center"/>
            </w:pPr>
            <w:r>
              <w:rPr>
                <w:sz w:val="16"/>
              </w:rPr>
              <w:t>Počet obyv. uživatele</w:t>
            </w:r>
          </w:p>
        </w:tc>
        <w:tc>
          <w:tcPr>
            <w:tcW w:w="1653" w:type="dxa"/>
            <w:tcBorders>
              <w:top w:val="single" w:sz="2" w:space="0" w:color="000000"/>
              <w:left w:val="single" w:sz="2" w:space="0" w:color="000000"/>
              <w:bottom w:val="single" w:sz="2" w:space="0" w:color="000000"/>
              <w:right w:val="single" w:sz="2" w:space="0" w:color="000000"/>
            </w:tcBorders>
          </w:tcPr>
          <w:p w:rsidR="006D1BFB" w:rsidRDefault="00AE5ACD">
            <w:pPr>
              <w:spacing w:after="0" w:line="259" w:lineRule="auto"/>
              <w:ind w:right="0" w:firstLine="0"/>
              <w:jc w:val="center"/>
            </w:pPr>
            <w:r>
              <w:rPr>
                <w:sz w:val="16"/>
              </w:rPr>
              <w:t>Interval platby (počet</w:t>
            </w:r>
          </w:p>
          <w:p w:rsidR="006D1BFB" w:rsidRDefault="00AE5ACD">
            <w:pPr>
              <w:spacing w:after="0" w:line="259" w:lineRule="auto"/>
              <w:ind w:right="5" w:firstLine="0"/>
              <w:jc w:val="center"/>
            </w:pPr>
            <w:r>
              <w:rPr>
                <w:sz w:val="12"/>
              </w:rPr>
              <w:t>let)</w:t>
            </w:r>
          </w:p>
        </w:tc>
        <w:tc>
          <w:tcPr>
            <w:tcW w:w="2120" w:type="dxa"/>
            <w:tcBorders>
              <w:top w:val="single" w:sz="2" w:space="0" w:color="000000"/>
              <w:left w:val="single" w:sz="2" w:space="0" w:color="000000"/>
              <w:bottom w:val="single" w:sz="2" w:space="0" w:color="000000"/>
              <w:right w:val="single" w:sz="2" w:space="0" w:color="000000"/>
            </w:tcBorders>
          </w:tcPr>
          <w:p w:rsidR="006D1BFB" w:rsidRDefault="00AE5ACD">
            <w:pPr>
              <w:spacing w:after="0" w:line="259" w:lineRule="auto"/>
              <w:ind w:right="0" w:firstLine="0"/>
              <w:jc w:val="left"/>
            </w:pPr>
            <w:r>
              <w:rPr>
                <w:noProof/>
              </w:rPr>
              <w:drawing>
                <wp:inline distT="0" distB="0" distL="0" distR="0">
                  <wp:extent cx="1316736" cy="213421"/>
                  <wp:effectExtent l="0" t="0" r="0" b="0"/>
                  <wp:docPr id="17194" name="Picture 17194"/>
                  <wp:cNvGraphicFramePr/>
                  <a:graphic xmlns:a="http://schemas.openxmlformats.org/drawingml/2006/main">
                    <a:graphicData uri="http://schemas.openxmlformats.org/drawingml/2006/picture">
                      <pic:pic xmlns:pic="http://schemas.openxmlformats.org/drawingml/2006/picture">
                        <pic:nvPicPr>
                          <pic:cNvPr id="17194" name="Picture 17194"/>
                          <pic:cNvPicPr/>
                        </pic:nvPicPr>
                        <pic:blipFill>
                          <a:blip r:embed="rId9"/>
                          <a:stretch>
                            <a:fillRect/>
                          </a:stretch>
                        </pic:blipFill>
                        <pic:spPr>
                          <a:xfrm>
                            <a:off x="0" y="0"/>
                            <a:ext cx="1316736" cy="213421"/>
                          </a:xfrm>
                          <a:prstGeom prst="rect">
                            <a:avLst/>
                          </a:prstGeom>
                        </pic:spPr>
                      </pic:pic>
                    </a:graphicData>
                  </a:graphic>
                </wp:inline>
              </w:drawing>
            </w:r>
          </w:p>
        </w:tc>
      </w:tr>
      <w:tr w:rsidR="006D1BFB">
        <w:trPr>
          <w:trHeight w:val="341"/>
        </w:trPr>
        <w:tc>
          <w:tcPr>
            <w:tcW w:w="1766"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left="3" w:right="0" w:firstLine="0"/>
              <w:jc w:val="center"/>
            </w:pPr>
            <w:proofErr w:type="gramStart"/>
            <w:r>
              <w:t>1.11. 2021</w:t>
            </w:r>
            <w:proofErr w:type="gramEnd"/>
          </w:p>
        </w:tc>
        <w:tc>
          <w:tcPr>
            <w:tcW w:w="1649"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right="4" w:firstLine="0"/>
              <w:jc w:val="center"/>
            </w:pPr>
            <w:proofErr w:type="gramStart"/>
            <w:r>
              <w:t>31.10. 2022</w:t>
            </w:r>
            <w:proofErr w:type="gramEnd"/>
          </w:p>
        </w:tc>
        <w:tc>
          <w:tcPr>
            <w:tcW w:w="1640"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left="10" w:right="0" w:firstLine="0"/>
              <w:jc w:val="center"/>
            </w:pPr>
            <w:r>
              <w:t>15 000</w:t>
            </w:r>
          </w:p>
        </w:tc>
        <w:tc>
          <w:tcPr>
            <w:tcW w:w="1653"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right="10" w:firstLine="0"/>
              <w:jc w:val="center"/>
            </w:pPr>
            <w:r>
              <w:t>1</w:t>
            </w:r>
          </w:p>
        </w:tc>
        <w:tc>
          <w:tcPr>
            <w:tcW w:w="2120" w:type="dxa"/>
            <w:tcBorders>
              <w:top w:val="single" w:sz="2" w:space="0" w:color="000000"/>
              <w:left w:val="single" w:sz="2" w:space="0" w:color="000000"/>
              <w:bottom w:val="single" w:sz="2" w:space="0" w:color="000000"/>
              <w:right w:val="single" w:sz="2" w:space="0" w:color="000000"/>
            </w:tcBorders>
          </w:tcPr>
          <w:p w:rsidR="006D1BFB" w:rsidRDefault="00AE5ACD">
            <w:pPr>
              <w:spacing w:after="0" w:line="259" w:lineRule="auto"/>
              <w:ind w:right="0" w:firstLine="0"/>
              <w:jc w:val="center"/>
            </w:pPr>
            <w:r>
              <w:t>83 880</w:t>
            </w:r>
          </w:p>
        </w:tc>
      </w:tr>
    </w:tbl>
    <w:p w:rsidR="006D1BFB" w:rsidRDefault="00AE5ACD">
      <w:pPr>
        <w:spacing w:after="71" w:line="252" w:lineRule="auto"/>
        <w:ind w:left="29" w:right="9" w:hanging="10"/>
      </w:pPr>
      <w:r>
        <w:t>Uživatel se zavazuje poskytovateli řádně a včas hradit cenu stanovenou v této objednávce. Objednávka se uzavírá na dobu určitou. Pokud kterákoliv smluvní strana písemně formou dopisu neoznámí druhé smluvní straně, že trvá na ukončení smluvního vztahu, a to nejpozději 2 měsíce před sjednaným datem ukončení poskytování služeb dle objednávky, tak po uplynutí doby trvání smluvního vztahu se objednávka automaticky prodlužuje o jeden rok, a to opakovaně. Ceny SMS a hlasových zpráv se při automatickém prodloužení řídí ceníkem poskytovatele platným ke dni prodloužení smluvního vztahu, není-li uvedeno jinak.</w:t>
      </w:r>
    </w:p>
    <w:p w:rsidR="006D1BFB" w:rsidRDefault="00AE5ACD">
      <w:pPr>
        <w:tabs>
          <w:tab w:val="center" w:pos="1351"/>
          <w:tab w:val="right" w:pos="8722"/>
        </w:tabs>
        <w:spacing w:after="0" w:line="259" w:lineRule="auto"/>
        <w:ind w:right="0" w:firstLine="0"/>
        <w:jc w:val="left"/>
      </w:pPr>
      <w:r>
        <w:rPr>
          <w:sz w:val="16"/>
        </w:rPr>
        <w:lastRenderedPageBreak/>
        <w:tab/>
        <w:t>Mobilní Rozhlas</w:t>
      </w:r>
      <w:r>
        <w:rPr>
          <w:sz w:val="16"/>
        </w:rPr>
        <w:tab/>
        <w:t>Jednička na trhu SMART komunikace s občany</w:t>
      </w:r>
    </w:p>
    <w:p w:rsidR="006D1BFB" w:rsidRDefault="00AE5ACD">
      <w:pPr>
        <w:spacing w:after="171" w:line="259" w:lineRule="auto"/>
        <w:ind w:left="10" w:right="-15" w:hanging="10"/>
        <w:jc w:val="right"/>
      </w:pPr>
      <w:r>
        <w:t>Více než 1 500 zapojených samospráv a 500 000 občanů</w:t>
      </w:r>
    </w:p>
    <w:p w:rsidR="006D1BFB" w:rsidRDefault="00AE5ACD">
      <w:pPr>
        <w:numPr>
          <w:ilvl w:val="1"/>
          <w:numId w:val="1"/>
        </w:numPr>
        <w:spacing w:after="0" w:line="259" w:lineRule="auto"/>
        <w:ind w:right="48" w:hanging="509"/>
        <w:jc w:val="center"/>
      </w:pPr>
      <w:r>
        <w:t>Ceny komunikačních kanálů</w:t>
      </w:r>
    </w:p>
    <w:tbl>
      <w:tblPr>
        <w:tblStyle w:val="TableGrid"/>
        <w:tblW w:w="8823" w:type="dxa"/>
        <w:tblInd w:w="12" w:type="dxa"/>
        <w:tblCellMar>
          <w:top w:w="82" w:type="dxa"/>
          <w:left w:w="115" w:type="dxa"/>
          <w:right w:w="115" w:type="dxa"/>
        </w:tblCellMar>
        <w:tblLook w:val="04A0" w:firstRow="1" w:lastRow="0" w:firstColumn="1" w:lastColumn="0" w:noHBand="0" w:noVBand="1"/>
      </w:tblPr>
      <w:tblGrid>
        <w:gridCol w:w="1858"/>
        <w:gridCol w:w="1742"/>
        <w:gridCol w:w="1728"/>
        <w:gridCol w:w="1742"/>
        <w:gridCol w:w="1753"/>
      </w:tblGrid>
      <w:tr w:rsidR="006D1BFB">
        <w:trPr>
          <w:trHeight w:val="478"/>
        </w:trPr>
        <w:tc>
          <w:tcPr>
            <w:tcW w:w="1858"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left="10" w:right="0" w:firstLine="0"/>
              <w:jc w:val="center"/>
            </w:pPr>
            <w:r>
              <w:rPr>
                <w:sz w:val="16"/>
              </w:rPr>
              <w:t>SMS zpráva do čR</w:t>
            </w:r>
            <w:r>
              <w:rPr>
                <w:sz w:val="16"/>
                <w:vertAlign w:val="superscript"/>
              </w:rPr>
              <w:t>4</w:t>
            </w:r>
          </w:p>
        </w:tc>
        <w:tc>
          <w:tcPr>
            <w:tcW w:w="1742" w:type="dxa"/>
            <w:tcBorders>
              <w:top w:val="single" w:sz="2" w:space="0" w:color="000000"/>
              <w:left w:val="single" w:sz="2" w:space="0" w:color="000000"/>
              <w:bottom w:val="single" w:sz="2" w:space="0" w:color="000000"/>
              <w:right w:val="single" w:sz="2" w:space="0" w:color="000000"/>
            </w:tcBorders>
          </w:tcPr>
          <w:p w:rsidR="006D1BFB" w:rsidRDefault="00AE5ACD">
            <w:pPr>
              <w:spacing w:after="0" w:line="259" w:lineRule="auto"/>
              <w:ind w:left="170" w:right="180" w:firstLine="0"/>
              <w:jc w:val="center"/>
            </w:pPr>
            <w:r>
              <w:rPr>
                <w:sz w:val="16"/>
              </w:rPr>
              <w:t>Hlasová zpráva do čR</w:t>
            </w:r>
            <w:r>
              <w:rPr>
                <w:sz w:val="16"/>
                <w:vertAlign w:val="superscript"/>
              </w:rPr>
              <w:t>5</w:t>
            </w:r>
          </w:p>
        </w:tc>
        <w:tc>
          <w:tcPr>
            <w:tcW w:w="1728" w:type="dxa"/>
            <w:tcBorders>
              <w:top w:val="single" w:sz="2" w:space="0" w:color="000000"/>
              <w:left w:val="single" w:sz="2" w:space="0" w:color="000000"/>
              <w:bottom w:val="single" w:sz="2" w:space="0" w:color="000000"/>
              <w:right w:val="single" w:sz="2" w:space="0" w:color="000000"/>
            </w:tcBorders>
          </w:tcPr>
          <w:p w:rsidR="006D1BFB" w:rsidRDefault="00AE5ACD">
            <w:pPr>
              <w:spacing w:after="0" w:line="259" w:lineRule="auto"/>
              <w:ind w:right="0" w:firstLine="0"/>
              <w:jc w:val="center"/>
            </w:pPr>
            <w:r>
              <w:rPr>
                <w:sz w:val="16"/>
              </w:rPr>
              <w:t>Zpráva do mobilní aplikace</w:t>
            </w:r>
          </w:p>
        </w:tc>
        <w:tc>
          <w:tcPr>
            <w:tcW w:w="1742"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right="5" w:firstLine="0"/>
              <w:jc w:val="center"/>
            </w:pPr>
            <w:r>
              <w:rPr>
                <w:sz w:val="16"/>
              </w:rPr>
              <w:t>E-mailová zpráva</w:t>
            </w:r>
          </w:p>
        </w:tc>
        <w:tc>
          <w:tcPr>
            <w:tcW w:w="1753"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right="1" w:firstLine="0"/>
              <w:jc w:val="center"/>
            </w:pPr>
            <w:r>
              <w:rPr>
                <w:sz w:val="16"/>
              </w:rPr>
              <w:t>Podnět od občana</w:t>
            </w:r>
          </w:p>
        </w:tc>
      </w:tr>
      <w:tr w:rsidR="006D1BFB">
        <w:trPr>
          <w:trHeight w:val="335"/>
        </w:trPr>
        <w:tc>
          <w:tcPr>
            <w:tcW w:w="1858"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right="0" w:firstLine="0"/>
              <w:jc w:val="center"/>
            </w:pPr>
            <w:r>
              <w:rPr>
                <w:sz w:val="16"/>
              </w:rPr>
              <w:t>0,89 Kč / ks</w:t>
            </w:r>
          </w:p>
        </w:tc>
        <w:tc>
          <w:tcPr>
            <w:tcW w:w="1742" w:type="dxa"/>
            <w:tcBorders>
              <w:top w:val="single" w:sz="2" w:space="0" w:color="000000"/>
              <w:left w:val="single" w:sz="2" w:space="0" w:color="000000"/>
              <w:bottom w:val="single" w:sz="2" w:space="0" w:color="000000"/>
              <w:right w:val="single" w:sz="2" w:space="0" w:color="000000"/>
            </w:tcBorders>
          </w:tcPr>
          <w:p w:rsidR="006D1BFB" w:rsidRDefault="00AE5ACD">
            <w:pPr>
              <w:spacing w:after="0" w:line="259" w:lineRule="auto"/>
              <w:ind w:right="5" w:firstLine="0"/>
              <w:jc w:val="center"/>
            </w:pPr>
            <w:r>
              <w:rPr>
                <w:sz w:val="16"/>
              </w:rPr>
              <w:t>0,99 Kč /30 s</w:t>
            </w:r>
          </w:p>
        </w:tc>
        <w:tc>
          <w:tcPr>
            <w:tcW w:w="1728"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right="5" w:firstLine="0"/>
              <w:jc w:val="center"/>
            </w:pPr>
            <w:r>
              <w:rPr>
                <w:sz w:val="16"/>
              </w:rPr>
              <w:t>ZDARMA</w:t>
            </w:r>
          </w:p>
        </w:tc>
        <w:tc>
          <w:tcPr>
            <w:tcW w:w="1742"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right="10" w:firstLine="0"/>
              <w:jc w:val="center"/>
            </w:pPr>
            <w:r>
              <w:rPr>
                <w:sz w:val="16"/>
              </w:rPr>
              <w:t>ZDARMA</w:t>
            </w:r>
          </w:p>
        </w:tc>
        <w:tc>
          <w:tcPr>
            <w:tcW w:w="1753"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right="5" w:firstLine="0"/>
              <w:jc w:val="center"/>
            </w:pPr>
            <w:r>
              <w:rPr>
                <w:sz w:val="16"/>
              </w:rPr>
              <w:t>ZDARMA</w:t>
            </w:r>
          </w:p>
        </w:tc>
      </w:tr>
    </w:tbl>
    <w:p w:rsidR="006D1BFB" w:rsidRDefault="00AE5ACD">
      <w:pPr>
        <w:spacing w:after="0" w:line="265" w:lineRule="auto"/>
        <w:ind w:left="14" w:right="0" w:hanging="10"/>
        <w:jc w:val="left"/>
      </w:pPr>
      <w:r>
        <w:rPr>
          <w:sz w:val="16"/>
          <w:vertAlign w:val="superscript"/>
        </w:rPr>
        <w:t>4</w:t>
      </w:r>
      <w:r>
        <w:rPr>
          <w:sz w:val="16"/>
        </w:rPr>
        <w:t xml:space="preserve">Cena za </w:t>
      </w:r>
      <w:proofErr w:type="spellStart"/>
      <w:r>
        <w:rPr>
          <w:sz w:val="16"/>
        </w:rPr>
        <w:t>SMSje</w:t>
      </w:r>
      <w:proofErr w:type="spellEnd"/>
      <w:r>
        <w:rPr>
          <w:sz w:val="16"/>
        </w:rPr>
        <w:t xml:space="preserve"> účtována při registraci a změně údajů občana, při přihlášení uživatele do systému a při rozesílce zpráv</w:t>
      </w:r>
    </w:p>
    <w:p w:rsidR="006D1BFB" w:rsidRDefault="00AE5ACD">
      <w:pPr>
        <w:spacing w:after="334" w:line="265" w:lineRule="auto"/>
        <w:ind w:left="14" w:right="0" w:hanging="10"/>
        <w:jc w:val="left"/>
      </w:pPr>
      <w:r>
        <w:rPr>
          <w:sz w:val="16"/>
          <w:vertAlign w:val="superscript"/>
        </w:rPr>
        <w:t>5</w:t>
      </w:r>
      <w:r>
        <w:rPr>
          <w:sz w:val="16"/>
        </w:rPr>
        <w:t>Přenos telefonního čísla 500 Kč — každému uživateli je přiřazeno tel. číslo k hlasovým zprávám, které má právo si přenést.</w:t>
      </w:r>
    </w:p>
    <w:p w:rsidR="006D1BFB" w:rsidRDefault="00AE5ACD">
      <w:pPr>
        <w:numPr>
          <w:ilvl w:val="1"/>
          <w:numId w:val="1"/>
        </w:numPr>
        <w:spacing w:after="33" w:line="259" w:lineRule="auto"/>
        <w:ind w:right="48" w:hanging="509"/>
        <w:jc w:val="center"/>
      </w:pPr>
      <w:r>
        <w:t>Ochrana osobních údajů</w:t>
      </w:r>
    </w:p>
    <w:p w:rsidR="00245818" w:rsidRDefault="00AE5ACD">
      <w:pPr>
        <w:ind w:left="9" w:right="33"/>
      </w:pPr>
      <w:r>
        <w:t>Smluvní strany prohlašují, že jsou si vědomy nezbytnosti správy a zpracování osobních údajů adresátů sdělení pro fungování ekosystému Mobilní Rozhlas. Zavazují se dodržovat platné právní předpisy, zejména obecné nařízení o ochraně osobních údajů (GDPR) a zákon o zpracování osobních údajů. Uživatel se zavazuje poskytnout přístupy do ekosystému jen oprávněným osobám. Uživatel je plně odpovědný za obsah a formu jím komunikovaných sdělení, včetně odpovědnosti autorskoprávní. V případě marketingových sdělení se uživatel zavazuje zajistit dodržování všech norem o regulaci reklamy a o zasílání obchodních sdělení podle platného zákona. Má-li být podle všech okolností příjemcem informace (adresátem notifikačního sdělení) nezletilá osoba, zejména pak osoba mladší 15 let (např. v rámci školních kroužků apod.), uživatel se výslovně zavazuje zajistit souhlas jeho zákonného zástupce se zasíláním takových sdělení. Uživatel bere na vědomí, že jeho odpovědnost dle tohoto článku objednávky nezaniká žádnou činností poskytovatele, jelikož stále zůstává odesílatelem sdělení. Smluvní strany tímto uzavírají smlouvu o zpracování osobních údajů, kdy uživatel je správcem a poskytovatel je zpracovatelem osobních úd</w:t>
      </w:r>
      <w:r w:rsidR="00245818">
        <w:t>ajů. Zpracovatel prohlašuje, že</w:t>
      </w:r>
      <w:r w:rsidR="00245818">
        <w:rPr>
          <w:noProof/>
        </w:rPr>
        <w:t>:</w:t>
      </w:r>
      <w:r>
        <w:rPr>
          <w:noProof/>
        </w:rPr>
        <w:drawing>
          <wp:inline distT="0" distB="0" distL="0" distR="0">
            <wp:extent cx="33528" cy="15244"/>
            <wp:effectExtent l="0" t="0" r="0" b="0"/>
            <wp:docPr id="8898" name="Picture 8898"/>
            <wp:cNvGraphicFramePr/>
            <a:graphic xmlns:a="http://schemas.openxmlformats.org/drawingml/2006/main">
              <a:graphicData uri="http://schemas.openxmlformats.org/drawingml/2006/picture">
                <pic:pic xmlns:pic="http://schemas.openxmlformats.org/drawingml/2006/picture">
                  <pic:nvPicPr>
                    <pic:cNvPr id="8898" name="Picture 8898"/>
                    <pic:cNvPicPr/>
                  </pic:nvPicPr>
                  <pic:blipFill>
                    <a:blip r:embed="rId10"/>
                    <a:stretch>
                      <a:fillRect/>
                    </a:stretch>
                  </pic:blipFill>
                  <pic:spPr>
                    <a:xfrm>
                      <a:off x="0" y="0"/>
                      <a:ext cx="33528" cy="15244"/>
                    </a:xfrm>
                    <a:prstGeom prst="rect">
                      <a:avLst/>
                    </a:prstGeom>
                  </pic:spPr>
                </pic:pic>
              </a:graphicData>
            </a:graphic>
          </wp:inline>
        </w:drawing>
      </w:r>
    </w:p>
    <w:p w:rsidR="00245818" w:rsidRDefault="00245818">
      <w:pPr>
        <w:ind w:left="9" w:right="33"/>
      </w:pPr>
      <w:r>
        <w:t xml:space="preserve">- </w:t>
      </w:r>
      <w:r w:rsidR="00AE5ACD">
        <w:t xml:space="preserve"> bude zpracovávat osobní údaje pouze na základě doložených pokynů správce, </w:t>
      </w:r>
      <w:r w:rsidR="00AE5ACD">
        <w:rPr>
          <w:noProof/>
        </w:rPr>
        <w:drawing>
          <wp:inline distT="0" distB="0" distL="0" distR="0">
            <wp:extent cx="33528" cy="15244"/>
            <wp:effectExtent l="0" t="0" r="0" b="0"/>
            <wp:docPr id="8899" name="Picture 8899"/>
            <wp:cNvGraphicFramePr/>
            <a:graphic xmlns:a="http://schemas.openxmlformats.org/drawingml/2006/main">
              <a:graphicData uri="http://schemas.openxmlformats.org/drawingml/2006/picture">
                <pic:pic xmlns:pic="http://schemas.openxmlformats.org/drawingml/2006/picture">
                  <pic:nvPicPr>
                    <pic:cNvPr id="8899" name="Picture 8899"/>
                    <pic:cNvPicPr/>
                  </pic:nvPicPr>
                  <pic:blipFill>
                    <a:blip r:embed="rId11"/>
                    <a:stretch>
                      <a:fillRect/>
                    </a:stretch>
                  </pic:blipFill>
                  <pic:spPr>
                    <a:xfrm>
                      <a:off x="0" y="0"/>
                      <a:ext cx="33528" cy="15244"/>
                    </a:xfrm>
                    <a:prstGeom prst="rect">
                      <a:avLst/>
                    </a:prstGeom>
                  </pic:spPr>
                </pic:pic>
              </a:graphicData>
            </a:graphic>
          </wp:inline>
        </w:drawing>
      </w:r>
      <w:r w:rsidR="00AE5ACD">
        <w:t xml:space="preserve"> </w:t>
      </w:r>
    </w:p>
    <w:p w:rsidR="00245818" w:rsidRDefault="00245818">
      <w:pPr>
        <w:ind w:left="9" w:right="33"/>
      </w:pPr>
      <w:r>
        <w:t xml:space="preserve">-  </w:t>
      </w:r>
      <w:r w:rsidR="00AE5ACD">
        <w:t xml:space="preserve">zajistil, aby se osoby oprávněné zpracovávat osobní údaje zavázaly k mlčenlivosti nebo aby se na ně vztahovala zákonná povinnost mlčenlivosti a provedl vhodná technická a organizační opatření, aby zajistil úroveň zabezpečení odpovídající danému riziku, </w:t>
      </w:r>
      <w:r w:rsidR="00AE5ACD">
        <w:rPr>
          <w:noProof/>
        </w:rPr>
        <w:drawing>
          <wp:inline distT="0" distB="0" distL="0" distR="0">
            <wp:extent cx="36576" cy="15244"/>
            <wp:effectExtent l="0" t="0" r="0" b="0"/>
            <wp:docPr id="8900" name="Picture 8900"/>
            <wp:cNvGraphicFramePr/>
            <a:graphic xmlns:a="http://schemas.openxmlformats.org/drawingml/2006/main">
              <a:graphicData uri="http://schemas.openxmlformats.org/drawingml/2006/picture">
                <pic:pic xmlns:pic="http://schemas.openxmlformats.org/drawingml/2006/picture">
                  <pic:nvPicPr>
                    <pic:cNvPr id="8900" name="Picture 8900"/>
                    <pic:cNvPicPr/>
                  </pic:nvPicPr>
                  <pic:blipFill>
                    <a:blip r:embed="rId12"/>
                    <a:stretch>
                      <a:fillRect/>
                    </a:stretch>
                  </pic:blipFill>
                  <pic:spPr>
                    <a:xfrm>
                      <a:off x="0" y="0"/>
                      <a:ext cx="36576" cy="15244"/>
                    </a:xfrm>
                    <a:prstGeom prst="rect">
                      <a:avLst/>
                    </a:prstGeom>
                  </pic:spPr>
                </pic:pic>
              </a:graphicData>
            </a:graphic>
          </wp:inline>
        </w:drawing>
      </w:r>
      <w:r w:rsidR="00AE5ACD">
        <w:t xml:space="preserve"> </w:t>
      </w:r>
    </w:p>
    <w:p w:rsidR="006D1BFB" w:rsidRDefault="00245818">
      <w:pPr>
        <w:ind w:left="9" w:right="33"/>
      </w:pPr>
      <w:r>
        <w:t xml:space="preserve">-  </w:t>
      </w:r>
      <w:r w:rsidR="00AE5ACD">
        <w:t xml:space="preserve">bude správci nápomocen při vyřizování záležitostí vůči subjektům </w:t>
      </w:r>
      <w:proofErr w:type="spellStart"/>
      <w:r w:rsidR="00AE5ACD">
        <w:t>údąjů</w:t>
      </w:r>
      <w:proofErr w:type="spellEnd"/>
      <w:r w:rsidR="00AE5ACD">
        <w:t xml:space="preserve"> i dozorovému úřadu.</w:t>
      </w:r>
    </w:p>
    <w:p w:rsidR="006D1BFB" w:rsidRDefault="00AE5ACD">
      <w:pPr>
        <w:ind w:left="9" w:right="33"/>
      </w:pPr>
      <w:r>
        <w:t>Uživatel tímto uděluje poskytova</w:t>
      </w:r>
      <w:r w:rsidR="00245818">
        <w:t>teli obecné povolení k zajištění</w:t>
      </w:r>
      <w:r>
        <w:t xml:space="preserve"> plnění s využitím subdodavatelů, u nichž poskytovatel smlouvou stejného obsahu zajistí ochranu osobních údajů,</w:t>
      </w:r>
    </w:p>
    <w:p w:rsidR="006D1BFB" w:rsidRDefault="00AE5ACD">
      <w:pPr>
        <w:spacing w:after="336"/>
        <w:ind w:left="9" w:right="33"/>
      </w:pPr>
      <w:r>
        <w:t>Práva a povinnosti uživatele a poskytovatele jsou dále konkrétně upravena v Podmínkách komunikačního ekosystému Mobilní Rozhlas.</w:t>
      </w:r>
    </w:p>
    <w:p w:rsidR="006D1BFB" w:rsidRDefault="00AE5ACD">
      <w:pPr>
        <w:numPr>
          <w:ilvl w:val="1"/>
          <w:numId w:val="1"/>
        </w:numPr>
        <w:spacing w:after="33" w:line="259" w:lineRule="auto"/>
        <w:ind w:right="48" w:hanging="509"/>
        <w:jc w:val="center"/>
      </w:pPr>
      <w:r>
        <w:t>Závěrečné ujednání</w:t>
      </w:r>
    </w:p>
    <w:p w:rsidR="006D1BFB" w:rsidRDefault="00AE5ACD">
      <w:pPr>
        <w:spacing w:after="130"/>
        <w:ind w:left="9" w:right="33"/>
      </w:pPr>
      <w:r>
        <w:t xml:space="preserve">Nedílnou součástí objednávky je Technická specifikace systémů a doplňkových služeb ekosystému Mobilní Rozhlas a Podmínky komunikačního ekosystému Mobilní Rozhlas („Podmínky”; </w:t>
      </w:r>
      <w:r>
        <w:rPr>
          <w:u w:val="single" w:color="000000"/>
        </w:rPr>
        <w:t>www.mobilnirozhlas.cz/</w:t>
      </w:r>
      <w:proofErr w:type="spellStart"/>
      <w:r>
        <w:rPr>
          <w:u w:val="single" w:color="000000"/>
        </w:rPr>
        <w:t>obchodni-podminky</w:t>
      </w:r>
      <w:proofErr w:type="spellEnd"/>
      <w:r>
        <w:t>). S těmito dokumenty se uživatel před podpisem této objednávky seznámil a souhlasí s nimi. Poskytovatel je oprávněn jednostranně měnit Podmínky nebo jejich část při změně technických, provozních, obchodních či organizačních podmínek na své straně nebo při změnách na trhu, a to v celém rozsahu. O všech změnách bude uživatel informován písemně nebo elektronickými prostředky s využitím údajů poskytnutých uživatelem, a to nejméně měsíc před nabytím účinnosti těchto změn. V případě, že uživatel s novými Podmínkami nebude souhlasit, je oprávněn tuto objednávku vypovědět s měsíční výpovědní dobou. V případě, že uživatel objednávku nevypoví, má se za to, že se změnou souhlasí. Pokud uživatel s novými Podmínkami nebude souhlasit a ani objednávku nevypoví, je oprávněn od objednávky odstoupit poskytovatel s měsíční výpovědní dobou.</w:t>
      </w:r>
    </w:p>
    <w:p w:rsidR="006D1BFB" w:rsidRDefault="00245818">
      <w:pPr>
        <w:tabs>
          <w:tab w:val="center" w:pos="4774"/>
        </w:tabs>
        <w:ind w:right="0" w:firstLine="0"/>
        <w:jc w:val="left"/>
      </w:pPr>
      <w:r>
        <w:t>Zodpovědný</w:t>
      </w:r>
      <w:r w:rsidR="00AE5ACD">
        <w:t xml:space="preserve"> obchodník </w:t>
      </w:r>
      <w:r>
        <w:t>(</w:t>
      </w:r>
      <w:r w:rsidR="00AE5ACD">
        <w:t>Jméno, Tel., E-mail</w:t>
      </w:r>
      <w:r>
        <w:t>)</w:t>
      </w:r>
      <w:r w:rsidR="00AE5ACD">
        <w:tab/>
        <w:t>Poznámka</w:t>
      </w:r>
    </w:p>
    <w:tbl>
      <w:tblPr>
        <w:tblStyle w:val="TableGrid"/>
        <w:tblW w:w="9073" w:type="dxa"/>
        <w:tblInd w:w="17" w:type="dxa"/>
        <w:tblCellMar>
          <w:left w:w="190" w:type="dxa"/>
          <w:right w:w="166" w:type="dxa"/>
        </w:tblCellMar>
        <w:tblLook w:val="04A0" w:firstRow="1" w:lastRow="0" w:firstColumn="1" w:lastColumn="0" w:noHBand="0" w:noVBand="1"/>
      </w:tblPr>
      <w:tblGrid>
        <w:gridCol w:w="3369"/>
        <w:gridCol w:w="5704"/>
      </w:tblGrid>
      <w:tr w:rsidR="006D1BFB" w:rsidTr="00A51279">
        <w:trPr>
          <w:trHeight w:val="1087"/>
        </w:trPr>
        <w:tc>
          <w:tcPr>
            <w:tcW w:w="3369" w:type="dxa"/>
            <w:tcBorders>
              <w:top w:val="single" w:sz="2" w:space="0" w:color="000000"/>
              <w:left w:val="single" w:sz="2" w:space="0" w:color="000000"/>
              <w:bottom w:val="single" w:sz="2" w:space="0" w:color="000000"/>
              <w:right w:val="single" w:sz="2" w:space="0" w:color="000000"/>
            </w:tcBorders>
          </w:tcPr>
          <w:p w:rsidR="006D1BFB" w:rsidRDefault="006D1BFB">
            <w:pPr>
              <w:spacing w:after="160" w:line="259" w:lineRule="auto"/>
              <w:ind w:right="0" w:firstLine="0"/>
              <w:jc w:val="left"/>
            </w:pPr>
          </w:p>
        </w:tc>
        <w:tc>
          <w:tcPr>
            <w:tcW w:w="5704" w:type="dxa"/>
            <w:tcBorders>
              <w:top w:val="single" w:sz="2" w:space="0" w:color="000000"/>
              <w:left w:val="single" w:sz="2" w:space="0" w:color="000000"/>
              <w:bottom w:val="single" w:sz="2" w:space="0" w:color="000000"/>
              <w:right w:val="single" w:sz="2" w:space="0" w:color="000000"/>
            </w:tcBorders>
            <w:vAlign w:val="center"/>
          </w:tcPr>
          <w:p w:rsidR="006D1BFB" w:rsidRDefault="00AE5ACD">
            <w:pPr>
              <w:spacing w:after="0" w:line="259" w:lineRule="auto"/>
              <w:ind w:right="0" w:firstLine="5"/>
            </w:pPr>
            <w:r>
              <w:t>Cena licence bod II. spojuje ceny licencí původních smluv Systém pro SMART komunikací, Systém pro správu podnětů od občanů a Systém pro tvorbu anket a participativních rozpočtů) a stanovuje jednu novou cenu licence.</w:t>
            </w:r>
          </w:p>
        </w:tc>
      </w:tr>
    </w:tbl>
    <w:p w:rsidR="006D1BFB" w:rsidRDefault="006D1BFB">
      <w:pPr>
        <w:sectPr w:rsidR="006D1BFB" w:rsidSect="00245818">
          <w:pgSz w:w="11904" w:h="16838"/>
          <w:pgMar w:top="978" w:right="1272" w:bottom="993" w:left="1618" w:header="708" w:footer="708" w:gutter="0"/>
          <w:cols w:space="708"/>
        </w:sectPr>
      </w:pPr>
    </w:p>
    <w:p w:rsidR="006D1BFB" w:rsidRDefault="00AE5ACD">
      <w:pPr>
        <w:spacing w:after="347" w:line="265" w:lineRule="auto"/>
        <w:ind w:left="14" w:right="0" w:hanging="10"/>
        <w:jc w:val="left"/>
      </w:pPr>
      <w:r>
        <w:rPr>
          <w:sz w:val="16"/>
        </w:rPr>
        <w:t>Všechny ceny</w:t>
      </w:r>
      <w:r w:rsidR="00245818">
        <w:rPr>
          <w:sz w:val="16"/>
        </w:rPr>
        <w:t xml:space="preserve"> </w:t>
      </w:r>
      <w:r>
        <w:rPr>
          <w:sz w:val="16"/>
        </w:rPr>
        <w:t>jsou uvedeny bez DPH.</w:t>
      </w:r>
    </w:p>
    <w:p w:rsidR="006D1BFB" w:rsidRDefault="00AE5ACD">
      <w:pPr>
        <w:spacing w:after="598" w:line="259" w:lineRule="auto"/>
        <w:ind w:right="-1406" w:firstLine="0"/>
        <w:jc w:val="left"/>
      </w:pPr>
      <w:r>
        <w:rPr>
          <w:sz w:val="22"/>
        </w:rPr>
        <w:t>V Brně dne.... . . . . . . . . . . . . . .</w:t>
      </w:r>
      <w:r w:rsidR="00A51279">
        <w:rPr>
          <w:noProof/>
        </w:rPr>
        <w:t xml:space="preserve">                                      V ……………………….. dne……………………</w:t>
      </w:r>
    </w:p>
    <w:p w:rsidR="006D1BFB" w:rsidRDefault="00AE5ACD">
      <w:pPr>
        <w:spacing w:after="91" w:line="259" w:lineRule="auto"/>
        <w:ind w:left="14" w:right="-1421" w:firstLine="0"/>
        <w:jc w:val="left"/>
      </w:pPr>
      <w:r>
        <w:rPr>
          <w:noProof/>
        </w:rPr>
        <w:drawing>
          <wp:inline distT="0" distB="0" distL="0" distR="0">
            <wp:extent cx="5458969" cy="24390"/>
            <wp:effectExtent l="0" t="0" r="0" b="0"/>
            <wp:docPr id="17199" name="Picture 17199"/>
            <wp:cNvGraphicFramePr/>
            <a:graphic xmlns:a="http://schemas.openxmlformats.org/drawingml/2006/main">
              <a:graphicData uri="http://schemas.openxmlformats.org/drawingml/2006/picture">
                <pic:pic xmlns:pic="http://schemas.openxmlformats.org/drawingml/2006/picture">
                  <pic:nvPicPr>
                    <pic:cNvPr id="17199" name="Picture 17199"/>
                    <pic:cNvPicPr/>
                  </pic:nvPicPr>
                  <pic:blipFill>
                    <a:blip r:embed="rId13"/>
                    <a:stretch>
                      <a:fillRect/>
                    </a:stretch>
                  </pic:blipFill>
                  <pic:spPr>
                    <a:xfrm>
                      <a:off x="0" y="0"/>
                      <a:ext cx="5458969" cy="24390"/>
                    </a:xfrm>
                    <a:prstGeom prst="rect">
                      <a:avLst/>
                    </a:prstGeom>
                  </pic:spPr>
                </pic:pic>
              </a:graphicData>
            </a:graphic>
          </wp:inline>
        </w:drawing>
      </w:r>
    </w:p>
    <w:tbl>
      <w:tblPr>
        <w:tblStyle w:val="TableGrid"/>
        <w:tblW w:w="6326" w:type="dxa"/>
        <w:tblInd w:w="0" w:type="dxa"/>
        <w:tblLook w:val="04A0" w:firstRow="1" w:lastRow="0" w:firstColumn="1" w:lastColumn="0" w:noHBand="0" w:noVBand="1"/>
      </w:tblPr>
      <w:tblGrid>
        <w:gridCol w:w="3326"/>
        <w:gridCol w:w="3000"/>
      </w:tblGrid>
      <w:tr w:rsidR="006D1BFB">
        <w:trPr>
          <w:trHeight w:val="615"/>
        </w:trPr>
        <w:tc>
          <w:tcPr>
            <w:tcW w:w="3326" w:type="dxa"/>
            <w:tcBorders>
              <w:top w:val="nil"/>
              <w:left w:val="nil"/>
              <w:bottom w:val="nil"/>
              <w:right w:val="nil"/>
            </w:tcBorders>
          </w:tcPr>
          <w:p w:rsidR="006D1BFB" w:rsidRDefault="00AE5ACD">
            <w:pPr>
              <w:spacing w:after="245" w:line="259" w:lineRule="auto"/>
              <w:ind w:right="0" w:firstLine="0"/>
              <w:jc w:val="left"/>
            </w:pPr>
            <w:r>
              <w:t>za poskytovatele</w:t>
            </w:r>
          </w:p>
          <w:p w:rsidR="006D1BFB" w:rsidRDefault="00AE5ACD">
            <w:pPr>
              <w:spacing w:after="0" w:line="259" w:lineRule="auto"/>
              <w:ind w:right="0" w:firstLine="0"/>
              <w:jc w:val="left"/>
            </w:pPr>
            <w:r>
              <w:t>Mgr. Ondřej Švrček, jednatel</w:t>
            </w:r>
          </w:p>
        </w:tc>
        <w:tc>
          <w:tcPr>
            <w:tcW w:w="3000" w:type="dxa"/>
            <w:tcBorders>
              <w:top w:val="nil"/>
              <w:left w:val="nil"/>
              <w:bottom w:val="nil"/>
              <w:right w:val="nil"/>
            </w:tcBorders>
          </w:tcPr>
          <w:p w:rsidR="006D1BFB" w:rsidRDefault="00AE5ACD">
            <w:pPr>
              <w:spacing w:after="0" w:line="259" w:lineRule="auto"/>
              <w:ind w:right="0" w:firstLine="0"/>
              <w:jc w:val="right"/>
            </w:pPr>
            <w:r>
              <w:t>za uživatele</w:t>
            </w:r>
          </w:p>
        </w:tc>
      </w:tr>
    </w:tbl>
    <w:p w:rsidR="006D1BFB" w:rsidRDefault="00AE5ACD">
      <w:pPr>
        <w:spacing w:after="82" w:line="259" w:lineRule="auto"/>
        <w:ind w:left="4790" w:right="-1411" w:firstLine="0"/>
        <w:jc w:val="left"/>
      </w:pPr>
      <w:r>
        <w:rPr>
          <w:noProof/>
          <w:sz w:val="22"/>
        </w:rPr>
        <mc:AlternateContent>
          <mc:Choice Requires="wpg">
            <w:drawing>
              <wp:inline distT="0" distB="0" distL="0" distR="0">
                <wp:extent cx="2420112" cy="3049"/>
                <wp:effectExtent l="0" t="0" r="0" b="0"/>
                <wp:docPr id="17202" name="Group 17202"/>
                <wp:cNvGraphicFramePr/>
                <a:graphic xmlns:a="http://schemas.openxmlformats.org/drawingml/2006/main">
                  <a:graphicData uri="http://schemas.microsoft.com/office/word/2010/wordprocessingGroup">
                    <wpg:wgp>
                      <wpg:cNvGrpSpPr/>
                      <wpg:grpSpPr>
                        <a:xfrm>
                          <a:off x="0" y="0"/>
                          <a:ext cx="2420112" cy="3049"/>
                          <a:chOff x="0" y="0"/>
                          <a:chExt cx="2420112" cy="3049"/>
                        </a:xfrm>
                      </wpg:grpSpPr>
                      <wps:wsp>
                        <wps:cNvPr id="17201" name="Shape 17201"/>
                        <wps:cNvSpPr/>
                        <wps:spPr>
                          <a:xfrm>
                            <a:off x="0" y="0"/>
                            <a:ext cx="2420112" cy="3049"/>
                          </a:xfrm>
                          <a:custGeom>
                            <a:avLst/>
                            <a:gdLst/>
                            <a:ahLst/>
                            <a:cxnLst/>
                            <a:rect l="0" t="0" r="0" b="0"/>
                            <a:pathLst>
                              <a:path w="2420112" h="3049">
                                <a:moveTo>
                                  <a:pt x="0" y="1525"/>
                                </a:moveTo>
                                <a:lnTo>
                                  <a:pt x="2420112"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202" style="width:190.56pt;height:0.240112pt;mso-position-horizontal-relative:char;mso-position-vertical-relative:line" coordsize="24201,30">
                <v:shape id="Shape 17201" style="position:absolute;width:24201;height:30;left:0;top:0;" coordsize="2420112,3049" path="m0,1525l2420112,1525">
                  <v:stroke weight="0.240112pt" endcap="flat" joinstyle="miter" miterlimit="1" on="true" color="#000000"/>
                  <v:fill on="false" color="#000000"/>
                </v:shape>
              </v:group>
            </w:pict>
          </mc:Fallback>
        </mc:AlternateContent>
      </w:r>
    </w:p>
    <w:p w:rsidR="006D1BFB" w:rsidRDefault="00AE5ACD">
      <w:pPr>
        <w:spacing w:after="171" w:line="259" w:lineRule="auto"/>
        <w:ind w:left="10" w:right="-15" w:hanging="10"/>
        <w:jc w:val="right"/>
      </w:pPr>
      <w:r>
        <w:t>Jméno, Příjmení, funkce</w:t>
      </w:r>
    </w:p>
    <w:sectPr w:rsidR="006D1BFB">
      <w:type w:val="continuous"/>
      <w:pgSz w:w="11904" w:h="16838"/>
      <w:pgMar w:top="978" w:right="3077" w:bottom="2615" w:left="163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D4B86"/>
    <w:multiLevelType w:val="hybridMultilevel"/>
    <w:tmpl w:val="37E831E2"/>
    <w:lvl w:ilvl="0" w:tplc="39BC5B90">
      <w:start w:val="1"/>
      <w:numFmt w:val="decimal"/>
      <w:lvlText w:val="%1."/>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77C743E">
      <w:start w:val="2"/>
      <w:numFmt w:val="upperRoman"/>
      <w:lvlText w:val="%2."/>
      <w:lvlJc w:val="left"/>
      <w:pPr>
        <w:ind w:left="7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AED8AA">
      <w:start w:val="1"/>
      <w:numFmt w:val="lowerRoman"/>
      <w:lvlText w:val="%3"/>
      <w:lvlJc w:val="left"/>
      <w:pPr>
        <w:ind w:left="4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2A5FE6">
      <w:start w:val="1"/>
      <w:numFmt w:val="decimal"/>
      <w:lvlText w:val="%4"/>
      <w:lvlJc w:val="left"/>
      <w:pPr>
        <w:ind w:left="4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01C223C">
      <w:start w:val="1"/>
      <w:numFmt w:val="lowerLetter"/>
      <w:lvlText w:val="%5"/>
      <w:lvlJc w:val="left"/>
      <w:pPr>
        <w:ind w:left="5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40A96A">
      <w:start w:val="1"/>
      <w:numFmt w:val="lowerRoman"/>
      <w:lvlText w:val="%6"/>
      <w:lvlJc w:val="left"/>
      <w:pPr>
        <w:ind w:left="6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FCAF22">
      <w:start w:val="1"/>
      <w:numFmt w:val="decimal"/>
      <w:lvlText w:val="%7"/>
      <w:lvlJc w:val="left"/>
      <w:pPr>
        <w:ind w:left="7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B30D25A">
      <w:start w:val="1"/>
      <w:numFmt w:val="lowerLetter"/>
      <w:lvlText w:val="%8"/>
      <w:lvlJc w:val="left"/>
      <w:pPr>
        <w:ind w:left="7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8E40C6">
      <w:start w:val="1"/>
      <w:numFmt w:val="lowerRoman"/>
      <w:lvlText w:val="%9"/>
      <w:lvlJc w:val="left"/>
      <w:pPr>
        <w:ind w:left="8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52770C2"/>
    <w:multiLevelType w:val="hybridMultilevel"/>
    <w:tmpl w:val="4858EAB4"/>
    <w:lvl w:ilvl="0" w:tplc="FD60FFE2">
      <w:start w:val="1"/>
      <w:numFmt w:val="upperRoman"/>
      <w:lvlText w:val="%1."/>
      <w:lvlJc w:val="left"/>
      <w:pPr>
        <w:ind w:left="3735" w:hanging="720"/>
      </w:pPr>
      <w:rPr>
        <w:rFonts w:hint="default"/>
      </w:rPr>
    </w:lvl>
    <w:lvl w:ilvl="1" w:tplc="04050019" w:tentative="1">
      <w:start w:val="1"/>
      <w:numFmt w:val="lowerLetter"/>
      <w:lvlText w:val="%2."/>
      <w:lvlJc w:val="left"/>
      <w:pPr>
        <w:ind w:left="4095" w:hanging="360"/>
      </w:pPr>
    </w:lvl>
    <w:lvl w:ilvl="2" w:tplc="0405001B" w:tentative="1">
      <w:start w:val="1"/>
      <w:numFmt w:val="lowerRoman"/>
      <w:lvlText w:val="%3."/>
      <w:lvlJc w:val="right"/>
      <w:pPr>
        <w:ind w:left="4815" w:hanging="180"/>
      </w:pPr>
    </w:lvl>
    <w:lvl w:ilvl="3" w:tplc="0405000F" w:tentative="1">
      <w:start w:val="1"/>
      <w:numFmt w:val="decimal"/>
      <w:lvlText w:val="%4."/>
      <w:lvlJc w:val="left"/>
      <w:pPr>
        <w:ind w:left="5535" w:hanging="360"/>
      </w:pPr>
    </w:lvl>
    <w:lvl w:ilvl="4" w:tplc="04050019" w:tentative="1">
      <w:start w:val="1"/>
      <w:numFmt w:val="lowerLetter"/>
      <w:lvlText w:val="%5."/>
      <w:lvlJc w:val="left"/>
      <w:pPr>
        <w:ind w:left="6255" w:hanging="360"/>
      </w:pPr>
    </w:lvl>
    <w:lvl w:ilvl="5" w:tplc="0405001B" w:tentative="1">
      <w:start w:val="1"/>
      <w:numFmt w:val="lowerRoman"/>
      <w:lvlText w:val="%6."/>
      <w:lvlJc w:val="right"/>
      <w:pPr>
        <w:ind w:left="6975" w:hanging="180"/>
      </w:pPr>
    </w:lvl>
    <w:lvl w:ilvl="6" w:tplc="0405000F" w:tentative="1">
      <w:start w:val="1"/>
      <w:numFmt w:val="decimal"/>
      <w:lvlText w:val="%7."/>
      <w:lvlJc w:val="left"/>
      <w:pPr>
        <w:ind w:left="7695" w:hanging="360"/>
      </w:pPr>
    </w:lvl>
    <w:lvl w:ilvl="7" w:tplc="04050019" w:tentative="1">
      <w:start w:val="1"/>
      <w:numFmt w:val="lowerLetter"/>
      <w:lvlText w:val="%8."/>
      <w:lvlJc w:val="left"/>
      <w:pPr>
        <w:ind w:left="8415" w:hanging="360"/>
      </w:pPr>
    </w:lvl>
    <w:lvl w:ilvl="8" w:tplc="0405001B" w:tentative="1">
      <w:start w:val="1"/>
      <w:numFmt w:val="lowerRoman"/>
      <w:lvlText w:val="%9."/>
      <w:lvlJc w:val="right"/>
      <w:pPr>
        <w:ind w:left="913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FB"/>
    <w:rsid w:val="00245818"/>
    <w:rsid w:val="006D1BFB"/>
    <w:rsid w:val="00A51279"/>
    <w:rsid w:val="00AE5ACD"/>
    <w:rsid w:val="00DC0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1DA9"/>
  <w15:docId w15:val="{856FD1A3-35BD-4DC9-AC2B-D941ED91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48" w:lineRule="auto"/>
      <w:ind w:right="34" w:firstLine="4"/>
      <w:jc w:val="both"/>
    </w:pPr>
    <w:rPr>
      <w:rFonts w:ascii="Times New Roman" w:eastAsia="Times New Roman" w:hAnsi="Times New Roman" w:cs="Times New Roman"/>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DC0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1035</Words>
  <Characters>6109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Myslíková Eva</dc:creator>
  <cp:keywords/>
  <cp:lastModifiedBy>Myslíková Eva</cp:lastModifiedBy>
  <cp:revision>4</cp:revision>
  <dcterms:created xsi:type="dcterms:W3CDTF">2021-09-22T11:18:00Z</dcterms:created>
  <dcterms:modified xsi:type="dcterms:W3CDTF">2021-09-22T11:51:00Z</dcterms:modified>
</cp:coreProperties>
</file>