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EE318" w14:textId="77777777" w:rsidR="00CA71FD" w:rsidRDefault="0054457D">
      <w:pPr>
        <w:pStyle w:val="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 (2)</w:t>
      </w:r>
    </w:p>
    <w:p w14:paraId="5DBEE319" w14:textId="77777777" w:rsidR="00CA71FD" w:rsidRDefault="00CA71FD">
      <w:pPr>
        <w:pStyle w:val="Text"/>
        <w:jc w:val="center"/>
        <w:rPr>
          <w:b/>
          <w:bCs/>
        </w:rPr>
      </w:pPr>
    </w:p>
    <w:p w14:paraId="5DBEE31A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>k dohodám podepsaným dne 27. 7. 2020 a 8. 2. 2021</w:t>
      </w:r>
      <w:r>
        <w:rPr>
          <w:b/>
          <w:bCs/>
          <w:lang w:val="fr-FR"/>
        </w:rPr>
        <w:t xml:space="preserve"> </w:t>
      </w:r>
      <w:r>
        <w:rPr>
          <w:b/>
          <w:bCs/>
        </w:rPr>
        <w:t xml:space="preserve">mezi Nejvyšší radou </w:t>
      </w:r>
      <w:proofErr w:type="spellStart"/>
      <w:r>
        <w:rPr>
          <w:b/>
          <w:bCs/>
        </w:rPr>
        <w:t>pamá</w:t>
      </w:r>
      <w:proofErr w:type="spellEnd"/>
      <w:r>
        <w:rPr>
          <w:b/>
          <w:bCs/>
          <w:lang w:val="nl-NL"/>
        </w:rPr>
        <w:t>tek Egyptsk</w:t>
      </w:r>
      <w:r>
        <w:rPr>
          <w:b/>
          <w:bCs/>
          <w:lang w:val="fr-FR"/>
        </w:rPr>
        <w:t xml:space="preserve">é </w:t>
      </w:r>
      <w:proofErr w:type="spellStart"/>
      <w:r>
        <w:rPr>
          <w:b/>
          <w:bCs/>
        </w:rPr>
        <w:t>arabsk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republiky</w:t>
      </w:r>
    </w:p>
    <w:p w14:paraId="5DBEE31B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 xml:space="preserve">a českou misí (Univerzita Karlova a Národní muzeum </w:t>
      </w:r>
      <w:proofErr w:type="spellStart"/>
      <w:r>
        <w:rPr>
          <w:b/>
          <w:bCs/>
        </w:rPr>
        <w:t>Česk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republiky)  </w:t>
      </w:r>
    </w:p>
    <w:p w14:paraId="5DBEE31C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>ve věci prodloužení vystavení skupiny egyptský</w:t>
      </w:r>
      <w:r>
        <w:rPr>
          <w:b/>
          <w:bCs/>
          <w:lang w:val="sv-SE"/>
        </w:rPr>
        <w:t>ch artefakt</w:t>
      </w:r>
      <w:r>
        <w:rPr>
          <w:b/>
          <w:bCs/>
        </w:rPr>
        <w:t>ů</w:t>
      </w:r>
    </w:p>
    <w:p w14:paraId="5DBEE31D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 xml:space="preserve">na </w:t>
      </w:r>
      <w:r>
        <w:rPr>
          <w:b/>
          <w:bCs/>
        </w:rPr>
        <w:t>výstavě „Sluneční králové“ v Národním muzeu v Praze  České republiky</w:t>
      </w:r>
    </w:p>
    <w:p w14:paraId="5DBEE31E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 xml:space="preserve">od </w:t>
      </w:r>
      <w:r>
        <w:rPr>
          <w:b/>
          <w:bCs/>
        </w:rPr>
        <w:t>30</w:t>
      </w:r>
      <w:r>
        <w:rPr>
          <w:b/>
          <w:bCs/>
        </w:rPr>
        <w:t xml:space="preserve">. </w:t>
      </w:r>
      <w:r>
        <w:rPr>
          <w:b/>
          <w:bCs/>
        </w:rPr>
        <w:t>6</w:t>
      </w:r>
      <w:r>
        <w:rPr>
          <w:b/>
          <w:bCs/>
        </w:rPr>
        <w:t>. 2021 do 30.</w:t>
      </w:r>
      <w:r>
        <w:rPr>
          <w:b/>
          <w:bCs/>
        </w:rPr>
        <w:t xml:space="preserve"> </w:t>
      </w:r>
      <w:r>
        <w:rPr>
          <w:b/>
          <w:bCs/>
        </w:rPr>
        <w:t>9</w:t>
      </w:r>
      <w:r>
        <w:rPr>
          <w:b/>
          <w:bCs/>
        </w:rPr>
        <w:t>. 2021</w:t>
      </w:r>
    </w:p>
    <w:p w14:paraId="5DBEE31F" w14:textId="77777777" w:rsidR="00CA71FD" w:rsidRDefault="00CA71FD">
      <w:pPr>
        <w:pStyle w:val="Text"/>
      </w:pPr>
    </w:p>
    <w:p w14:paraId="5DBEE320" w14:textId="77777777" w:rsidR="00CA71FD" w:rsidRDefault="0054457D">
      <w:pPr>
        <w:pStyle w:val="Text"/>
      </w:pPr>
      <w:r>
        <w:t xml:space="preserve">Tato dohoda byla podepsána v pondělí   </w:t>
      </w:r>
      <w:r>
        <w:t>.   .</w:t>
      </w:r>
      <w:r>
        <w:t xml:space="preserve"> 2021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r>
        <w:t>městě</w:t>
      </w:r>
      <w:r>
        <w:rPr>
          <w:lang w:val="en-US"/>
        </w:rPr>
        <w:t xml:space="preserve"> </w:t>
      </w:r>
      <w:r>
        <w:t>Káhira</w:t>
      </w:r>
    </w:p>
    <w:p w14:paraId="5DBEE321" w14:textId="77777777" w:rsidR="00CA71FD" w:rsidRDefault="00CA71FD">
      <w:pPr>
        <w:pStyle w:val="Text"/>
      </w:pPr>
    </w:p>
    <w:p w14:paraId="5DBEE322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>Účastníci dohody</w:t>
      </w:r>
    </w:p>
    <w:p w14:paraId="5DBEE323" w14:textId="77777777" w:rsidR="00CA71FD" w:rsidRDefault="00CA71FD">
      <w:pPr>
        <w:pStyle w:val="Text"/>
      </w:pPr>
    </w:p>
    <w:p w14:paraId="5DBEE324" w14:textId="77777777" w:rsidR="00CA71FD" w:rsidRDefault="0054457D">
      <w:pPr>
        <w:pStyle w:val="Text"/>
      </w:pPr>
      <w:r>
        <w:rPr>
          <w:b/>
          <w:bCs/>
        </w:rPr>
        <w:t>Nejvyšší rada památek</w:t>
      </w:r>
      <w:r>
        <w:rPr>
          <w:lang w:val="es-ES_tradnl"/>
        </w:rPr>
        <w:t>, se s</w:t>
      </w:r>
      <w:proofErr w:type="spellStart"/>
      <w:r>
        <w:t>ídlem</w:t>
      </w:r>
      <w:proofErr w:type="spellEnd"/>
      <w:r>
        <w:t xml:space="preserve"> v </w:t>
      </w:r>
      <w:r>
        <w:t>4</w:t>
      </w:r>
      <w:r>
        <w:t xml:space="preserve"> </w:t>
      </w:r>
      <w:r>
        <w:rPr>
          <w:rFonts w:ascii="Times;Times New Roman" w:hAnsi="Times;Times New Roman" w:cs="Times;Times New Roman"/>
        </w:rPr>
        <w:t xml:space="preserve">ulice </w:t>
      </w:r>
      <w:proofErr w:type="spellStart"/>
      <w:r>
        <w:rPr>
          <w:rFonts w:ascii="Times;Times New Roman" w:hAnsi="Times;Times New Roman" w:cs="Times;Times New Roman"/>
        </w:rPr>
        <w:t>Fakhry</w:t>
      </w:r>
      <w:proofErr w:type="spellEnd"/>
      <w:r>
        <w:rPr>
          <w:rFonts w:ascii="Times;Times New Roman" w:hAnsi="Times;Times New Roman" w:cs="Times;Times New Roman"/>
        </w:rPr>
        <w:t xml:space="preserve"> </w:t>
      </w:r>
      <w:proofErr w:type="spellStart"/>
      <w:r>
        <w:rPr>
          <w:rFonts w:ascii="Times;Times New Roman" w:hAnsi="Times;Times New Roman" w:cs="Times;Times New Roman"/>
        </w:rPr>
        <w:t>Abdel</w:t>
      </w:r>
      <w:proofErr w:type="spellEnd"/>
      <w:r>
        <w:rPr>
          <w:rFonts w:ascii="Times;Times New Roman" w:hAnsi="Times;Times New Roman" w:cs="Times;Times New Roman"/>
        </w:rPr>
        <w:t xml:space="preserve"> </w:t>
      </w:r>
      <w:proofErr w:type="spellStart"/>
      <w:r>
        <w:rPr>
          <w:rFonts w:ascii="Times;Times New Roman" w:hAnsi="Times;Times New Roman" w:cs="Times;Times New Roman"/>
        </w:rPr>
        <w:t>Nour</w:t>
      </w:r>
      <w:proofErr w:type="spellEnd"/>
      <w:r>
        <w:t xml:space="preserve"> - </w:t>
      </w:r>
      <w:proofErr w:type="spellStart"/>
      <w:r>
        <w:t>Abbasiya</w:t>
      </w:r>
      <w:proofErr w:type="spellEnd"/>
      <w:r>
        <w:t xml:space="preserve"> - </w:t>
      </w:r>
      <w:proofErr w:type="spellStart"/>
      <w:r>
        <w:t>Ká</w:t>
      </w:r>
      <w:proofErr w:type="spellEnd"/>
      <w:r>
        <w:rPr>
          <w:lang w:val="it-IT"/>
        </w:rPr>
        <w:t>hira</w:t>
      </w:r>
      <w:r>
        <w:t xml:space="preserve">, zastoupená Dr. Mustafou </w:t>
      </w:r>
      <w:proofErr w:type="spellStart"/>
      <w:r>
        <w:t>Waziri</w:t>
      </w:r>
      <w:proofErr w:type="spellEnd"/>
      <w:r>
        <w:t xml:space="preserve"> – jakož</w:t>
      </w:r>
      <w:r>
        <w:rPr>
          <w:lang w:val="en-US"/>
        </w:rPr>
        <w:t xml:space="preserve">to </w:t>
      </w:r>
      <w:proofErr w:type="spellStart"/>
      <w:r>
        <w:rPr>
          <w:lang w:val="en-US"/>
        </w:rPr>
        <w:t>gener</w:t>
      </w:r>
      <w:r>
        <w:t>álním</w:t>
      </w:r>
      <w:proofErr w:type="spellEnd"/>
      <w:r>
        <w:t xml:space="preserve"> tajemníkem Nejvyšší rady památek</w:t>
      </w:r>
    </w:p>
    <w:p w14:paraId="5DBEE325" w14:textId="77777777" w:rsidR="00CA71FD" w:rsidRDefault="0054457D">
      <w:pPr>
        <w:pStyle w:val="Text"/>
      </w:pPr>
      <w:r>
        <w:t>(dále jen „</w:t>
      </w:r>
      <w:r>
        <w:rPr>
          <w:b/>
          <w:bCs/>
        </w:rPr>
        <w:t>první strana</w:t>
      </w:r>
      <w:r>
        <w:rPr>
          <w:lang w:val="ar-SA"/>
        </w:rPr>
        <w:t>“</w:t>
      </w:r>
      <w:r>
        <w:t>)</w:t>
      </w:r>
    </w:p>
    <w:p w14:paraId="5DBEE326" w14:textId="77777777" w:rsidR="00CA71FD" w:rsidRDefault="00CA71FD">
      <w:pPr>
        <w:pStyle w:val="Text"/>
      </w:pPr>
    </w:p>
    <w:p w14:paraId="5DBEE327" w14:textId="77777777" w:rsidR="00CA71FD" w:rsidRDefault="0054457D">
      <w:pPr>
        <w:pStyle w:val="Text"/>
      </w:pPr>
      <w:r>
        <w:rPr>
          <w:b/>
          <w:bCs/>
        </w:rPr>
        <w:t>Česká mise</w:t>
      </w:r>
      <w:r>
        <w:t>,  zastoupená dvěma subjekty:</w:t>
      </w:r>
    </w:p>
    <w:p w14:paraId="5DBEE328" w14:textId="77777777" w:rsidR="00CA71FD" w:rsidRDefault="0054457D">
      <w:pPr>
        <w:pStyle w:val="Text"/>
      </w:pPr>
      <w:r>
        <w:t xml:space="preserve">    1. Karlovou univerzitou </w:t>
      </w:r>
      <w:r>
        <w:t>se sídlem:</w:t>
      </w:r>
    </w:p>
    <w:p w14:paraId="5DBEE329" w14:textId="77777777" w:rsidR="00CA71FD" w:rsidRDefault="0054457D">
      <w:pPr>
        <w:pStyle w:val="Text"/>
      </w:pPr>
      <w:r>
        <w:t>Ovocný trh 3, 116 36 Praha 1, Česká republika</w:t>
      </w:r>
    </w:p>
    <w:p w14:paraId="5DBEE32A" w14:textId="77777777" w:rsidR="00CA71FD" w:rsidRDefault="0054457D">
      <w:pPr>
        <w:pStyle w:val="Text"/>
      </w:pPr>
      <w:r>
        <w:t xml:space="preserve">zastupuje ji prof. Miroslav Barta, ředitel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proofErr w:type="spellStart"/>
      <w:r>
        <w:t>archeologick</w:t>
      </w:r>
      <w:proofErr w:type="spellEnd"/>
      <w:r>
        <w:rPr>
          <w:lang w:val="fr-FR"/>
        </w:rPr>
        <w:t xml:space="preserve">é </w:t>
      </w:r>
      <w:r>
        <w:t>expedice v Abúsíru</w:t>
      </w:r>
    </w:p>
    <w:p w14:paraId="5DBEE32B" w14:textId="77777777" w:rsidR="00CA71FD" w:rsidRDefault="0054457D">
      <w:pPr>
        <w:pStyle w:val="Text"/>
      </w:pPr>
      <w:r>
        <w:t xml:space="preserve">    2. Národní muzeum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republiky, se sídlem:</w:t>
      </w:r>
    </w:p>
    <w:p w14:paraId="5DBEE32C" w14:textId="77777777" w:rsidR="00CA71FD" w:rsidRDefault="0054457D">
      <w:pPr>
        <w:pStyle w:val="Text"/>
      </w:pPr>
      <w:proofErr w:type="spellStart"/>
      <w:r>
        <w:t>Václavsk</w:t>
      </w:r>
      <w:proofErr w:type="spellEnd"/>
      <w:r>
        <w:rPr>
          <w:lang w:val="fr-FR"/>
        </w:rPr>
        <w:t xml:space="preserve">é </w:t>
      </w:r>
      <w:r>
        <w:t>náměstí 68, 115 79, Praha 1</w:t>
      </w:r>
    </w:p>
    <w:p w14:paraId="5DBEE32D" w14:textId="77777777" w:rsidR="00CA71FD" w:rsidRDefault="0054457D">
      <w:pPr>
        <w:pStyle w:val="Text"/>
      </w:pPr>
      <w:r>
        <w:t xml:space="preserve">zastupuje ji PhDr. </w:t>
      </w:r>
      <w:r>
        <w:t xml:space="preserve">Michal Lukeš, ředitel Národního muzea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republiky</w:t>
      </w:r>
    </w:p>
    <w:p w14:paraId="5DBEE32E" w14:textId="77777777" w:rsidR="00CA71FD" w:rsidRDefault="0054457D">
      <w:pPr>
        <w:pStyle w:val="Text"/>
      </w:pP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jsou vedeny dohromady jako druhý účastník dohody, (dále jen „</w:t>
      </w:r>
      <w:r>
        <w:rPr>
          <w:b/>
          <w:bCs/>
        </w:rPr>
        <w:t>druhá strana</w:t>
      </w:r>
      <w:r>
        <w:rPr>
          <w:lang w:val="ar-SA"/>
        </w:rPr>
        <w:t>“</w:t>
      </w:r>
      <w:r>
        <w:t>)</w:t>
      </w:r>
    </w:p>
    <w:p w14:paraId="5DBEE32F" w14:textId="77777777" w:rsidR="00CA71FD" w:rsidRDefault="00CA71FD">
      <w:pPr>
        <w:pStyle w:val="Text"/>
      </w:pPr>
    </w:p>
    <w:p w14:paraId="5DBEE330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>Předmluva</w:t>
      </w:r>
    </w:p>
    <w:p w14:paraId="5DBEE331" w14:textId="77777777" w:rsidR="00CA71FD" w:rsidRDefault="0054457D">
      <w:pPr>
        <w:pStyle w:val="Text"/>
      </w:pPr>
      <w:r>
        <w:t>V souladu s dohodou podepsanou dne 27. 7. 2020 mezi oběma stranami ohledně zřízení výstavy s názvem „Sluneční</w:t>
      </w:r>
      <w:r>
        <w:t xml:space="preserve"> </w:t>
      </w:r>
      <w:proofErr w:type="spellStart"/>
      <w:r>
        <w:t>králov</w:t>
      </w:r>
      <w:proofErr w:type="spellEnd"/>
      <w:r>
        <w:rPr>
          <w:lang w:val="pt-PT"/>
        </w:rPr>
        <w:t>é“</w:t>
      </w:r>
      <w:r>
        <w:t xml:space="preserve">, která se měla konat v Národním muzeu v Praze v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 xml:space="preserve">republice, která byla předmětem rozhodnutí předsedy vlády č. 1590 pro rok 2020, v níž se odsouhlasilo vystavení </w:t>
      </w:r>
      <w:r>
        <w:t>exponá</w:t>
      </w:r>
      <w:r>
        <w:t xml:space="preserve">tů v období od </w:t>
      </w:r>
      <w:r>
        <w:t>30</w:t>
      </w:r>
      <w:r>
        <w:t xml:space="preserve">. 8. 2020 do </w:t>
      </w:r>
      <w:r>
        <w:t>7</w:t>
      </w:r>
      <w:r>
        <w:t>. 2. 2021, v</w:t>
      </w:r>
      <w:r>
        <w:t>yjímaje</w:t>
      </w:r>
      <w:r>
        <w:t xml:space="preserve"> období přípravy, balení</w:t>
      </w:r>
      <w:r>
        <w:t xml:space="preserve">, přepravy a přesunu, </w:t>
      </w:r>
      <w:r>
        <w:t>a u</w:t>
      </w:r>
      <w:r>
        <w:t xml:space="preserve">snesením </w:t>
      </w:r>
      <w:r>
        <w:t xml:space="preserve">Egyptského </w:t>
      </w:r>
      <w:r>
        <w:t xml:space="preserve">kabinetu č. 412 z roku 2021, kterým se prodlužuje doba </w:t>
      </w:r>
      <w:r>
        <w:t>trvá</w:t>
      </w:r>
      <w:r>
        <w:t xml:space="preserve">ní výstavy do 30. června, včetně období balení, přepravy a přesunu, a přílohou k </w:t>
      </w:r>
      <w:r>
        <w:t>prodlouž</w:t>
      </w:r>
      <w:r>
        <w:t>ení výše uvedené výstavy, podepsaná 8. 2. 2021, a usnesením vlády č. 412 prodlu</w:t>
      </w:r>
      <w:r>
        <w:t>žující dob</w:t>
      </w:r>
      <w:r>
        <w:t>u trvání</w:t>
      </w:r>
      <w:r>
        <w:t xml:space="preserve"> výstavy do 30. </w:t>
      </w:r>
      <w:r>
        <w:t>6. 2021</w:t>
      </w:r>
      <w:r>
        <w:t>, včetně období přesunu, balení a přepravy.</w:t>
      </w:r>
    </w:p>
    <w:p w14:paraId="5DBEE332" w14:textId="77777777" w:rsidR="00CA71FD" w:rsidRDefault="0054457D">
      <w:pPr>
        <w:rPr>
          <w:lang w:val="cs-CZ"/>
        </w:rPr>
      </w:pPr>
      <w:r>
        <w:rPr>
          <w:lang w:val="cs-CZ"/>
        </w:rPr>
        <w:t>A n</w:t>
      </w:r>
      <w:r>
        <w:rPr>
          <w:lang w:val="cs-CZ"/>
        </w:rPr>
        <w:t>a základ</w:t>
      </w:r>
      <w:r>
        <w:rPr>
          <w:lang w:val="cs-CZ"/>
        </w:rPr>
        <w:t xml:space="preserve">ě žádosti předložené druhou stranou o prodloužení výstavy až do 30. </w:t>
      </w:r>
      <w:r>
        <w:rPr>
          <w:lang w:val="cs-CZ"/>
        </w:rPr>
        <w:t>9</w:t>
      </w:r>
      <w:r>
        <w:rPr>
          <w:lang w:val="cs-CZ"/>
        </w:rPr>
        <w:t>. 2021 vyjímaje balení, přepravy a přesunu.</w:t>
      </w:r>
    </w:p>
    <w:p w14:paraId="5DBEE333" w14:textId="77777777" w:rsidR="00CA71FD" w:rsidRDefault="0054457D">
      <w:pPr>
        <w:pStyle w:val="Text"/>
      </w:pPr>
      <w:r>
        <w:t>Dále, na základě souhlasu představenstva NRP na svém zasedání ze dne 2</w:t>
      </w:r>
      <w:r>
        <w:t>5</w:t>
      </w:r>
      <w:r>
        <w:t xml:space="preserve">. </w:t>
      </w:r>
      <w:r>
        <w:t>5</w:t>
      </w:r>
      <w:r>
        <w:t>. 202</w:t>
      </w:r>
      <w:r>
        <w:t>1</w:t>
      </w:r>
      <w:r>
        <w:t xml:space="preserve"> a souhlasu Egyptského kabinetu na svém zasedání č. </w:t>
      </w:r>
      <w:r>
        <w:t>(148)</w:t>
      </w:r>
      <w:r>
        <w:t xml:space="preserve"> dne </w:t>
      </w:r>
      <w:r>
        <w:t>16</w:t>
      </w:r>
      <w:r>
        <w:t xml:space="preserve">. </w:t>
      </w:r>
      <w:r>
        <w:t>6</w:t>
      </w:r>
      <w:r>
        <w:t xml:space="preserve">. 2021 s prodloužením vystavení egyptských artefaktů do 30. </w:t>
      </w:r>
      <w:r>
        <w:t>9</w:t>
      </w:r>
      <w:r>
        <w:t>. 2021 v Národním muzeu v Praze v České republice, v</w:t>
      </w:r>
      <w:r>
        <w:t>yjímaje</w:t>
      </w:r>
      <w:r>
        <w:t xml:space="preserve"> období přesunu, balení a přepravy</w:t>
      </w:r>
      <w:r>
        <w:t>, kdy k návratu artefaktů dojde nejpozději dne 20. 10. 2021, přičem</w:t>
      </w:r>
      <w:r>
        <w:t>ž budou přijata a dodržována veškerá zá</w:t>
      </w:r>
      <w:proofErr w:type="spellStart"/>
      <w:r>
        <w:rPr>
          <w:lang w:val="de-DE"/>
        </w:rPr>
        <w:t>konn</w:t>
      </w:r>
      <w:proofErr w:type="spellEnd"/>
      <w:r>
        <w:t>á opatření a pravidla v tomto ohledu a kdy se strany dohodly na následujícím:</w:t>
      </w:r>
    </w:p>
    <w:p w14:paraId="5DBEE334" w14:textId="77777777" w:rsidR="00CA71FD" w:rsidRDefault="00CA71FD">
      <w:pPr>
        <w:pStyle w:val="Text"/>
      </w:pPr>
    </w:p>
    <w:p w14:paraId="5DBEE335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>První článek</w:t>
      </w:r>
    </w:p>
    <w:p w14:paraId="5DBEE336" w14:textId="77777777" w:rsidR="00CA71FD" w:rsidRDefault="0054457D">
      <w:pPr>
        <w:pStyle w:val="Text"/>
      </w:pPr>
      <w:r>
        <w:t xml:space="preserve">Předchozí úvod a podmínky smlouvy ze dne 27. 7. 2020 </w:t>
      </w:r>
      <w:r>
        <w:t>a dodatek podepsané smlouvy ze dne 8. 2. 2021 se považují za nedílnou součást ustanovení t</w:t>
      </w:r>
      <w:r>
        <w:rPr>
          <w:lang w:val="fr-FR"/>
        </w:rPr>
        <w:t>é</w:t>
      </w:r>
      <w:r>
        <w:t>to smlouvy a ustanovení výše uvedených</w:t>
      </w:r>
      <w:r>
        <w:rPr>
          <w:lang w:val="fr-FR"/>
        </w:rPr>
        <w:t xml:space="preserve"> </w:t>
      </w:r>
      <w:r>
        <w:t>smluv se použijí ve vztahu ke všemu, pro co není v tomto dodatku stanoveno zvláštní ustanovení.</w:t>
      </w:r>
    </w:p>
    <w:p w14:paraId="5DBEE337" w14:textId="77777777" w:rsidR="00CA71FD" w:rsidRDefault="00CA71FD">
      <w:pPr>
        <w:pStyle w:val="Text"/>
      </w:pPr>
    </w:p>
    <w:p w14:paraId="5DBEE338" w14:textId="77777777" w:rsidR="00CA71FD" w:rsidRDefault="0054457D">
      <w:pPr>
        <w:pStyle w:val="Text"/>
        <w:jc w:val="center"/>
      </w:pPr>
      <w:r>
        <w:rPr>
          <w:b/>
          <w:bCs/>
        </w:rPr>
        <w:t>Druhý článek</w:t>
      </w:r>
    </w:p>
    <w:p w14:paraId="5DBEE339" w14:textId="77777777" w:rsidR="00CA71FD" w:rsidRDefault="0054457D">
      <w:pPr>
        <w:pStyle w:val="Text"/>
      </w:pPr>
      <w:r>
        <w:t>Tato dohoda nevs</w:t>
      </w:r>
      <w:r>
        <w:t>toupí v platnost, dokud ji neschválí předseda vlády v pověřen</w:t>
      </w:r>
      <w:r>
        <w:rPr>
          <w:lang w:val="fr-FR"/>
        </w:rPr>
        <w:t>é</w:t>
      </w:r>
      <w:r>
        <w:t>m zastoupení.</w:t>
      </w:r>
    </w:p>
    <w:p w14:paraId="5DBEE33A" w14:textId="77777777" w:rsidR="00CA71FD" w:rsidRDefault="00CA71FD">
      <w:pPr>
        <w:pStyle w:val="Text"/>
      </w:pPr>
    </w:p>
    <w:p w14:paraId="5DBEE33B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>Třetí článek</w:t>
      </w:r>
    </w:p>
    <w:p w14:paraId="5DBEE33C" w14:textId="77777777" w:rsidR="00CA71FD" w:rsidRDefault="00CA71FD">
      <w:pPr>
        <w:pStyle w:val="Text"/>
      </w:pPr>
    </w:p>
    <w:p w14:paraId="5DBEE33D" w14:textId="77777777" w:rsidR="00CA71FD" w:rsidRDefault="0054457D">
      <w:pPr>
        <w:pStyle w:val="Text"/>
      </w:pPr>
      <w:r>
        <w:t xml:space="preserve">První strana souhlasila s prodloužením doby vystavování </w:t>
      </w:r>
      <w:r>
        <w:t>artefaktů výše</w:t>
      </w:r>
      <w:r>
        <w:t xml:space="preserve"> zmíněné výstavy </w:t>
      </w:r>
      <w:r>
        <w:t>až</w:t>
      </w:r>
      <w:r>
        <w:t xml:space="preserve"> do 30. </w:t>
      </w:r>
      <w:r>
        <w:t>9</w:t>
      </w:r>
      <w:r>
        <w:t>. 2021 v Národním muzeu v Praze České republiky, v</w:t>
      </w:r>
      <w:r>
        <w:t>yjímaje</w:t>
      </w:r>
      <w:r>
        <w:t xml:space="preserve"> období balení, přepravy a přesunu. Výše uvedené artefakty budou pod dohledem </w:t>
      </w:r>
      <w:proofErr w:type="spellStart"/>
      <w:r>
        <w:t>doprovodn</w:t>
      </w:r>
      <w:proofErr w:type="spellEnd"/>
      <w:r>
        <w:rPr>
          <w:lang w:val="fr-FR"/>
        </w:rPr>
        <w:t>é</w:t>
      </w:r>
      <w:r>
        <w:t xml:space="preserve">ho archeologa po celou dobu až </w:t>
      </w:r>
      <w:r>
        <w:rPr>
          <w:lang w:val="pt-PT"/>
        </w:rPr>
        <w:t>do n</w:t>
      </w:r>
      <w:proofErr w:type="spellStart"/>
      <w:r>
        <w:t>ávratu</w:t>
      </w:r>
      <w:proofErr w:type="spellEnd"/>
      <w:r>
        <w:t xml:space="preserve"> artefaktů do </w:t>
      </w:r>
      <w:proofErr w:type="spellStart"/>
      <w:r>
        <w:t>Ká</w:t>
      </w:r>
      <w:proofErr w:type="spellEnd"/>
      <w:r>
        <w:rPr>
          <w:lang w:val="nl-NL"/>
        </w:rPr>
        <w:t>hiry, Egyptsk</w:t>
      </w:r>
      <w:r>
        <w:rPr>
          <w:lang w:val="fr-FR"/>
        </w:rPr>
        <w:t xml:space="preserve">é </w:t>
      </w:r>
      <w:proofErr w:type="spellStart"/>
      <w:r>
        <w:t>arabsk</w:t>
      </w:r>
      <w:proofErr w:type="spellEnd"/>
      <w:r>
        <w:rPr>
          <w:lang w:val="fr-FR"/>
        </w:rPr>
        <w:t xml:space="preserve">é </w:t>
      </w:r>
      <w:r>
        <w:t>republiky, přičemž návrat nepřekročí datum</w:t>
      </w:r>
      <w:r>
        <w:t xml:space="preserve"> 20. 10. 2021, pokud se první strana nerozhodne je vystavit v jiný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proofErr w:type="spellStart"/>
      <w:r>
        <w:t>ěstech</w:t>
      </w:r>
      <w:proofErr w:type="spellEnd"/>
      <w:r>
        <w:t xml:space="preserve"> nebo zemích.</w:t>
      </w:r>
    </w:p>
    <w:p w14:paraId="5DBEE33E" w14:textId="77777777" w:rsidR="00CA71FD" w:rsidRDefault="00CA71FD">
      <w:pPr>
        <w:pStyle w:val="Text"/>
      </w:pPr>
    </w:p>
    <w:p w14:paraId="5DBEE33F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>Čtvrtý článek</w:t>
      </w:r>
    </w:p>
    <w:p w14:paraId="5DBEE340" w14:textId="77777777" w:rsidR="00CA71FD" w:rsidRDefault="0054457D">
      <w:pPr>
        <w:pStyle w:val="Text"/>
      </w:pPr>
      <w:r>
        <w:t>Druhá strana je povinna zaplatit 50% výnosu z prodeje vstupenek na výstavu (jak</w:t>
      </w:r>
      <w:r>
        <w:rPr>
          <w:lang w:val="fr-FR"/>
        </w:rPr>
        <w:t>é</w:t>
      </w:r>
      <w:proofErr w:type="spellStart"/>
      <w:r>
        <w:t>hokoli</w:t>
      </w:r>
      <w:proofErr w:type="spellEnd"/>
      <w:r>
        <w:t xml:space="preserve"> druhu) ve prospěch Nejvyšší rady památek, dá</w:t>
      </w:r>
      <w:r>
        <w:rPr>
          <w:lang w:val="nl-NL"/>
        </w:rPr>
        <w:t>le 50% ze v</w:t>
      </w:r>
      <w:r>
        <w:t>šech osta</w:t>
      </w:r>
      <w:r>
        <w:t>tní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ýnosů</w:t>
      </w:r>
      <w:proofErr w:type="spellEnd"/>
      <w:r>
        <w:t xml:space="preserve"> souvisejících s exponáty za jak</w:t>
      </w:r>
      <w:r>
        <w:rPr>
          <w:lang w:val="fr-FR"/>
        </w:rPr>
        <w:t>é</w:t>
      </w:r>
      <w:proofErr w:type="spellStart"/>
      <w:r>
        <w:t>koli</w:t>
      </w:r>
      <w:proofErr w:type="spellEnd"/>
      <w:r>
        <w:t xml:space="preserve"> využití </w:t>
      </w:r>
      <w:r>
        <w:rPr>
          <w:lang w:val="pt-PT"/>
        </w:rPr>
        <w:t>expon</w:t>
      </w:r>
      <w:proofErr w:type="spellStart"/>
      <w:r>
        <w:t>átů</w:t>
      </w:r>
      <w:proofErr w:type="spellEnd"/>
      <w:r>
        <w:t xml:space="preserve"> jakýmikoli reklamními prostředky nebo jinak, přičemž </w:t>
      </w:r>
      <w:r>
        <w:rPr>
          <w:lang w:val="nl-NL"/>
        </w:rPr>
        <w:t>nese ve</w:t>
      </w:r>
      <w:proofErr w:type="spellStart"/>
      <w:r>
        <w:t>šker</w:t>
      </w:r>
      <w:proofErr w:type="spellEnd"/>
      <w:r>
        <w:rPr>
          <w:lang w:val="fr-FR"/>
        </w:rPr>
        <w:t xml:space="preserve">é </w:t>
      </w:r>
      <w:r>
        <w:t xml:space="preserve">náklady na zřízení výstavy, a to po celou dobu od </w:t>
      </w:r>
      <w:r>
        <w:t>30. 6.</w:t>
      </w:r>
      <w:r>
        <w:t xml:space="preserve"> 2021 do </w:t>
      </w:r>
      <w:r>
        <w:t>30</w:t>
      </w:r>
      <w:r>
        <w:t xml:space="preserve">. </w:t>
      </w:r>
      <w:r>
        <w:t>9</w:t>
      </w:r>
      <w:r>
        <w:t xml:space="preserve">. 2021, a vyplatit podíl každé 3 (tři) měsíce, a to v amerických dolarech na účet </w:t>
      </w:r>
      <w:r>
        <w:t>Nejvyšší rady památek s následujícími údaji: -</w:t>
      </w:r>
    </w:p>
    <w:p w14:paraId="5DBEE341" w14:textId="01E38EAF" w:rsidR="00CA71FD" w:rsidRDefault="00D05592">
      <w:pPr>
        <w:pStyle w:val="Text"/>
        <w:numPr>
          <w:ilvl w:val="0"/>
          <w:numId w:val="1"/>
        </w:numPr>
      </w:pPr>
      <w:r>
        <w:t>xxxxxxxxxxxxxxxxxxxxxxxxxxxxxxxxxxxxxxxxxxxxxxxxxxxxxxxxx</w:t>
      </w:r>
      <w:r w:rsidR="00ED3D85">
        <w:t>xxxxxxxxxx</w:t>
      </w:r>
    </w:p>
    <w:p w14:paraId="5DBEE342" w14:textId="78BBDD61" w:rsidR="00CA71FD" w:rsidRDefault="0054457D">
      <w:pPr>
        <w:pStyle w:val="Text"/>
        <w:numPr>
          <w:ilvl w:val="0"/>
          <w:numId w:val="1"/>
        </w:numPr>
      </w:pPr>
      <w:r>
        <w:t xml:space="preserve">Číslo účtu: </w:t>
      </w:r>
      <w:proofErr w:type="spellStart"/>
      <w:r w:rsidR="00ED3D85">
        <w:t>xxxxxxxxxxxxxxxxxxxxxxxxxxxxxxxxxx</w:t>
      </w:r>
      <w:proofErr w:type="spellEnd"/>
    </w:p>
    <w:p w14:paraId="5DBEE343" w14:textId="60A30E22" w:rsidR="00CA71FD" w:rsidRDefault="0054457D">
      <w:pPr>
        <w:pStyle w:val="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SWIFT: </w:t>
      </w:r>
      <w:proofErr w:type="spellStart"/>
      <w:r w:rsidR="00ED3D85">
        <w:rPr>
          <w:lang w:val="de-DE"/>
        </w:rPr>
        <w:t>xxxxxxxxxxxxx</w:t>
      </w:r>
      <w:proofErr w:type="spellEnd"/>
    </w:p>
    <w:p w14:paraId="5DBEE344" w14:textId="77777777" w:rsidR="00CA71FD" w:rsidRDefault="00CA71FD">
      <w:pPr>
        <w:pStyle w:val="Text"/>
      </w:pPr>
    </w:p>
    <w:p w14:paraId="5DBEE345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>Pátý článek</w:t>
      </w:r>
    </w:p>
    <w:p w14:paraId="5DBEE346" w14:textId="77777777" w:rsidR="00CA71FD" w:rsidRDefault="0054457D">
      <w:r>
        <w:rPr>
          <w:lang w:val="cs-CZ"/>
        </w:rPr>
        <w:t xml:space="preserve">1 - Druhá strana souhlasí s tím, že </w:t>
      </w:r>
      <w:r>
        <w:rPr>
          <w:lang w:val="cs-CZ"/>
        </w:rPr>
        <w:t>exponá</w:t>
      </w:r>
      <w:r>
        <w:rPr>
          <w:lang w:val="cs-CZ"/>
        </w:rPr>
        <w:t>ty na výstavě bude p</w:t>
      </w:r>
      <w:r>
        <w:rPr>
          <w:lang w:val="cs-CZ"/>
        </w:rPr>
        <w:t xml:space="preserve">o celou dobu prodloužení výstavy doprovázet stálý </w:t>
      </w:r>
      <w:r>
        <w:rPr>
          <w:lang w:val="cs-CZ"/>
        </w:rPr>
        <w:t>archeolog</w:t>
      </w:r>
      <w:r>
        <w:rPr>
          <w:lang w:val="cs-CZ"/>
        </w:rPr>
        <w:t xml:space="preserve"> první strany. První strana jmenuje (8) </w:t>
      </w:r>
      <w:r>
        <w:rPr>
          <w:lang w:val="cs-CZ"/>
        </w:rPr>
        <w:t>archeologů</w:t>
      </w:r>
      <w:r>
        <w:rPr>
          <w:lang w:val="cs-CZ"/>
        </w:rPr>
        <w:t xml:space="preserve"> doprovázejících </w:t>
      </w:r>
      <w:r>
        <w:rPr>
          <w:lang w:val="cs-CZ"/>
        </w:rPr>
        <w:t>exponá</w:t>
      </w:r>
      <w:r>
        <w:rPr>
          <w:lang w:val="cs-CZ"/>
        </w:rPr>
        <w:t xml:space="preserve">ty </w:t>
      </w:r>
      <w:r>
        <w:rPr>
          <w:lang w:val="cs-CZ"/>
        </w:rPr>
        <w:t>na prostřídání v této práci</w:t>
      </w:r>
      <w:r>
        <w:rPr>
          <w:lang w:val="cs-CZ"/>
        </w:rPr>
        <w:t xml:space="preserve"> po dobu (20) dnů pro každého z nich a navíc (1) restaurátora po dobu (10) </w:t>
      </w:r>
      <w:r>
        <w:rPr>
          <w:lang w:val="cs-CZ"/>
        </w:rPr>
        <w:t xml:space="preserve">či více </w:t>
      </w:r>
      <w:r>
        <w:rPr>
          <w:lang w:val="cs-CZ"/>
        </w:rPr>
        <w:t>dnů</w:t>
      </w:r>
      <w:r>
        <w:rPr>
          <w:lang w:val="cs-CZ"/>
        </w:rPr>
        <w:t>,</w:t>
      </w:r>
      <w:r>
        <w:rPr>
          <w:lang w:val="cs-CZ"/>
        </w:rPr>
        <w:t xml:space="preserve"> v soul</w:t>
      </w:r>
      <w:r>
        <w:rPr>
          <w:lang w:val="cs-CZ"/>
        </w:rPr>
        <w:t xml:space="preserve">adu s datem, kdy získali vstupní vízum ze země pořádající výstavu, a </w:t>
      </w:r>
      <w:r>
        <w:rPr>
          <w:lang w:val="cs-CZ"/>
        </w:rPr>
        <w:t>ministerstvo</w:t>
      </w:r>
      <w:r>
        <w:rPr>
          <w:lang w:val="cs-CZ"/>
        </w:rPr>
        <w:t xml:space="preserve"> památek a cestovního ruchu určí jména svých delegátů pro tuto práci a zašle sken jejich cestovních dokladů v adekvátním předstihu.</w:t>
      </w:r>
      <w:r>
        <w:rPr>
          <w:lang w:val="cs-CZ"/>
        </w:rPr>
        <w:br/>
      </w:r>
      <w:r>
        <w:rPr>
          <w:lang w:val="cs-CZ"/>
        </w:rPr>
        <w:br/>
        <w:t>2 - První strana jmenuje (1) bezpečnostníh</w:t>
      </w:r>
      <w:r>
        <w:rPr>
          <w:lang w:val="cs-CZ"/>
        </w:rPr>
        <w:t xml:space="preserve">o zástupce, který bude doprovázet </w:t>
      </w:r>
      <w:r>
        <w:rPr>
          <w:lang w:val="cs-CZ"/>
        </w:rPr>
        <w:t>exponá</w:t>
      </w:r>
      <w:r>
        <w:rPr>
          <w:lang w:val="cs-CZ"/>
        </w:rPr>
        <w:t>ty během jejich převozu zpět do Egyptské arabské republiky po dobu (10) dnů.</w:t>
      </w:r>
    </w:p>
    <w:p w14:paraId="5DBEE347" w14:textId="77777777" w:rsidR="00CA71FD" w:rsidRDefault="00CA71FD">
      <w:pPr>
        <w:pStyle w:val="Text"/>
      </w:pPr>
    </w:p>
    <w:p w14:paraId="5DBEE348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>Šestý článek</w:t>
      </w:r>
    </w:p>
    <w:p w14:paraId="5DBEE349" w14:textId="4B7681DD" w:rsidR="00CA71FD" w:rsidRDefault="0054457D">
      <w:pPr>
        <w:pStyle w:val="Text"/>
      </w:pPr>
      <w:r>
        <w:t>Druhá strana ponese vešker</w:t>
      </w:r>
      <w:r>
        <w:rPr>
          <w:lang w:val="fr-FR"/>
        </w:rPr>
        <w:t xml:space="preserve">é </w:t>
      </w:r>
      <w:r>
        <w:t xml:space="preserve">náklady za všechny </w:t>
      </w:r>
      <w:proofErr w:type="spellStart"/>
      <w:r>
        <w:t>egyptsk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deleg</w:t>
      </w:r>
      <w:r>
        <w:t>á</w:t>
      </w:r>
      <w:r>
        <w:rPr>
          <w:lang w:val="it-IT"/>
        </w:rPr>
        <w:t>ty (dva archeologov</w:t>
      </w:r>
      <w:r>
        <w:rPr>
          <w:lang w:val="fr-FR"/>
        </w:rPr>
        <w:t xml:space="preserve">é </w:t>
      </w:r>
      <w:r>
        <w:t>- dva restaurátoři - bezpečnostní zástupce</w:t>
      </w:r>
      <w:r>
        <w:t xml:space="preserve">), včetně zpátečních letenek, denního </w:t>
      </w:r>
      <w:proofErr w:type="spellStart"/>
      <w:r>
        <w:t>kapesn</w:t>
      </w:r>
      <w:proofErr w:type="spellEnd"/>
      <w:r>
        <w:rPr>
          <w:lang w:val="fr-FR"/>
        </w:rPr>
        <w:t>é</w:t>
      </w:r>
      <w:r>
        <w:t xml:space="preserve">ho ve výši </w:t>
      </w:r>
      <w:proofErr w:type="spellStart"/>
      <w:r w:rsidR="00115B2E">
        <w:t>xxxxxxxxxxxxxxxxxxxxxxxxxxx</w:t>
      </w:r>
      <w:proofErr w:type="spellEnd"/>
      <w:r>
        <w:t xml:space="preserve"> eur, ubytování v hotelu nebo apartmánu schválen</w:t>
      </w:r>
      <w:r>
        <w:rPr>
          <w:lang w:val="fr-FR"/>
        </w:rPr>
        <w:t>é</w:t>
      </w:r>
      <w:r>
        <w:t>m první stranou a také nákladů na zdravotní pojištění po dobu jejich pobytu za účelem doprovodu výstavy. Organizátor výstavy</w:t>
      </w:r>
      <w:r>
        <w:t xml:space="preserve"> by měl rovněž vyslat sv</w:t>
      </w:r>
      <w:r>
        <w:rPr>
          <w:lang w:val="fr-FR"/>
        </w:rPr>
        <w:t xml:space="preserve">é </w:t>
      </w:r>
      <w:r>
        <w:rPr>
          <w:lang w:val="it-IT"/>
        </w:rPr>
        <w:t>deleg</w:t>
      </w:r>
      <w:proofErr w:type="spellStart"/>
      <w:r>
        <w:t>áty</w:t>
      </w:r>
      <w:proofErr w:type="spellEnd"/>
      <w:r>
        <w:t xml:space="preserve"> na letiště, aby jim usnadnil příjezd do Národního muzea v Praze a tak</w:t>
      </w:r>
      <w:r>
        <w:rPr>
          <w:lang w:val="fr-FR"/>
        </w:rPr>
        <w:t xml:space="preserve">é </w:t>
      </w:r>
      <w:r>
        <w:t xml:space="preserve">je </w:t>
      </w:r>
      <w:proofErr w:type="spellStart"/>
      <w:r>
        <w:t>odv</w:t>
      </w:r>
      <w:proofErr w:type="spellEnd"/>
      <w:r>
        <w:rPr>
          <w:lang w:val="fr-FR"/>
        </w:rPr>
        <w:t>é</w:t>
      </w:r>
      <w:proofErr w:type="spellStart"/>
      <w:r>
        <w:t>zt</w:t>
      </w:r>
      <w:proofErr w:type="spellEnd"/>
      <w:r>
        <w:t xml:space="preserve"> do hotelu či do místa pobytu.</w:t>
      </w:r>
    </w:p>
    <w:p w14:paraId="5DBEE34A" w14:textId="77777777" w:rsidR="00CA71FD" w:rsidRDefault="00CA71FD">
      <w:pPr>
        <w:pStyle w:val="Text"/>
      </w:pPr>
    </w:p>
    <w:p w14:paraId="5DBEE34B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>Článek sedm</w:t>
      </w:r>
    </w:p>
    <w:p w14:paraId="5DBEE34C" w14:textId="77777777" w:rsidR="00CA71FD" w:rsidRDefault="0054457D">
      <w:pPr>
        <w:pStyle w:val="Text"/>
      </w:pPr>
      <w:r>
        <w:t>Druhá strana je povinna předložit letenky výše uvedeným egyptský</w:t>
      </w:r>
      <w:r>
        <w:rPr>
          <w:lang w:val="it-IT"/>
        </w:rPr>
        <w:t>m deleg</w:t>
      </w:r>
      <w:proofErr w:type="spellStart"/>
      <w:r>
        <w:t>átům</w:t>
      </w:r>
      <w:proofErr w:type="spellEnd"/>
      <w:r>
        <w:t xml:space="preserve"> v </w:t>
      </w:r>
      <w:proofErr w:type="spellStart"/>
      <w:r>
        <w:t>dostatečn</w:t>
      </w:r>
      <w:proofErr w:type="spellEnd"/>
      <w:r>
        <w:rPr>
          <w:lang w:val="fr-FR"/>
        </w:rPr>
        <w:t>é</w:t>
      </w:r>
      <w:r>
        <w:t xml:space="preserve">m </w:t>
      </w:r>
      <w:r>
        <w:t>předstihu před datem jejich cesty.</w:t>
      </w:r>
    </w:p>
    <w:p w14:paraId="5DBEE34D" w14:textId="77777777" w:rsidR="00CA71FD" w:rsidRDefault="00CA71FD">
      <w:pPr>
        <w:pStyle w:val="Text"/>
      </w:pPr>
    </w:p>
    <w:p w14:paraId="5DBEE34E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>Článek 8</w:t>
      </w:r>
    </w:p>
    <w:p w14:paraId="5DBEE34F" w14:textId="77777777" w:rsidR="00CA71FD" w:rsidRDefault="0054457D">
      <w:pPr>
        <w:rPr>
          <w:lang w:val="cs-CZ"/>
        </w:rPr>
      </w:pPr>
      <w:r>
        <w:rPr>
          <w:lang w:val="cs-CZ"/>
        </w:rPr>
        <w:lastRenderedPageBreak/>
        <w:t xml:space="preserve">První strana má právo kdykoli a jednou během doby konání výstavy vyslat dva pozorovatele na náklady druhé strany, včetně úhrady všech jejich specifických nákladů, jak je popsáno v článku </w:t>
      </w:r>
      <w:r>
        <w:rPr>
          <w:lang w:val="cs-CZ"/>
        </w:rPr>
        <w:t>6</w:t>
      </w:r>
      <w:r>
        <w:rPr>
          <w:lang w:val="cs-CZ"/>
        </w:rPr>
        <w:t xml:space="preserve"> tohoto dodatku, za úče</w:t>
      </w:r>
      <w:r>
        <w:rPr>
          <w:lang w:val="cs-CZ"/>
        </w:rPr>
        <w:t>lem kontroly veškerých finančních výnosů, vstupenek nebo jiných dokumentů související s výstavou a druhá strana nemá právo zadržet jakékoli dokumenty, které v tomto ohledu pozorovatelé první strany potřebují.</w:t>
      </w:r>
    </w:p>
    <w:p w14:paraId="5DBEE350" w14:textId="77777777" w:rsidR="00CA71FD" w:rsidRDefault="00CA71FD"/>
    <w:p w14:paraId="5DBEE351" w14:textId="77777777" w:rsidR="00CA71FD" w:rsidRDefault="00CA71FD">
      <w:pPr>
        <w:pStyle w:val="Text"/>
      </w:pPr>
    </w:p>
    <w:p w14:paraId="5DBEE352" w14:textId="77777777" w:rsidR="00CA71FD" w:rsidRDefault="0054457D">
      <w:pPr>
        <w:pStyle w:val="Text"/>
        <w:jc w:val="center"/>
        <w:rPr>
          <w:b/>
          <w:bCs/>
        </w:rPr>
      </w:pPr>
      <w:r>
        <w:rPr>
          <w:b/>
          <w:bCs/>
        </w:rPr>
        <w:t>Článek 9</w:t>
      </w:r>
    </w:p>
    <w:p w14:paraId="5DBEE353" w14:textId="77777777" w:rsidR="00CA71FD" w:rsidRDefault="0054457D">
      <w:pPr>
        <w:pStyle w:val="Text"/>
      </w:pPr>
      <w:r>
        <w:t xml:space="preserve">Tato smlouva je platná pouze v </w:t>
      </w:r>
      <w:r>
        <w:t xml:space="preserve">případě, že druhá strana předloží prodloužení </w:t>
      </w:r>
      <w:proofErr w:type="spellStart"/>
      <w:r>
        <w:t>pojistn</w:t>
      </w:r>
      <w:proofErr w:type="spellEnd"/>
      <w:r>
        <w:rPr>
          <w:lang w:val="fr-FR"/>
        </w:rPr>
        <w:t xml:space="preserve">é </w:t>
      </w:r>
      <w:r>
        <w:t xml:space="preserve">smlouvy </w:t>
      </w:r>
      <w:proofErr w:type="spellStart"/>
      <w:r>
        <w:t>vydan</w:t>
      </w:r>
      <w:proofErr w:type="spellEnd"/>
      <w:r>
        <w:rPr>
          <w:lang w:val="fr-FR"/>
        </w:rPr>
        <w:t xml:space="preserve">é </w:t>
      </w:r>
      <w:r>
        <w:rPr>
          <w:i/>
          <w:iCs/>
        </w:rPr>
        <w:t>Egyptskou pojišťovací společností</w:t>
      </w:r>
      <w:r>
        <w:t xml:space="preserve"> pro </w:t>
      </w:r>
      <w:proofErr w:type="spellStart"/>
      <w:r>
        <w:t>pojistn</w:t>
      </w:r>
      <w:proofErr w:type="spellEnd"/>
      <w:r>
        <w:rPr>
          <w:lang w:val="fr-FR"/>
        </w:rPr>
        <w:t xml:space="preserve">é </w:t>
      </w:r>
      <w:r>
        <w:t>krytí artefaktů v období od 30. 6. 2021 do 30. 10. 2021 (od zdi ke zdi), dále také předloží prodloužení potvrzení o státní záruce a prodlou</w:t>
      </w:r>
      <w:r>
        <w:t>žení bankovní záruky.</w:t>
      </w:r>
    </w:p>
    <w:p w14:paraId="5DBEE354" w14:textId="77777777" w:rsidR="00CA71FD" w:rsidRDefault="00CA71FD">
      <w:pPr>
        <w:pStyle w:val="Text"/>
      </w:pPr>
    </w:p>
    <w:p w14:paraId="5DBEE355" w14:textId="77777777" w:rsidR="00CA71FD" w:rsidRDefault="0054457D">
      <w:pPr>
        <w:pStyle w:val="Text"/>
      </w:pPr>
      <w:r>
        <w:t xml:space="preserve">Tato dohoda byla vyhotovena ve dvou originálech v </w:t>
      </w:r>
      <w:proofErr w:type="spellStart"/>
      <w:r>
        <w:t>arabsk</w:t>
      </w:r>
      <w:proofErr w:type="spellEnd"/>
      <w:r>
        <w:rPr>
          <w:lang w:val="fr-FR"/>
        </w:rPr>
        <w:t>é</w:t>
      </w:r>
      <w:r>
        <w:t xml:space="preserve">m jazyce a ve dvou originálech v </w:t>
      </w:r>
      <w:proofErr w:type="spellStart"/>
      <w:r>
        <w:t>anglick</w:t>
      </w:r>
      <w:proofErr w:type="spellEnd"/>
      <w:r>
        <w:rPr>
          <w:lang w:val="fr-FR"/>
        </w:rPr>
        <w:t>é</w:t>
      </w:r>
      <w:r>
        <w:t xml:space="preserve">m jazyce. V případě jakýchkoli neshod ohledně interpretace nebo dvojznačnosti ve větách se odkazuje na </w:t>
      </w:r>
      <w:proofErr w:type="spellStart"/>
      <w:r>
        <w:t>arabsk</w:t>
      </w:r>
      <w:proofErr w:type="spellEnd"/>
      <w:r>
        <w:rPr>
          <w:lang w:val="fr-FR"/>
        </w:rPr>
        <w:t xml:space="preserve">é </w:t>
      </w:r>
      <w:r>
        <w:t>znění.</w:t>
      </w:r>
    </w:p>
    <w:p w14:paraId="5DBEE356" w14:textId="77777777" w:rsidR="00CA71FD" w:rsidRDefault="00CA71FD">
      <w:pPr>
        <w:pStyle w:val="Text"/>
      </w:pPr>
    </w:p>
    <w:p w14:paraId="5DBEE357" w14:textId="1C7A1324" w:rsidR="00CA71FD" w:rsidRDefault="0054457D">
      <w:pPr>
        <w:pStyle w:val="Text"/>
      </w:pPr>
      <w:r>
        <w:t xml:space="preserve">    </w:t>
      </w:r>
      <w:r>
        <w:rPr>
          <w:b/>
          <w:bCs/>
        </w:rPr>
        <w:t xml:space="preserve">   První str</w:t>
      </w:r>
      <w:r>
        <w:rPr>
          <w:b/>
          <w:bCs/>
        </w:rPr>
        <w:t>ana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951">
        <w:rPr>
          <w:b/>
          <w:bCs/>
        </w:rPr>
        <w:tab/>
      </w:r>
      <w:r>
        <w:rPr>
          <w:b/>
          <w:bCs/>
        </w:rPr>
        <w:t>Druhá strana</w:t>
      </w:r>
    </w:p>
    <w:p w14:paraId="5DBEE358" w14:textId="77777777" w:rsidR="00CA71FD" w:rsidRDefault="00CA71FD">
      <w:pPr>
        <w:pStyle w:val="Text"/>
      </w:pPr>
    </w:p>
    <w:p w14:paraId="5DBEE359" w14:textId="5089B246" w:rsidR="00CA71FD" w:rsidRDefault="0054457D">
      <w:r>
        <w:rPr>
          <w:rFonts w:ascii="Times Roman" w:hAnsi="Times Roman"/>
          <w:b/>
          <w:bCs/>
        </w:rPr>
        <w:t>Dr. Mostafa Waziri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 w:rsidR="00667951">
        <w:rPr>
          <w:rFonts w:ascii="Times Roman" w:hAnsi="Times Roman"/>
        </w:rPr>
        <w:tab/>
      </w:r>
      <w:r>
        <w:rPr>
          <w:rFonts w:ascii="Times Roman" w:hAnsi="Times Roman"/>
        </w:rPr>
        <w:t>prof. Miroslav Bárta</w:t>
      </w:r>
      <w:r>
        <w:rPr>
          <w:rFonts w:ascii="Times Roman" w:eastAsia="Times Roman" w:hAnsi="Times Roman" w:cs="Times Roman"/>
        </w:rPr>
        <w:br/>
      </w:r>
      <w:proofErr w:type="spellStart"/>
      <w:r>
        <w:rPr>
          <w:rFonts w:ascii="Times Roman" w:hAnsi="Times Roman"/>
          <w:b/>
          <w:bCs/>
        </w:rPr>
        <w:t>generální</w:t>
      </w:r>
      <w:proofErr w:type="spellEnd"/>
      <w:r>
        <w:rPr>
          <w:rFonts w:ascii="Times Roman" w:hAnsi="Times Roman"/>
          <w:b/>
          <w:bCs/>
        </w:rPr>
        <w:t xml:space="preserve"> </w:t>
      </w:r>
      <w:proofErr w:type="spellStart"/>
      <w:r>
        <w:rPr>
          <w:rFonts w:ascii="Times Roman" w:hAnsi="Times Roman"/>
          <w:b/>
          <w:bCs/>
        </w:rPr>
        <w:t>tajemník</w:t>
      </w:r>
      <w:proofErr w:type="spellEnd"/>
      <w:r>
        <w:rPr>
          <w:rFonts w:ascii="Times Roman" w:hAnsi="Times Roman"/>
          <w:b/>
          <w:bCs/>
        </w:rPr>
        <w:t xml:space="preserve"> </w:t>
      </w:r>
      <w:proofErr w:type="spellStart"/>
      <w:r>
        <w:rPr>
          <w:rFonts w:ascii="Times Roman" w:hAnsi="Times Roman"/>
          <w:b/>
          <w:bCs/>
        </w:rPr>
        <w:t>Nejvyšší</w:t>
      </w:r>
      <w:proofErr w:type="spellEnd"/>
      <w:r>
        <w:rPr>
          <w:rFonts w:ascii="Times Roman" w:hAnsi="Times Roman"/>
          <w:b/>
          <w:bCs/>
        </w:rPr>
        <w:t xml:space="preserve"> </w:t>
      </w:r>
      <w:proofErr w:type="spellStart"/>
      <w:r>
        <w:rPr>
          <w:rFonts w:ascii="Times Roman" w:hAnsi="Times Roman"/>
          <w:b/>
          <w:bCs/>
        </w:rPr>
        <w:t>rady</w:t>
      </w:r>
      <w:proofErr w:type="spellEnd"/>
      <w:r>
        <w:rPr>
          <w:rFonts w:ascii="Times Roman" w:hAnsi="Times Roman"/>
          <w:b/>
          <w:bCs/>
        </w:rPr>
        <w:t xml:space="preserve"> </w:t>
      </w:r>
      <w:proofErr w:type="spellStart"/>
      <w:r>
        <w:rPr>
          <w:rFonts w:ascii="Times Roman" w:hAnsi="Times Roman"/>
          <w:b/>
          <w:bCs/>
        </w:rPr>
        <w:t>památek</w:t>
      </w:r>
      <w:proofErr w:type="spellEnd"/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 w:rsidR="00667951">
        <w:rPr>
          <w:rFonts w:ascii="Times Roman" w:hAnsi="Times Roman"/>
        </w:rPr>
        <w:tab/>
      </w:r>
      <w:proofErr w:type="spellStart"/>
      <w:r>
        <w:rPr>
          <w:rFonts w:ascii="Times Roman" w:hAnsi="Times Roman"/>
          <w:b/>
          <w:bCs/>
        </w:rPr>
        <w:t>vedoucí</w:t>
      </w:r>
      <w:proofErr w:type="spellEnd"/>
      <w:r>
        <w:rPr>
          <w:rFonts w:ascii="Times Roman" w:hAnsi="Times Roman"/>
          <w:b/>
          <w:bCs/>
        </w:rPr>
        <w:t xml:space="preserve"> </w:t>
      </w:r>
      <w:proofErr w:type="spellStart"/>
      <w:r>
        <w:rPr>
          <w:rFonts w:ascii="Times Roman" w:hAnsi="Times Roman"/>
          <w:b/>
          <w:bCs/>
        </w:rPr>
        <w:t>česk</w:t>
      </w:r>
      <w:proofErr w:type="spellEnd"/>
      <w:r>
        <w:rPr>
          <w:rFonts w:ascii="Times Roman" w:hAnsi="Times Roman"/>
          <w:b/>
          <w:bCs/>
          <w:lang w:val="fr-FR"/>
        </w:rPr>
        <w:t xml:space="preserve">é </w:t>
      </w:r>
      <w:r>
        <w:rPr>
          <w:rFonts w:ascii="Times Roman" w:hAnsi="Times Roman"/>
          <w:b/>
          <w:bCs/>
        </w:rPr>
        <w:t>mise</w:t>
      </w:r>
      <w:r>
        <w:rPr>
          <w:rFonts w:ascii="Times Roman" w:eastAsia="Times Roman" w:hAnsi="Times Roman" w:cs="Times Roman"/>
        </w:rPr>
        <w:br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 w:rsidR="00667951">
        <w:rPr>
          <w:rFonts w:ascii="Times Roman" w:eastAsia="Times Roman" w:hAnsi="Times Roman" w:cs="Times Roman"/>
        </w:rPr>
        <w:tab/>
      </w:r>
      <w:proofErr w:type="spellStart"/>
      <w:r w:rsidR="00667951">
        <w:rPr>
          <w:rFonts w:ascii="Times Roman" w:eastAsia="Times Roman" w:hAnsi="Times Roman" w:cs="Times Roman"/>
        </w:rPr>
        <w:t>xxxxxxxxxxxxxxxxxxxxxxxxxx</w:t>
      </w:r>
      <w:proofErr w:type="spellEnd"/>
      <w:r>
        <w:rPr>
          <w:rFonts w:ascii="Times Roman" w:eastAsia="Times Roman" w:hAnsi="Times Roman" w:cs="Times Roman"/>
        </w:rPr>
        <w:br/>
      </w:r>
      <w:proofErr w:type="spellStart"/>
      <w:r w:rsidR="00667951">
        <w:rPr>
          <w:rFonts w:ascii="Times Roman" w:eastAsia="Times Roman" w:hAnsi="Times Roman" w:cs="Times Roman"/>
        </w:rPr>
        <w:t>xxxxxxxxxxxxxxxxxxxxxxxxxxxxxxxxxxxxxxxxxxxxxxxxx</w:t>
      </w:r>
      <w:proofErr w:type="spellEnd"/>
      <w:r>
        <w:rPr>
          <w:rFonts w:ascii="Times Roman" w:eastAsia="Times Roman" w:hAnsi="Times Roman" w:cs="Times Roman"/>
        </w:rPr>
        <w:tab/>
      </w:r>
      <w:r>
        <w:rPr>
          <w:rFonts w:ascii="Times Roman" w:hAnsi="Times Roman"/>
        </w:rPr>
        <w:t>PhDr. Michal Lukeš</w:t>
      </w:r>
      <w:r>
        <w:rPr>
          <w:rFonts w:ascii="Times Roman" w:hAnsi="Times Roman"/>
        </w:rPr>
        <w:br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 w:rsidR="00667951">
        <w:rPr>
          <w:rFonts w:ascii="Times Roman" w:hAnsi="Times Roman"/>
        </w:rPr>
        <w:tab/>
      </w:r>
      <w:proofErr w:type="spellStart"/>
      <w:r>
        <w:rPr>
          <w:rFonts w:ascii="Times Roman" w:hAnsi="Times Roman"/>
          <w:b/>
          <w:bCs/>
        </w:rPr>
        <w:t>ředitel</w:t>
      </w:r>
      <w:proofErr w:type="spellEnd"/>
      <w:r>
        <w:rPr>
          <w:rFonts w:ascii="Times Roman" w:hAnsi="Times Roman"/>
          <w:b/>
          <w:bCs/>
        </w:rPr>
        <w:t xml:space="preserve"> </w:t>
      </w:r>
      <w:proofErr w:type="spellStart"/>
      <w:r>
        <w:rPr>
          <w:rFonts w:ascii="Times Roman" w:hAnsi="Times Roman"/>
          <w:b/>
          <w:bCs/>
        </w:rPr>
        <w:t>Národn</w:t>
      </w:r>
      <w:r>
        <w:rPr>
          <w:rFonts w:ascii="Times Roman" w:hAnsi="Times Roman"/>
          <w:b/>
          <w:bCs/>
        </w:rPr>
        <w:t>ího</w:t>
      </w:r>
      <w:proofErr w:type="spellEnd"/>
      <w:r>
        <w:rPr>
          <w:rFonts w:ascii="Times Roman" w:hAnsi="Times Roman"/>
          <w:b/>
          <w:bCs/>
        </w:rPr>
        <w:t xml:space="preserve"> </w:t>
      </w:r>
      <w:proofErr w:type="spellStart"/>
      <w:r>
        <w:rPr>
          <w:rFonts w:ascii="Times Roman" w:hAnsi="Times Roman"/>
          <w:b/>
          <w:bCs/>
        </w:rPr>
        <w:t>muzea</w:t>
      </w:r>
      <w:proofErr w:type="spellEnd"/>
      <w:r>
        <w:rPr>
          <w:rFonts w:ascii="Times Roman" w:hAnsi="Times Roman"/>
          <w:b/>
          <w:bCs/>
        </w:rPr>
        <w:t xml:space="preserve"> v ČR</w:t>
      </w:r>
    </w:p>
    <w:p w14:paraId="5DBEE35A" w14:textId="4BA1D83D" w:rsidR="00CA71FD" w:rsidRDefault="0054457D"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 w:rsidR="00667951">
        <w:rPr>
          <w:rFonts w:ascii="Times Roman" w:hAnsi="Times Roman"/>
        </w:rPr>
        <w:tab/>
      </w:r>
      <w:proofErr w:type="spellStart"/>
      <w:r w:rsidR="00667951">
        <w:rPr>
          <w:rFonts w:ascii="Times Roman" w:eastAsia="Times Roman" w:hAnsi="Times Roman" w:cs="Times Roman"/>
        </w:rPr>
        <w:t>xxxxxxxxxxxxxxxxxxxxxxxxxx</w:t>
      </w:r>
      <w:proofErr w:type="spellEnd"/>
    </w:p>
    <w:sectPr w:rsidR="00CA71FD">
      <w:headerReference w:type="default" r:id="rId7"/>
      <w:footerReference w:type="default" r:id="rId8"/>
      <w:pgSz w:w="11906" w:h="16838"/>
      <w:pgMar w:top="1693" w:right="1134" w:bottom="1693" w:left="1134" w:header="1134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06994" w14:textId="77777777" w:rsidR="0054457D" w:rsidRDefault="0054457D">
      <w:r>
        <w:separator/>
      </w:r>
    </w:p>
  </w:endnote>
  <w:endnote w:type="continuationSeparator" w:id="0">
    <w:p w14:paraId="0AB9B5F8" w14:textId="77777777" w:rsidR="0054457D" w:rsidRDefault="005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Times Roman">
    <w:altName w:val="Times New Roman"/>
    <w:charset w:val="EE"/>
    <w:family w:val="roman"/>
    <w:pitch w:val="variable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E35C" w14:textId="77777777" w:rsidR="00CA71FD" w:rsidRDefault="0054457D">
    <w:pPr>
      <w:pStyle w:val="Zpat"/>
      <w:tabs>
        <w:tab w:val="clear" w:pos="9638"/>
        <w:tab w:val="right" w:pos="9612"/>
      </w:tabs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1A0C7" w14:textId="77777777" w:rsidR="0054457D" w:rsidRDefault="0054457D">
      <w:r>
        <w:separator/>
      </w:r>
    </w:p>
  </w:footnote>
  <w:footnote w:type="continuationSeparator" w:id="0">
    <w:p w14:paraId="0D01B22B" w14:textId="77777777" w:rsidR="0054457D" w:rsidRDefault="005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E35B" w14:textId="528824B2" w:rsidR="00CA71FD" w:rsidRDefault="00EA1D53">
    <w:pPr>
      <w:pStyle w:val="Zhlav"/>
      <w:tabs>
        <w:tab w:val="clear" w:pos="9638"/>
        <w:tab w:val="right" w:pos="9612"/>
      </w:tabs>
      <w:jc w:val="center"/>
    </w:pPr>
    <w:proofErr w:type="spellStart"/>
    <w:r>
      <w:rPr>
        <w:i/>
        <w:iCs/>
      </w:rPr>
      <w:t>xxxxxxxxxxxxxxxxxxxxxxxxxxxxxxxxx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C0DAC"/>
    <w:multiLevelType w:val="multilevel"/>
    <w:tmpl w:val="3FF29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194755"/>
    <w:multiLevelType w:val="multilevel"/>
    <w:tmpl w:val="BADAD8FC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10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25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720"/>
        </w:tabs>
        <w:ind w:left="32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FD"/>
    <w:rsid w:val="00115B2E"/>
    <w:rsid w:val="0054457D"/>
    <w:rsid w:val="00667951"/>
    <w:rsid w:val="00CA71FD"/>
    <w:rsid w:val="00D05592"/>
    <w:rsid w:val="00EA1D53"/>
    <w:rsid w:val="00E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E318"/>
  <w15:docId w15:val="{5FA8EB7D-DA8B-42EC-87DA-E04D1B85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 w:val="0"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</w:rPr>
  </w:style>
  <w:style w:type="paragraph" w:styleId="Zpat">
    <w:name w:val="footer"/>
    <w:pPr>
      <w:tabs>
        <w:tab w:val="center" w:pos="4819"/>
        <w:tab w:val="right" w:pos="9638"/>
      </w:tabs>
    </w:pPr>
    <w:rPr>
      <w:rFonts w:eastAsia="Times New Roman"/>
      <w:color w:val="000000"/>
      <w:kern w:val="2"/>
      <w:sz w:val="24"/>
      <w:szCs w:val="24"/>
      <w:u w:color="000000"/>
    </w:rPr>
  </w:style>
  <w:style w:type="paragraph" w:customStyle="1" w:styleId="Text">
    <w:name w:val="Text"/>
    <w:qFormat/>
    <w:rPr>
      <w:rFonts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957</Words>
  <Characters>5649</Characters>
  <Application>Microsoft Office Word</Application>
  <DocSecurity>0</DocSecurity>
  <Lines>47</Lines>
  <Paragraphs>13</Paragraphs>
  <ScaleCrop>false</ScaleCrop>
  <Company>Národní muzeum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Boučková Lenka</cp:lastModifiedBy>
  <cp:revision>17</cp:revision>
  <dcterms:created xsi:type="dcterms:W3CDTF">2021-01-12T10:46:00Z</dcterms:created>
  <dcterms:modified xsi:type="dcterms:W3CDTF">2021-09-21T09:58:00Z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