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7816" w14:textId="77777777" w:rsidR="002B19D1" w:rsidRDefault="00683FC1">
      <w:pPr>
        <w:pStyle w:val="Heading10"/>
        <w:framePr w:w="8712" w:h="308" w:hRule="exact" w:wrap="none" w:vAnchor="page" w:hAnchor="page" w:x="1520" w:y="1544"/>
        <w:shd w:val="clear" w:color="auto" w:fill="auto"/>
        <w:spacing w:after="0"/>
      </w:pPr>
      <w:bookmarkStart w:id="0" w:name="bookmark0"/>
      <w:r>
        <w:t>Smlouva o zajištění ceny k výročí divadla</w:t>
      </w:r>
      <w:bookmarkEnd w:id="0"/>
    </w:p>
    <w:p w14:paraId="62C67817" w14:textId="77777777" w:rsidR="002B19D1" w:rsidRDefault="00683FC1">
      <w:pPr>
        <w:pStyle w:val="Heading20"/>
        <w:framePr w:w="8712" w:h="8001" w:hRule="exact" w:wrap="none" w:vAnchor="page" w:hAnchor="page" w:x="1520" w:y="2010"/>
        <w:shd w:val="clear" w:color="auto" w:fill="auto"/>
        <w:spacing w:before="0"/>
        <w:ind w:left="580"/>
      </w:pPr>
      <w:bookmarkStart w:id="1" w:name="bookmark1"/>
      <w:r>
        <w:t>Smluvní strany:</w:t>
      </w:r>
      <w:bookmarkEnd w:id="1"/>
    </w:p>
    <w:p w14:paraId="62C67818" w14:textId="77E4B9DB" w:rsidR="002B19D1" w:rsidRDefault="00683FC1">
      <w:pPr>
        <w:pStyle w:val="Heading20"/>
        <w:framePr w:w="8712" w:h="8001" w:hRule="exact" w:wrap="none" w:vAnchor="page" w:hAnchor="page" w:x="1520" w:y="2010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left="580"/>
      </w:pPr>
      <w:bookmarkStart w:id="2" w:name="bookmark2"/>
      <w:r>
        <w:t>Hudební divadlo v Karlí</w:t>
      </w:r>
      <w:r>
        <w:t>ně</w:t>
      </w:r>
      <w:bookmarkEnd w:id="2"/>
    </w:p>
    <w:p w14:paraId="62C67819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>IČ: 00064335</w:t>
      </w:r>
    </w:p>
    <w:p w14:paraId="62C6781A" w14:textId="5873ADE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 xml:space="preserve">se sídlem Křižíkova 283/10, </w:t>
      </w:r>
      <w:r>
        <w:t>Karlí</w:t>
      </w:r>
      <w:r>
        <w:t>n,</w:t>
      </w:r>
      <w:r>
        <w:t xml:space="preserve"> 186 00 Praha</w:t>
      </w:r>
    </w:p>
    <w:p w14:paraId="62C6781B" w14:textId="77777777" w:rsidR="002B19D1" w:rsidRDefault="00683FC1">
      <w:pPr>
        <w:pStyle w:val="Bodytext30"/>
        <w:framePr w:w="8712" w:h="8001" w:hRule="exact" w:wrap="none" w:vAnchor="page" w:hAnchor="page" w:x="1520" w:y="2010"/>
        <w:shd w:val="clear" w:color="auto" w:fill="auto"/>
        <w:ind w:left="580" w:firstLine="0"/>
      </w:pPr>
      <w:r w:rsidRPr="00683FC1">
        <w:rPr>
          <w:b w:val="0"/>
        </w:rPr>
        <w:t>(„</w:t>
      </w:r>
      <w:r>
        <w:t xml:space="preserve">HDK </w:t>
      </w:r>
      <w:r w:rsidRPr="00683FC1">
        <w:rPr>
          <w:b w:val="0"/>
        </w:rPr>
        <w:t>)</w:t>
      </w:r>
    </w:p>
    <w:p w14:paraId="62C6781C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>a</w:t>
      </w:r>
    </w:p>
    <w:p w14:paraId="62C6781D" w14:textId="77777777" w:rsidR="002B19D1" w:rsidRDefault="00683FC1">
      <w:pPr>
        <w:pStyle w:val="Heading20"/>
        <w:framePr w:w="8712" w:h="8001" w:hRule="exact" w:wrap="none" w:vAnchor="page" w:hAnchor="page" w:x="1520" w:y="2010"/>
        <w:numPr>
          <w:ilvl w:val="0"/>
          <w:numId w:val="1"/>
        </w:numPr>
        <w:shd w:val="clear" w:color="auto" w:fill="auto"/>
        <w:tabs>
          <w:tab w:val="left" w:pos="528"/>
        </w:tabs>
        <w:spacing w:before="0"/>
        <w:ind w:left="580"/>
      </w:pPr>
      <w:bookmarkStart w:id="3" w:name="bookmark3"/>
      <w:r>
        <w:t>Vatrofest s.r.o.</w:t>
      </w:r>
      <w:bookmarkEnd w:id="3"/>
    </w:p>
    <w:p w14:paraId="62C6781E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>IČ 09676023</w:t>
      </w:r>
    </w:p>
    <w:p w14:paraId="62C6781F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>Se sídlem Petrská 1426/1, 110 00 Praha 1</w:t>
      </w:r>
    </w:p>
    <w:p w14:paraId="62C67820" w14:textId="7EF62283" w:rsidR="002B19D1" w:rsidRPr="00683FC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spacing w:after="200"/>
        <w:ind w:left="580" w:firstLine="0"/>
        <w:rPr>
          <w:b/>
        </w:rPr>
      </w:pPr>
      <w:r w:rsidRPr="00683FC1">
        <w:rPr>
          <w:rStyle w:val="Bodytext2Bold"/>
          <w:b w:val="0"/>
        </w:rPr>
        <w:t>(</w:t>
      </w:r>
      <w:r>
        <w:rPr>
          <w:rStyle w:val="Bodytext2Bold"/>
          <w:b w:val="0"/>
        </w:rPr>
        <w:t>„</w:t>
      </w:r>
      <w:r>
        <w:rPr>
          <w:rStyle w:val="Bodytext2Bold"/>
        </w:rPr>
        <w:t>Partner</w:t>
      </w:r>
      <w:r>
        <w:rPr>
          <w:rStyle w:val="Bodytext2Bold"/>
          <w:b w:val="0"/>
        </w:rPr>
        <w:t>“</w:t>
      </w:r>
      <w:r>
        <w:rPr>
          <w:rStyle w:val="Bodytext2Bold"/>
        </w:rPr>
        <w:t xml:space="preserve"> </w:t>
      </w:r>
      <w:r>
        <w:t>společně</w:t>
      </w:r>
      <w:r>
        <w:t xml:space="preserve"> s HDK dále jako „</w:t>
      </w:r>
      <w:r>
        <w:rPr>
          <w:rStyle w:val="Bodytext2Bold"/>
        </w:rPr>
        <w:t>Strany</w:t>
      </w:r>
      <w:r>
        <w:rPr>
          <w:rStyle w:val="Bodytext2Bold"/>
          <w:b w:val="0"/>
        </w:rPr>
        <w:t>“</w:t>
      </w:r>
      <w:r>
        <w:rPr>
          <w:rStyle w:val="Bodytext2Bold"/>
        </w:rPr>
        <w:t xml:space="preserve"> </w:t>
      </w:r>
      <w:r>
        <w:t xml:space="preserve">nebo každý samostatně jako </w:t>
      </w:r>
      <w:r w:rsidRPr="00683FC1">
        <w:rPr>
          <w:rStyle w:val="Bodytext2Bold"/>
          <w:b w:val="0"/>
        </w:rPr>
        <w:t>„</w:t>
      </w:r>
      <w:r>
        <w:rPr>
          <w:rStyle w:val="Bodytext2Bold"/>
        </w:rPr>
        <w:t>Strana</w:t>
      </w:r>
      <w:r w:rsidRPr="00683FC1">
        <w:rPr>
          <w:rStyle w:val="Bodytext2Bold"/>
          <w:b w:val="0"/>
        </w:rPr>
        <w:t>")</w:t>
      </w:r>
    </w:p>
    <w:p w14:paraId="62C67821" w14:textId="77777777" w:rsidR="002B19D1" w:rsidRDefault="00683FC1">
      <w:pPr>
        <w:pStyle w:val="Heading20"/>
        <w:framePr w:w="8712" w:h="8001" w:hRule="exact" w:wrap="none" w:vAnchor="page" w:hAnchor="page" w:x="1520" w:y="2010"/>
        <w:shd w:val="clear" w:color="auto" w:fill="auto"/>
        <w:spacing w:before="0"/>
        <w:ind w:left="580"/>
      </w:pPr>
      <w:bookmarkStart w:id="4" w:name="bookmark4"/>
      <w:r>
        <w:t>Vzhledem k tomu, že:</w:t>
      </w:r>
      <w:bookmarkEnd w:id="4"/>
    </w:p>
    <w:p w14:paraId="62C67822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tabs>
          <w:tab w:val="left" w:pos="528"/>
        </w:tabs>
        <w:ind w:left="580"/>
        <w:jc w:val="both"/>
      </w:pPr>
      <w:r>
        <w:t>A</w:t>
      </w:r>
      <w:r>
        <w:tab/>
        <w:t>HDK bude slavit 140 let od svého vzniku a u této příležitosti chce dát 140 svým divákům cenu:</w:t>
      </w:r>
    </w:p>
    <w:p w14:paraId="62C67823" w14:textId="40425AB4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tabs>
          <w:tab w:val="left" w:pos="528"/>
        </w:tabs>
        <w:ind w:left="580"/>
        <w:jc w:val="both"/>
      </w:pPr>
      <w:r>
        <w:t>B</w:t>
      </w:r>
      <w:r>
        <w:tab/>
        <w:t xml:space="preserve">Partner je společností se zkušenostmi s propagací a marketingem </w:t>
      </w:r>
      <w:r>
        <w:t>a je schopný</w:t>
      </w:r>
      <w:r>
        <w:t xml:space="preserve"> tyto ceny pro</w:t>
      </w:r>
    </w:p>
    <w:p w14:paraId="62C67824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left="580" w:firstLine="0"/>
      </w:pPr>
      <w:r>
        <w:t>HDK sehnat;</w:t>
      </w:r>
    </w:p>
    <w:p w14:paraId="62C67825" w14:textId="77777777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ind w:firstLine="0"/>
        <w:jc w:val="both"/>
      </w:pPr>
      <w:r>
        <w:t xml:space="preserve">Strany uzavírají v souladu s ustanovením § 1746 odst. 2 zákona č. 89/2012, občanského zákoníku, ve znění pozdějších předpisu </w:t>
      </w:r>
      <w:r w:rsidRPr="00683FC1">
        <w:rPr>
          <w:rStyle w:val="Bodytext2Bold"/>
          <w:b w:val="0"/>
        </w:rPr>
        <w:t>(„</w:t>
      </w:r>
      <w:r>
        <w:rPr>
          <w:rStyle w:val="Bodytext2Bold"/>
        </w:rPr>
        <w:t>Občanský zákoník</w:t>
      </w:r>
      <w:r w:rsidRPr="00683FC1">
        <w:rPr>
          <w:rStyle w:val="Bodytext2Bold"/>
          <w:b w:val="0"/>
        </w:rPr>
        <w:t>"),</w:t>
      </w:r>
      <w:r>
        <w:rPr>
          <w:rStyle w:val="Bodytext2Bold"/>
        </w:rPr>
        <w:t xml:space="preserve"> </w:t>
      </w:r>
      <w:r>
        <w:t>tuto smlouvu o zajištění cen k výročí divadla</w:t>
      </w:r>
    </w:p>
    <w:p w14:paraId="62C67826" w14:textId="77777777" w:rsidR="002B19D1" w:rsidRDefault="00683FC1">
      <w:pPr>
        <w:pStyle w:val="Bodytext30"/>
        <w:framePr w:w="8712" w:h="8001" w:hRule="exact" w:wrap="none" w:vAnchor="page" w:hAnchor="page" w:x="1520" w:y="2010"/>
        <w:shd w:val="clear" w:color="auto" w:fill="auto"/>
        <w:spacing w:after="204"/>
        <w:ind w:left="580"/>
        <w:jc w:val="both"/>
      </w:pPr>
      <w:r w:rsidRPr="00683FC1">
        <w:rPr>
          <w:b w:val="0"/>
        </w:rPr>
        <w:t>(„</w:t>
      </w:r>
      <w:r>
        <w:t>Smlouva</w:t>
      </w:r>
      <w:r w:rsidRPr="00683FC1">
        <w:rPr>
          <w:b w:val="0"/>
        </w:rPr>
        <w:t>").</w:t>
      </w:r>
    </w:p>
    <w:p w14:paraId="62C67827" w14:textId="77777777" w:rsidR="002B19D1" w:rsidRDefault="00683FC1">
      <w:pPr>
        <w:pStyle w:val="Heading20"/>
        <w:framePr w:w="8712" w:h="8001" w:hRule="exact" w:wrap="none" w:vAnchor="page" w:hAnchor="page" w:x="1520" w:y="2010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6" w:lineRule="exact"/>
        <w:ind w:left="580"/>
      </w:pPr>
      <w:bookmarkStart w:id="5" w:name="bookmark5"/>
      <w:r>
        <w:t xml:space="preserve">Předmět </w:t>
      </w:r>
      <w:r>
        <w:t>Smlouvy</w:t>
      </w:r>
      <w:bookmarkEnd w:id="5"/>
    </w:p>
    <w:p w14:paraId="62C67828" w14:textId="4C9E93EA" w:rsidR="002B19D1" w:rsidRDefault="00683FC1">
      <w:pPr>
        <w:pStyle w:val="Bodytext20"/>
        <w:framePr w:w="8712" w:h="8001" w:hRule="exact" w:wrap="none" w:vAnchor="page" w:hAnchor="page" w:x="1520" w:y="2010"/>
        <w:numPr>
          <w:ilvl w:val="1"/>
          <w:numId w:val="2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Partner zajistí pro HDK minimálně 100 cen. maximálně však 140 („Ceny</w:t>
      </w:r>
      <w:r>
        <w:t>").</w:t>
      </w:r>
    </w:p>
    <w:p w14:paraId="62C67829" w14:textId="77777777" w:rsidR="002B19D1" w:rsidRDefault="00683FC1">
      <w:pPr>
        <w:pStyle w:val="Bodytext20"/>
        <w:framePr w:w="8712" w:h="8001" w:hRule="exact" w:wrap="none" w:vAnchor="page" w:hAnchor="page" w:x="1520" w:y="2010"/>
        <w:numPr>
          <w:ilvl w:val="0"/>
          <w:numId w:val="3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Ceny musí být ze strany HDK před jejich převzetím schváleny a po schválení ze strany HDK předány Partnerem a doručeny HDK nejpozději do 15, 12. 2021.</w:t>
      </w:r>
    </w:p>
    <w:p w14:paraId="62C6782A" w14:textId="71D6E1C7" w:rsidR="002B19D1" w:rsidRDefault="00683FC1">
      <w:pPr>
        <w:pStyle w:val="Bodytext20"/>
        <w:framePr w:w="8712" w:h="8001" w:hRule="exact" w:wrap="none" w:vAnchor="page" w:hAnchor="page" w:x="1520" w:y="2010"/>
        <w:numPr>
          <w:ilvl w:val="0"/>
          <w:numId w:val="3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Za Ceny HDK zaplatí Partn</w:t>
      </w:r>
      <w:r>
        <w:t>erovi 10% pořizovací hodnoty těchto Cen bez DPH,</w:t>
      </w:r>
      <w:r>
        <w:t xml:space="preserve"> kde výše této odměny musí být vždy předem schválena ze strany HDK </w:t>
      </w:r>
      <w:r>
        <w:rPr>
          <w:rStyle w:val="Bodytext2Bold"/>
        </w:rPr>
        <w:t>(„Odměna")</w:t>
      </w:r>
    </w:p>
    <w:p w14:paraId="62C6782B" w14:textId="77777777" w:rsidR="002B19D1" w:rsidRDefault="00683FC1">
      <w:pPr>
        <w:pStyle w:val="Bodytext20"/>
        <w:framePr w:w="8712" w:h="8001" w:hRule="exact" w:wrap="none" w:vAnchor="page" w:hAnchor="page" w:x="1520" w:y="2010"/>
        <w:numPr>
          <w:ilvl w:val="0"/>
          <w:numId w:val="3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Odměna bude Partnerovi ze strany HDK hrazena vždy směnou oproti plnění ze strany HDK, zejména v podobě služeb nebo podnájmu prosto</w:t>
      </w:r>
      <w:r>
        <w:t>r ze strany HDK Partnerovi,</w:t>
      </w:r>
    </w:p>
    <w:p w14:paraId="62C6782C" w14:textId="77777777" w:rsidR="002B19D1" w:rsidRDefault="00683FC1">
      <w:pPr>
        <w:pStyle w:val="Heading20"/>
        <w:framePr w:w="8712" w:h="8001" w:hRule="exact" w:wrap="none" w:vAnchor="page" w:hAnchor="page" w:x="1520" w:y="2010"/>
        <w:numPr>
          <w:ilvl w:val="0"/>
          <w:numId w:val="2"/>
        </w:numPr>
        <w:shd w:val="clear" w:color="auto" w:fill="auto"/>
        <w:tabs>
          <w:tab w:val="left" w:pos="528"/>
        </w:tabs>
        <w:spacing w:before="0" w:line="216" w:lineRule="exact"/>
        <w:ind w:left="580"/>
      </w:pPr>
      <w:bookmarkStart w:id="6" w:name="bookmark6"/>
      <w:r>
        <w:t>Závěrečná ustanoveni</w:t>
      </w:r>
      <w:bookmarkEnd w:id="6"/>
    </w:p>
    <w:p w14:paraId="62C6782D" w14:textId="2B28FF71" w:rsidR="002B19D1" w:rsidRDefault="00683FC1">
      <w:pPr>
        <w:pStyle w:val="Bodytext20"/>
        <w:framePr w:w="8712" w:h="8001" w:hRule="exact" w:wrap="none" w:vAnchor="page" w:hAnchor="page" w:x="1520" w:y="2010"/>
        <w:numPr>
          <w:ilvl w:val="1"/>
          <w:numId w:val="2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Strany se zavazuji, že si</w:t>
      </w:r>
      <w:r>
        <w:t xml:space="preserve"> navzájem poskytnou a budou sdílet veškeré informace potřebné k řádnému výkonu svých práv a řádnému plnění svých povinností podle této Smlouvy.</w:t>
      </w:r>
    </w:p>
    <w:p w14:paraId="62C6782E" w14:textId="7E905F83" w:rsidR="002B19D1" w:rsidRDefault="00683FC1">
      <w:pPr>
        <w:pStyle w:val="Bodytext20"/>
        <w:framePr w:w="8712" w:h="8001" w:hRule="exact" w:wrap="none" w:vAnchor="page" w:hAnchor="page" w:x="1520" w:y="2010"/>
        <w:shd w:val="clear" w:color="auto" w:fill="auto"/>
        <w:spacing w:line="216" w:lineRule="exact"/>
        <w:ind w:left="580"/>
        <w:jc w:val="both"/>
      </w:pPr>
      <w:r>
        <w:t>2.2. Tato Smlouva a všechny mi</w:t>
      </w:r>
      <w:r>
        <w:t>mosmluvn</w:t>
      </w:r>
      <w:r>
        <w:t>í závazky vzniklé z ní nebo v souvislosti s ní se řídí českým právem Práva a povinností Stran výslovně neupravené touto Smlouvou se řídí Občanským zákoníkem a dalšími aplikovatelnými zákony</w:t>
      </w:r>
    </w:p>
    <w:p w14:paraId="62C6782F" w14:textId="77777777" w:rsidR="002B19D1" w:rsidRDefault="00683FC1">
      <w:pPr>
        <w:pStyle w:val="Bodytext20"/>
        <w:framePr w:w="8712" w:h="8001" w:hRule="exact" w:wrap="none" w:vAnchor="page" w:hAnchor="page" w:x="1520" w:y="2010"/>
        <w:numPr>
          <w:ilvl w:val="0"/>
          <w:numId w:val="4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 xml:space="preserve">Tato Smlouva je vyhotovena ve dvou (2) písemných stejnopisech, </w:t>
      </w:r>
      <w:r>
        <w:t>každý s platností originálu Každá Strana obdrží po jednom (1) stejnopise</w:t>
      </w:r>
    </w:p>
    <w:p w14:paraId="62C67830" w14:textId="77777777" w:rsidR="002B19D1" w:rsidRDefault="00683FC1">
      <w:pPr>
        <w:pStyle w:val="Bodytext20"/>
        <w:framePr w:w="8712" w:h="8001" w:hRule="exact" w:wrap="none" w:vAnchor="page" w:hAnchor="page" w:x="1520" w:y="2010"/>
        <w:numPr>
          <w:ilvl w:val="0"/>
          <w:numId w:val="4"/>
        </w:numPr>
        <w:shd w:val="clear" w:color="auto" w:fill="auto"/>
        <w:tabs>
          <w:tab w:val="left" w:pos="528"/>
        </w:tabs>
        <w:spacing w:line="216" w:lineRule="exact"/>
        <w:ind w:left="580"/>
        <w:jc w:val="both"/>
      </w:pPr>
      <w:r>
        <w:t>Tato Smlouva muže být měněna anebo ukončena písemnou dohodou Stran</w:t>
      </w:r>
    </w:p>
    <w:p w14:paraId="62C67831" w14:textId="77777777" w:rsidR="002B19D1" w:rsidRDefault="00683FC1">
      <w:pPr>
        <w:pStyle w:val="Bodytext20"/>
        <w:framePr w:wrap="none" w:vAnchor="page" w:hAnchor="page" w:x="1626" w:y="10518"/>
        <w:shd w:val="clear" w:color="auto" w:fill="auto"/>
        <w:spacing w:line="212" w:lineRule="exact"/>
        <w:ind w:firstLine="0"/>
      </w:pPr>
      <w:r>
        <w:t>V Praze dne 15. 9 2021</w:t>
      </w:r>
    </w:p>
    <w:p w14:paraId="62C67832" w14:textId="77777777" w:rsidR="002B19D1" w:rsidRDefault="00683FC1">
      <w:pPr>
        <w:pStyle w:val="Bodytext20"/>
        <w:framePr w:wrap="none" w:vAnchor="page" w:hAnchor="page" w:x="5965" w:y="10527"/>
        <w:shd w:val="clear" w:color="auto" w:fill="auto"/>
        <w:spacing w:line="212" w:lineRule="exact"/>
        <w:ind w:firstLine="0"/>
      </w:pPr>
      <w:r>
        <w:t>V Praze dne 15. 9. 2021</w:t>
      </w:r>
    </w:p>
    <w:p w14:paraId="62C67833" w14:textId="304E25BA" w:rsidR="002B19D1" w:rsidRDefault="00683FC1">
      <w:pPr>
        <w:pStyle w:val="Picturecaption20"/>
        <w:framePr w:wrap="none" w:vAnchor="page" w:hAnchor="page" w:x="1626" w:y="11386"/>
        <w:shd w:val="clear" w:color="auto" w:fill="auto"/>
      </w:pPr>
      <w:r>
        <w:rPr>
          <w:rStyle w:val="Picturecaption2NotBold"/>
        </w:rPr>
        <w:t xml:space="preserve">Za </w:t>
      </w:r>
      <w:r>
        <w:t>Hudební divadlo v Karlí</w:t>
      </w:r>
      <w:r>
        <w:t>ně</w:t>
      </w:r>
    </w:p>
    <w:p w14:paraId="62C67839" w14:textId="77777777" w:rsidR="002B19D1" w:rsidRDefault="00683FC1">
      <w:pPr>
        <w:pStyle w:val="Picturecaption20"/>
        <w:framePr w:wrap="none" w:vAnchor="page" w:hAnchor="page" w:x="5974" w:y="11401"/>
        <w:shd w:val="clear" w:color="auto" w:fill="auto"/>
      </w:pPr>
      <w:r>
        <w:t>Partner</w:t>
      </w:r>
    </w:p>
    <w:p w14:paraId="62C6783B" w14:textId="4C0F251F" w:rsidR="002B19D1" w:rsidRDefault="00683FC1" w:rsidP="00683FC1">
      <w:pPr>
        <w:pStyle w:val="Picturecaption20"/>
        <w:framePr w:w="7501" w:wrap="none" w:vAnchor="page" w:hAnchor="page" w:x="1681" w:y="12946"/>
        <w:shd w:val="clear" w:color="auto" w:fill="auto"/>
      </w:pPr>
      <w:r>
        <w:t xml:space="preserve">Egon Kulhánek, ředitel                                          </w:t>
      </w:r>
      <w:r>
        <w:t>Jana Neužilová</w:t>
      </w:r>
    </w:p>
    <w:p w14:paraId="62C6783C" w14:textId="77777777" w:rsidR="002B19D1" w:rsidRDefault="00683FC1">
      <w:pPr>
        <w:pStyle w:val="Headerorfooter0"/>
        <w:framePr w:wrap="none" w:vAnchor="page" w:hAnchor="page" w:x="5835" w:y="15144"/>
        <w:shd w:val="clear" w:color="auto" w:fill="auto"/>
      </w:pPr>
      <w:r>
        <w:t>1</w:t>
      </w:r>
    </w:p>
    <w:p w14:paraId="62C6783D" w14:textId="77777777" w:rsidR="002B19D1" w:rsidRDefault="002B19D1">
      <w:pPr>
        <w:rPr>
          <w:sz w:val="2"/>
          <w:szCs w:val="2"/>
        </w:rPr>
      </w:pPr>
      <w:bookmarkStart w:id="7" w:name="_GoBack"/>
      <w:bookmarkEnd w:id="7"/>
    </w:p>
    <w:sectPr w:rsidR="002B19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7844" w14:textId="77777777" w:rsidR="00000000" w:rsidRDefault="00683FC1">
      <w:r>
        <w:separator/>
      </w:r>
    </w:p>
  </w:endnote>
  <w:endnote w:type="continuationSeparator" w:id="0">
    <w:p w14:paraId="62C67846" w14:textId="77777777" w:rsidR="00000000" w:rsidRDefault="006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7840" w14:textId="77777777" w:rsidR="002B19D1" w:rsidRDefault="002B19D1"/>
  </w:footnote>
  <w:footnote w:type="continuationSeparator" w:id="0">
    <w:p w14:paraId="62C67841" w14:textId="77777777" w:rsidR="002B19D1" w:rsidRDefault="002B19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920"/>
    <w:multiLevelType w:val="multilevel"/>
    <w:tmpl w:val="C79E8E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00F9E"/>
    <w:multiLevelType w:val="multilevel"/>
    <w:tmpl w:val="9AB6D4BE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875EF"/>
    <w:multiLevelType w:val="multilevel"/>
    <w:tmpl w:val="67406D8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A7866"/>
    <w:multiLevelType w:val="multilevel"/>
    <w:tmpl w:val="6074DA82"/>
    <w:lvl w:ilvl="0">
      <w:start w:val="3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19D1"/>
    <w:rsid w:val="002B19D1"/>
    <w:rsid w:val="006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C67816"/>
  <w15:docId w15:val="{0C420BDD-AAEF-4F42-B7B2-8AB98FF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NotBold">
    <w:name w:val="Picture caption (2) + 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95ptBold">
    <w:name w:val="Picture caption + 9.5 pt;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95pt">
    <w:name w:val="Picture caption + 9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0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21" w:lineRule="exact"/>
      <w:ind w:hanging="58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58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1" w:lineRule="exact"/>
      <w:ind w:hanging="580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1770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2021-09-20T09:53:00Z</dcterms:created>
  <dcterms:modified xsi:type="dcterms:W3CDTF">2021-09-20T09:58:00Z</dcterms:modified>
</cp:coreProperties>
</file>