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7967" w14:textId="77777777" w:rsidR="00C55A1F" w:rsidRDefault="0041213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A5C3B2F">
          <v:group id="_x0000_s4050" style="position:absolute;left:0;text-align:left;margin-left:-37.4pt;margin-top:-55.95pt;width:204.6pt;height:118.5pt;z-index:-25165772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CA3F04">
        <w:rPr>
          <w:rFonts w:ascii="Arial" w:eastAsia="Arial" w:hAnsi="Arial" w:cs="Arial"/>
          <w:spacing w:val="14"/>
          <w:lang w:val="cs-CZ"/>
        </w:rPr>
        <w:t xml:space="preserve"> </w:t>
      </w:r>
      <w:r w:rsidR="00CA3F04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CA3F04">
        <w:rPr>
          <w:noProof/>
        </w:rPr>
        <mc:AlternateContent>
          <mc:Choice Requires="wps">
            <w:drawing>
              <wp:inline distT="0" distB="0" distL="0" distR="0" wp14:anchorId="3F5784FE" wp14:editId="1B95D52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E352FC3" w14:textId="77777777" w:rsidR="0041213B" w:rsidRDefault="0041213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MZE-51188/2021-11152</w:t>
                            </w:r>
                          </w:p>
                          <w:p w14:paraId="59763E7B" w14:textId="77777777" w:rsidR="0041213B" w:rsidRDefault="004121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DBFC9" wp14:editId="30133798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47CB3A" w14:textId="77777777" w:rsidR="0041213B" w:rsidRDefault="0041213B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mze000021233466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784F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7E352FC3" w14:textId="77777777" w:rsidR="0041213B" w:rsidRDefault="0041213B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MZE-51188/2021-11152</w:t>
                      </w:r>
                    </w:p>
                    <w:p w14:paraId="59763E7B" w14:textId="77777777" w:rsidR="0041213B" w:rsidRDefault="004121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DDBFC9" wp14:editId="30133798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47CB3A" w14:textId="77777777" w:rsidR="0041213B" w:rsidRDefault="0041213B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mze000021233466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B122887" w14:textId="77777777" w:rsidR="00C55A1F" w:rsidRDefault="00CA3F04">
      <w:pPr>
        <w:rPr>
          <w:szCs w:val="22"/>
        </w:rPr>
      </w:pPr>
      <w:r>
        <w:rPr>
          <w:szCs w:val="22"/>
        </w:rPr>
        <w:t xml:space="preserve"> </w:t>
      </w:r>
    </w:p>
    <w:p w14:paraId="12A9A128" w14:textId="77777777" w:rsidR="00C55A1F" w:rsidRDefault="00CA3F04">
      <w:pPr>
        <w:tabs>
          <w:tab w:val="left" w:pos="6946"/>
        </w:tabs>
        <w:jc w:val="center"/>
        <w:rPr>
          <w:b/>
          <w:caps/>
          <w:szCs w:val="22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(RfC)</w:t>
      </w:r>
      <w:r>
        <w:rPr>
          <w:b/>
          <w:sz w:val="36"/>
          <w:szCs w:val="36"/>
          <w:vertAlign w:val="superscript"/>
        </w:rPr>
        <w:endnoteReference w:id="1"/>
      </w:r>
      <w:r>
        <w:rPr>
          <w:b/>
          <w:sz w:val="36"/>
          <w:szCs w:val="36"/>
        </w:rPr>
        <w:t xml:space="preserve"> – Z32147</w:t>
      </w:r>
    </w:p>
    <w:p w14:paraId="10983468" w14:textId="77777777" w:rsidR="00C55A1F" w:rsidRDefault="00C55A1F">
      <w:pPr>
        <w:jc w:val="center"/>
        <w:rPr>
          <w:b/>
          <w:caps/>
          <w:szCs w:val="22"/>
        </w:rPr>
      </w:pPr>
    </w:p>
    <w:p w14:paraId="3A1F2816" w14:textId="77777777" w:rsidR="00C55A1F" w:rsidRDefault="00CA3F04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5851B792" w14:textId="77777777" w:rsidR="00C55A1F" w:rsidRDefault="00CA3F04">
      <w:pPr>
        <w:pStyle w:val="Nadpis1"/>
        <w:numPr>
          <w:ilvl w:val="0"/>
          <w:numId w:val="29"/>
        </w:numPr>
        <w:rPr>
          <w:szCs w:val="22"/>
        </w:rPr>
      </w:pPr>
      <w:r>
        <w:rPr>
          <w:szCs w:val="22"/>
        </w:rPr>
        <w:t>Základní informace</w:t>
      </w:r>
    </w:p>
    <w:tbl>
      <w:tblPr>
        <w:tblW w:w="23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9"/>
      </w:tblGrid>
      <w:tr w:rsidR="00C55A1F" w14:paraId="4EE3C31F" w14:textId="77777777">
        <w:trPr>
          <w:trHeight w:val="253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FC453D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39" w:type="dxa"/>
            <w:vAlign w:val="center"/>
          </w:tcPr>
          <w:p w14:paraId="55F90FE6" w14:textId="77777777" w:rsidR="00C55A1F" w:rsidRDefault="00CA3F04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</w:tr>
    </w:tbl>
    <w:p w14:paraId="12C14A91" w14:textId="77777777" w:rsidR="00C55A1F" w:rsidRDefault="00C55A1F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41"/>
        <w:gridCol w:w="1985"/>
        <w:gridCol w:w="3118"/>
        <w:gridCol w:w="1423"/>
      </w:tblGrid>
      <w:tr w:rsidR="00C55A1F" w14:paraId="72BDFAE1" w14:textId="77777777">
        <w:tc>
          <w:tcPr>
            <w:tcW w:w="195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C564909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szCs w:val="22"/>
                <w:vertAlign w:val="superscript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96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CA620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EPH – vytvoření modulu pro příjem a správu dat evidence použití hnojiv</w:t>
            </w:r>
          </w:p>
        </w:tc>
      </w:tr>
      <w:tr w:rsidR="00C55A1F" w14:paraId="39025801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4E8118" w14:textId="77777777" w:rsidR="00C55A1F" w:rsidRDefault="00CA3F04">
            <w:pPr>
              <w:rPr>
                <w:b/>
                <w:szCs w:val="22"/>
              </w:rPr>
            </w:pPr>
            <w:r>
              <w:rPr>
                <w:szCs w:val="22"/>
              </w:rPr>
              <w:t>Datum předložení požadavku:</w:t>
            </w: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B838F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22.4.2021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B2D8F1" w14:textId="77777777" w:rsidR="00C55A1F" w:rsidRDefault="00CA3F04">
            <w:pPr>
              <w:rPr>
                <w:b/>
                <w:szCs w:val="22"/>
              </w:rPr>
            </w:pPr>
            <w:r>
              <w:rPr>
                <w:szCs w:val="22"/>
              </w:rPr>
              <w:t>Požadované datum nasazení: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98725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28.2.2022</w:t>
            </w:r>
          </w:p>
        </w:tc>
      </w:tr>
    </w:tbl>
    <w:p w14:paraId="29F6F5BB" w14:textId="77777777" w:rsidR="00C55A1F" w:rsidRDefault="00C55A1F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C55A1F" w14:paraId="2AE1C588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3DD8D6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Kategorie změny</w:t>
            </w:r>
            <w:r>
              <w:rPr>
                <w:szCs w:val="22"/>
                <w:vertAlign w:val="superscript"/>
              </w:rPr>
              <w:endnoteReference w:id="4"/>
            </w:r>
            <w:r>
              <w:rPr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42B50" w14:textId="77777777" w:rsidR="00C55A1F" w:rsidRDefault="00CA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   Urgentní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EE5DEE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630FA" w14:textId="77777777" w:rsidR="00C55A1F" w:rsidRDefault="00CA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Střední  </w:t>
            </w:r>
            <w:r>
              <w:rPr>
                <w:rFonts w:ascii="MS Gothic" w:hAnsi="MS Gothic" w:hint="eastAsia"/>
                <w:sz w:val="20"/>
              </w:rPr>
              <w:t>☐</w:t>
            </w:r>
            <w:r>
              <w:rPr>
                <w:sz w:val="20"/>
                <w:szCs w:val="20"/>
              </w:rPr>
              <w:t xml:space="preserve">   Nízká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3263BCA9" w14:textId="77777777" w:rsidR="00C55A1F" w:rsidRDefault="00C55A1F">
      <w:pPr>
        <w:rPr>
          <w:szCs w:val="22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C55A1F" w14:paraId="01EADF93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7497976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C56415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r>
              <w:rPr>
                <w:rFonts w:ascii="MS Gothic" w:eastAsia="MS Gothic" w:hAnsi="MS Gothic" w:hint="eastAsia"/>
                <w:szCs w:val="22"/>
              </w:rPr>
              <w:t>☒</w:t>
            </w:r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9D46A7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szCs w:val="22"/>
                <w:vertAlign w:val="superscript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AC6A62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EPH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79F2CA" w14:textId="77777777" w:rsidR="00C55A1F" w:rsidRDefault="00CA3F04">
            <w:pPr>
              <w:rPr>
                <w:szCs w:val="22"/>
                <w:highlight w:val="yellow"/>
              </w:rPr>
            </w:pPr>
            <w:r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40A44" w14:textId="77777777" w:rsidR="00C55A1F" w:rsidRDefault="00C55A1F">
            <w:pPr>
              <w:rPr>
                <w:szCs w:val="22"/>
                <w:highlight w:val="yellow"/>
              </w:rPr>
            </w:pPr>
          </w:p>
        </w:tc>
      </w:tr>
      <w:tr w:rsidR="00C55A1F" w14:paraId="6246BD68" w14:textId="77777777">
        <w:tc>
          <w:tcPr>
            <w:tcW w:w="9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8FAA19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D548D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21A367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7BC3" w14:textId="77777777" w:rsidR="00C55A1F" w:rsidRDefault="00CA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 Zlepšení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  Bezpečnost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C55A1F" w14:paraId="0298256D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DD2941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480BA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4B1872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57BB8" w14:textId="77777777" w:rsidR="00C55A1F" w:rsidRDefault="00CA3F0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  <w:r>
              <w:rPr>
                <w:sz w:val="20"/>
                <w:szCs w:val="20"/>
              </w:rPr>
              <w:t xml:space="preserve">   Upgrade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Zlepšení 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21E08970" w14:textId="77777777" w:rsidR="00C55A1F" w:rsidRDefault="00C55A1F">
      <w:pPr>
        <w:rPr>
          <w:szCs w:val="22"/>
        </w:rPr>
      </w:pPr>
    </w:p>
    <w:tbl>
      <w:tblPr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19"/>
        <w:gridCol w:w="2268"/>
        <w:gridCol w:w="1418"/>
        <w:gridCol w:w="2727"/>
      </w:tblGrid>
      <w:tr w:rsidR="00C55A1F" w14:paraId="704D8A0B" w14:textId="77777777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054211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C44F61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627D7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D3104A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4AEAA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C55A1F" w14:paraId="4AB81CE5" w14:textId="77777777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B5C37A" w14:textId="77777777" w:rsidR="00C55A1F" w:rsidRDefault="00C55A1F">
            <w:pPr>
              <w:rPr>
                <w:b/>
                <w:szCs w:val="22"/>
              </w:rPr>
            </w:pPr>
          </w:p>
        </w:tc>
        <w:tc>
          <w:tcPr>
            <w:tcW w:w="1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190658" w14:textId="77777777" w:rsidR="00C55A1F" w:rsidRDefault="00C55A1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1554CE" w14:textId="77777777" w:rsidR="00C55A1F" w:rsidRDefault="00C55A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633FFA" w14:textId="77777777" w:rsidR="00C55A1F" w:rsidRDefault="00C55A1F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A04D4" w14:textId="77777777" w:rsidR="00C55A1F" w:rsidRDefault="00C55A1F">
            <w:pPr>
              <w:rPr>
                <w:sz w:val="20"/>
                <w:szCs w:val="20"/>
              </w:rPr>
            </w:pPr>
          </w:p>
        </w:tc>
      </w:tr>
      <w:tr w:rsidR="00C55A1F" w14:paraId="7726CB0D" w14:textId="77777777"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9675E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Žadatel/věcný garant MZe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F4362" w14:textId="77777777" w:rsidR="00C55A1F" w:rsidRDefault="00CA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Miroslava Czetmayer-Ehrlichová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8F653" w14:textId="77777777" w:rsidR="00C55A1F" w:rsidRDefault="00CA3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Mze/Odbor zemědělských komodit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E7B08" w14:textId="77777777" w:rsidR="00C55A1F" w:rsidRDefault="00CA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221 815 050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2DA8A" w14:textId="77777777" w:rsidR="00C55A1F" w:rsidRDefault="00CA3F04">
            <w:r>
              <w:rPr>
                <w:sz w:val="20"/>
                <w:szCs w:val="20"/>
              </w:rPr>
              <w:t>miroslava.czetmayerehrlichova@mze.cz</w:t>
            </w:r>
          </w:p>
        </w:tc>
      </w:tr>
      <w:tr w:rsidR="00C55A1F" w14:paraId="3D94BF0E" w14:textId="77777777"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8B9B8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Žadatel/věcný garant ÚKZÚZ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99565" w14:textId="77777777" w:rsidR="00C55A1F" w:rsidRDefault="00CA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51D75" w14:textId="77777777" w:rsidR="00C55A1F" w:rsidRDefault="00CA3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ÚKZÚZ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7DC35" w14:textId="77777777" w:rsidR="00C55A1F" w:rsidRDefault="00CA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737267162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7BAC4" w14:textId="284546B1" w:rsidR="00C55A1F" w:rsidRDefault="00CA3F04">
            <w:pPr>
              <w:rPr>
                <w:sz w:val="20"/>
                <w:szCs w:val="20"/>
              </w:rPr>
            </w:pPr>
            <w:r w:rsidRPr="00FD1D10">
              <w:rPr>
                <w:sz w:val="20"/>
                <w:szCs w:val="20"/>
              </w:rPr>
              <w:t>pepa.svoboda@ukzuz.cz</w:t>
            </w:r>
          </w:p>
        </w:tc>
      </w:tr>
      <w:tr w:rsidR="00C55A1F" w14:paraId="6812B39B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724B5D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Věcný garant MZe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1C1E901" w14:textId="77777777" w:rsidR="00C55A1F" w:rsidRDefault="00CA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Michaela Buďnáková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4AA60" w14:textId="77777777" w:rsidR="00C55A1F" w:rsidRDefault="00CA3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MZE/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Oddělení zemědělských vstupů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D8E4A4" w14:textId="77777777" w:rsidR="00C55A1F" w:rsidRDefault="00CA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221812071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C83129" w14:textId="77777777" w:rsidR="00C55A1F" w:rsidRDefault="0041213B">
            <w:pPr>
              <w:rPr>
                <w:sz w:val="20"/>
                <w:szCs w:val="20"/>
              </w:rPr>
            </w:pPr>
            <w:hyperlink r:id="rId9" w:history="1">
              <w:r w:rsidR="00CA3F04">
                <w:rPr>
                  <w:sz w:val="20"/>
                  <w:szCs w:val="20"/>
                </w:rPr>
                <w:t>michaela.budnakova@mze.cz</w:t>
              </w:r>
            </w:hyperlink>
          </w:p>
        </w:tc>
      </w:tr>
      <w:tr w:rsidR="00C55A1F" w14:paraId="73C3FBDE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81269D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Change koordinátor: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5B31EB0" w14:textId="77777777" w:rsidR="00C55A1F" w:rsidRDefault="00CA3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Ondřej Šilháček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AD34FC" w14:textId="77777777" w:rsidR="00C55A1F" w:rsidRDefault="00CA3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MZe/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Oddělení registrů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6625E" w14:textId="77777777" w:rsidR="00C55A1F" w:rsidRDefault="00CA3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221813020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887A2E" w14:textId="77777777" w:rsidR="00C55A1F" w:rsidRDefault="0041213B">
            <w:pPr>
              <w:rPr>
                <w:sz w:val="20"/>
                <w:szCs w:val="20"/>
              </w:rPr>
            </w:pPr>
            <w:hyperlink r:id="rId10" w:history="1">
              <w:r w:rsidR="00CA3F04">
                <w:rPr>
                  <w:sz w:val="20"/>
                  <w:szCs w:val="20"/>
                </w:rPr>
                <w:t>ondrej.silhacek@mze.cz</w:t>
              </w:r>
            </w:hyperlink>
          </w:p>
        </w:tc>
      </w:tr>
      <w:tr w:rsidR="00C55A1F" w14:paraId="179199FF" w14:textId="77777777">
        <w:tc>
          <w:tcPr>
            <w:tcW w:w="16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A26697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Poskytovatel / dodavatel: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1467AE9" w14:textId="319D0C8A" w:rsidR="00C55A1F" w:rsidRDefault="00412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5FE21" w14:textId="77777777" w:rsidR="00C55A1F" w:rsidRDefault="00CA3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32EC0" w14:textId="5A688DBA" w:rsidR="00C55A1F" w:rsidRDefault="00412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3551D9" w14:textId="05E39FB7" w:rsidR="00C55A1F" w:rsidRDefault="00412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47CD8CE6" w14:textId="77777777" w:rsidR="00C55A1F" w:rsidRDefault="00C55A1F">
      <w:pPr>
        <w:rPr>
          <w:szCs w:val="22"/>
        </w:rPr>
      </w:pPr>
    </w:p>
    <w:tbl>
      <w:tblPr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C55A1F" w14:paraId="0C2A05A4" w14:textId="77777777">
        <w:trPr>
          <w:trHeight w:val="397"/>
        </w:trPr>
        <w:tc>
          <w:tcPr>
            <w:tcW w:w="1681" w:type="dxa"/>
            <w:shd w:val="clear" w:color="auto" w:fill="auto"/>
            <w:vAlign w:val="center"/>
          </w:tcPr>
          <w:p w14:paraId="33A3356A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szCs w:val="22"/>
                <w:vertAlign w:val="superscript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4DF87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40047A" w14:textId="77777777" w:rsidR="00C55A1F" w:rsidRDefault="00CA3F04">
            <w:pPr>
              <w:rPr>
                <w:b/>
                <w:szCs w:val="22"/>
              </w:rPr>
            </w:pPr>
            <w:r>
              <w:rPr>
                <w:szCs w:val="22"/>
              </w:rPr>
              <w:t>KL: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AF88C44" w14:textId="77777777" w:rsidR="00C55A1F" w:rsidRDefault="00CA3F0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KL HR-001</w:t>
            </w:r>
          </w:p>
        </w:tc>
      </w:tr>
    </w:tbl>
    <w:p w14:paraId="43271E7F" w14:textId="77777777" w:rsidR="00C55A1F" w:rsidRDefault="00C55A1F">
      <w:pPr>
        <w:rPr>
          <w:szCs w:val="22"/>
        </w:rPr>
      </w:pPr>
    </w:p>
    <w:p w14:paraId="4EC9D7A3" w14:textId="77777777" w:rsidR="00C55A1F" w:rsidRDefault="00CA3F04">
      <w:pPr>
        <w:pStyle w:val="Nadpis1"/>
        <w:numPr>
          <w:ilvl w:val="0"/>
          <w:numId w:val="29"/>
        </w:numPr>
        <w:rPr>
          <w:szCs w:val="22"/>
        </w:rPr>
      </w:pPr>
      <w:r>
        <w:rPr>
          <w:szCs w:val="22"/>
        </w:rPr>
        <w:t>Popis a odůvodnění požadavku</w:t>
      </w:r>
    </w:p>
    <w:p w14:paraId="30625877" w14:textId="77777777" w:rsidR="00C55A1F" w:rsidRDefault="00CA3F04">
      <w:pPr>
        <w:pStyle w:val="Nadpis2"/>
      </w:pPr>
      <w:r>
        <w:t>2.1 Popis požadavku</w:t>
      </w:r>
    </w:p>
    <w:p w14:paraId="47E89550" w14:textId="77777777" w:rsidR="00C55A1F" w:rsidRDefault="00CA3F04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Předmětem požadavku je vytvoření modulu pro příjem a správu dat evidence o použití hnojiv a souvisejících evidencí předávaných v elektronické formě na základě novely zákona o hnojivech. Tato povinnost nastává od 1.1.2022 pro všechny zemědělce s výměrou nad 20 ha.</w:t>
      </w:r>
    </w:p>
    <w:p w14:paraId="40B4EDDD" w14:textId="77777777" w:rsidR="00C55A1F" w:rsidRDefault="00CA3F04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Cílem PZ je připravit aparát pro:</w:t>
      </w:r>
    </w:p>
    <w:p w14:paraId="7815FBEB" w14:textId="77777777" w:rsidR="00C55A1F" w:rsidRDefault="00CA3F0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60"/>
        <w:rPr>
          <w:b/>
          <w:bCs/>
          <w:szCs w:val="22"/>
        </w:rPr>
      </w:pPr>
      <w:r>
        <w:rPr>
          <w:szCs w:val="22"/>
        </w:rPr>
        <w:t>Příjem dat (= vystavení webových služeb a rozhraní pro nahrání offline souboru) včetně základních kontrol.</w:t>
      </w:r>
    </w:p>
    <w:p w14:paraId="7E6E4EE5" w14:textId="77777777" w:rsidR="00C55A1F" w:rsidRDefault="00CA3F0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60"/>
        <w:rPr>
          <w:b/>
          <w:bCs/>
          <w:szCs w:val="22"/>
        </w:rPr>
      </w:pPr>
      <w:r>
        <w:rPr>
          <w:szCs w:val="22"/>
        </w:rPr>
        <w:t>Prohlížení předaných dat ze strany jak autorizovaných uživatelů, tak ze strany ÚKZÚZ.</w:t>
      </w:r>
    </w:p>
    <w:p w14:paraId="68D59004" w14:textId="77777777" w:rsidR="00C55A1F" w:rsidRDefault="00CA3F04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Tímto bude naplněna první etapa a následně bude řešeno nahrazení historického systému STATHNOJ sestavami z tohoto nového modulu a předávání dat do kontrolního modulu UKZUZ. Tyto 2 etapy budou řešeny až po stabilizaci, respektive usazení datových struktur přijatých dat, protože lze očekávat, že bude docházet dle zkušeností z praxe ke korekcím zadání.</w:t>
      </w:r>
    </w:p>
    <w:p w14:paraId="6402C7C9" w14:textId="77777777" w:rsidR="00C55A1F" w:rsidRDefault="00CA3F04">
      <w:pPr>
        <w:widowControl w:val="0"/>
        <w:autoSpaceDE w:val="0"/>
        <w:autoSpaceDN w:val="0"/>
        <w:adjustRightInd w:val="0"/>
        <w:rPr>
          <w:b/>
          <w:bCs/>
          <w:szCs w:val="22"/>
        </w:rPr>
      </w:pPr>
      <w:r>
        <w:rPr>
          <w:szCs w:val="22"/>
        </w:rPr>
        <w:t xml:space="preserve">Součástí PZ je implementace volání služby pro předávání dat z EPH, čímž dojde k nahrazení </w:t>
      </w:r>
      <w:r>
        <w:rPr>
          <w:szCs w:val="22"/>
        </w:rPr>
        <w:lastRenderedPageBreak/>
        <w:t xml:space="preserve">historického předávání dat do EPH_MRAZAK. </w:t>
      </w:r>
    </w:p>
    <w:p w14:paraId="59B75E28" w14:textId="77777777" w:rsidR="00C55A1F" w:rsidRDefault="00CA3F04">
      <w:pPr>
        <w:pStyle w:val="Nadpis2"/>
      </w:pPr>
      <w:r>
        <w:t>2.2 Odůvodnění změny</w:t>
      </w:r>
    </w:p>
    <w:p w14:paraId="6AA41333" w14:textId="77777777" w:rsidR="00C55A1F" w:rsidRDefault="00CA3F04">
      <w:pPr>
        <w:rPr>
          <w:color w:val="000000"/>
          <w:szCs w:val="22"/>
          <w:lang w:eastAsia="cs-CZ"/>
        </w:rPr>
      </w:pPr>
      <w:bookmarkStart w:id="0" w:name="_Hlk74203836"/>
      <w:r>
        <w:rPr>
          <w:color w:val="000000"/>
          <w:szCs w:val="22"/>
          <w:lang w:eastAsia="cs-CZ"/>
        </w:rPr>
        <w:t xml:space="preserve">Změny je nutné realizovat s ohledem na zajištění </w:t>
      </w:r>
      <w:bookmarkEnd w:id="0"/>
      <w:r>
        <w:rPr>
          <w:color w:val="000000"/>
          <w:szCs w:val="22"/>
          <w:lang w:eastAsia="cs-CZ"/>
        </w:rPr>
        <w:t xml:space="preserve">implementace novely zákona o hnojivech a vyhlášky </w:t>
      </w:r>
      <w:r>
        <w:rPr>
          <w:b/>
          <w:bCs/>
          <w:color w:val="000000"/>
          <w:szCs w:val="22"/>
          <w:lang w:eastAsia="cs-CZ"/>
        </w:rPr>
        <w:t xml:space="preserve">č. 377/2013 Sb., o skladování a způsobu používání hnojiv, </w:t>
      </w:r>
      <w:r>
        <w:rPr>
          <w:color w:val="000000"/>
          <w:szCs w:val="22"/>
          <w:lang w:eastAsia="cs-CZ"/>
        </w:rPr>
        <w:t>v rámci které je detailně specifikována struktura předávaných dat (příloha č. 7)</w:t>
      </w:r>
      <w:r>
        <w:rPr>
          <w:b/>
          <w:bCs/>
          <w:color w:val="000000"/>
          <w:szCs w:val="22"/>
          <w:lang w:eastAsia="cs-CZ"/>
        </w:rPr>
        <w:t xml:space="preserve"> </w:t>
      </w:r>
    </w:p>
    <w:p w14:paraId="3381703B" w14:textId="77777777" w:rsidR="00C55A1F" w:rsidRDefault="00CA3F04">
      <w:pPr>
        <w:pStyle w:val="Nadpis1"/>
        <w:numPr>
          <w:ilvl w:val="0"/>
          <w:numId w:val="29"/>
        </w:numPr>
        <w:rPr>
          <w:szCs w:val="22"/>
        </w:rPr>
      </w:pPr>
      <w:r>
        <w:rPr>
          <w:szCs w:val="22"/>
        </w:rPr>
        <w:t>Podrobný popis požadavku</w:t>
      </w:r>
    </w:p>
    <w:p w14:paraId="07BB6612" w14:textId="77777777" w:rsidR="00C55A1F" w:rsidRDefault="00CA3F04">
      <w:pPr>
        <w:pStyle w:val="Nadpis2"/>
      </w:pPr>
      <w:r>
        <w:t>3.1 Základní parametry modulu jednotné úložiště dat evidence hnojiv (JUDEH)</w:t>
      </w:r>
    </w:p>
    <w:p w14:paraId="3B4783D3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Bude se jednat o samostatný modul datově autonomní od datových struktur aplikace EPH s tím, že bude využívat společných aplikačních prvků (volání služeb SZR, Autentizace a autorizace uživatelů)</w:t>
      </w:r>
    </w:p>
    <w:p w14:paraId="419913D6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Modul bude sdílet externí data:</w:t>
      </w:r>
    </w:p>
    <w:p w14:paraId="289ADEF2" w14:textId="77777777" w:rsidR="00C55A1F" w:rsidRDefault="00CA3F04">
      <w:pPr>
        <w:pStyle w:val="Odstavecseseznamem"/>
        <w:numPr>
          <w:ilvl w:val="0"/>
          <w:numId w:val="17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číselník hnojiv (data poskytovaná skrze databázový pohled z registru hnojiv)</w:t>
      </w:r>
    </w:p>
    <w:p w14:paraId="5867BA76" w14:textId="77777777" w:rsidR="00C55A1F" w:rsidRDefault="00CA3F04">
      <w:pPr>
        <w:pStyle w:val="Odstavecseseznamem"/>
        <w:numPr>
          <w:ilvl w:val="0"/>
          <w:numId w:val="17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číselník plodin (data poskytuje LPIS)</w:t>
      </w:r>
    </w:p>
    <w:p w14:paraId="1E6924D3" w14:textId="77777777" w:rsidR="00C55A1F" w:rsidRDefault="00CA3F04">
      <w:pPr>
        <w:pStyle w:val="Odstavecseseznamem"/>
        <w:numPr>
          <w:ilvl w:val="0"/>
          <w:numId w:val="17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evidence dílů půdních bloků (data poskytovaná z LPIS do EPH skrze view_eph_pudnibloky)</w:t>
      </w:r>
    </w:p>
    <w:p w14:paraId="42B671F8" w14:textId="77777777" w:rsidR="00C55A1F" w:rsidRDefault="00CA3F04">
      <w:pPr>
        <w:pStyle w:val="Odstavecseseznamem"/>
        <w:numPr>
          <w:ilvl w:val="0"/>
          <w:numId w:val="17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data jednotné žádosti (data jsou poskytována ze SDB pomocí databázového pohledu) </w:t>
      </w:r>
    </w:p>
    <w:p w14:paraId="6C3EFD39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Modul bude pracovat s vlastním číselníkem produktů vázaných k plodinám a vlastním číselníkem užitkového směru pěstování</w:t>
      </w:r>
      <w:r>
        <w:rPr>
          <w:color w:val="FF0000"/>
          <w:szCs w:val="22"/>
        </w:rPr>
        <w:t xml:space="preserve"> a pro účely bilance živin bude existovat číselník odběrů živin plodinami.</w:t>
      </w:r>
    </w:p>
    <w:p w14:paraId="47857482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Modul bude dostupný pro interní uživatele na portal.mze.cz, pro farmáře na eagri.cz.</w:t>
      </w:r>
    </w:p>
    <w:p w14:paraId="65D3825B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Data z EPH budou předávány shodně jako z jiného komerčního software skrze novou webovou službu pro příjem dat.</w:t>
      </w:r>
    </w:p>
    <w:p w14:paraId="7E3CC2CF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Modul bude mít standardní uživatelské rozhraní, které bude pracovat s oddělením rolí pro farmáře a pro interní uživatele s právy prohlížet, event. administrátory – administrátorovi bude umožněno smazat (zneplatnit) předaná data a případně manuálně data nahrát za subjekt.</w:t>
      </w:r>
    </w:p>
    <w:p w14:paraId="7C0A72A9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Veškeré editační operace v modulu budou striktně logovány a údaj o tom, kdo, kdy data pořídil, eventuelně zneplatnil bude viditelně k dispozici.</w:t>
      </w:r>
    </w:p>
    <w:p w14:paraId="37DDBA27" w14:textId="77777777" w:rsidR="00C55A1F" w:rsidRDefault="00CA3F04">
      <w:pPr>
        <w:pStyle w:val="Nadpis2"/>
      </w:pPr>
      <w:r>
        <w:t>3.2 Specifikace práv</w:t>
      </w:r>
    </w:p>
    <w:p w14:paraId="503B2E47" w14:textId="77777777" w:rsidR="00C55A1F" w:rsidRDefault="00CA3F04">
      <w:pPr>
        <w:numPr>
          <w:ilvl w:val="0"/>
          <w:numId w:val="10"/>
        </w:numPr>
        <w:spacing w:after="60"/>
        <w:jc w:val="left"/>
        <w:rPr>
          <w:szCs w:val="22"/>
        </w:rPr>
      </w:pPr>
      <w:r>
        <w:rPr>
          <w:szCs w:val="22"/>
        </w:rPr>
        <w:t>Modul JUDEH bude pracovat s následujícími rolemi:</w:t>
      </w:r>
    </w:p>
    <w:p w14:paraId="096B37E8" w14:textId="77777777" w:rsidR="00C55A1F" w:rsidRDefault="00CA3F04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FARMAR – umožní nahrát data, prohlížet výhradně svoje data</w:t>
      </w:r>
    </w:p>
    <w:p w14:paraId="714C7826" w14:textId="77777777" w:rsidR="00C55A1F" w:rsidRDefault="00CA3F04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READER – umožní prohlížet data</w:t>
      </w:r>
    </w:p>
    <w:p w14:paraId="1DAA44D7" w14:textId="77777777" w:rsidR="00C55A1F" w:rsidRDefault="00CA3F04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ADMIN – umožní prohlížet data, zneplatnit předané dávky, manuálně nahrát data za libovolný subjekt</w:t>
      </w:r>
    </w:p>
    <w:p w14:paraId="281FA979" w14:textId="77777777" w:rsidR="00C55A1F" w:rsidRDefault="00CA3F04">
      <w:pPr>
        <w:pStyle w:val="Nadpis2"/>
      </w:pPr>
      <w:r>
        <w:t>3.3 Vlastní číselníky</w:t>
      </w:r>
    </w:p>
    <w:p w14:paraId="61B557BA" w14:textId="77777777" w:rsidR="00C55A1F" w:rsidRDefault="00CA3F04">
      <w:r>
        <w:t>Modul JUDEH bude pracovat:</w:t>
      </w:r>
    </w:p>
    <w:p w14:paraId="04F3736F" w14:textId="77777777" w:rsidR="00C55A1F" w:rsidRDefault="00CA3F04">
      <w:pPr>
        <w:pStyle w:val="Odstavecseseznamem"/>
        <w:numPr>
          <w:ilvl w:val="0"/>
          <w:numId w:val="33"/>
        </w:numPr>
        <w:jc w:val="both"/>
      </w:pPr>
      <w:r>
        <w:t xml:space="preserve">s vlastním </w:t>
      </w:r>
      <w:r>
        <w:rPr>
          <w:b/>
          <w:bCs/>
        </w:rPr>
        <w:t>číselníkem produktů</w:t>
      </w:r>
      <w:r>
        <w:t>, který bude obsahovat druhy produktů (ID, KOD, POPIS) a vazbu na plodinu dle číselníku plodin LPIS. Číselník bude vycházet ze základu již v EPH používaného, ale bude se jednat o číselník nový odpovídající požadavkům vyhlášky.</w:t>
      </w:r>
    </w:p>
    <w:p w14:paraId="0AA01C47" w14:textId="77777777" w:rsidR="00C55A1F" w:rsidRDefault="00CA3F04">
      <w:pPr>
        <w:pStyle w:val="Odstavecseseznamem"/>
        <w:numPr>
          <w:ilvl w:val="0"/>
          <w:numId w:val="33"/>
        </w:numPr>
        <w:jc w:val="both"/>
      </w:pPr>
      <w:r>
        <w:t xml:space="preserve">s vlastním </w:t>
      </w:r>
      <w:r>
        <w:rPr>
          <w:b/>
          <w:bCs/>
        </w:rPr>
        <w:t>číselníkem užitkového směru pěstování plodiny</w:t>
      </w:r>
      <w:r>
        <w:t xml:space="preserve"> (ID, KOD, POPIS) a vazbu na plodinu dle číselníku plodin LPIS (předpokládané hodnoty - sladovnický, krmný, potravinářský, rané, pozdní apod.). Vazbou vůči plodině se vymezí možné použití užitkového směru versus plodina (např. ječmen jarní – sladovnický x krmný, případně brambor konzumní – rané x pozdní). Užitkový směr pěstování bude specifikován do úzkého okruhu plodin.</w:t>
      </w:r>
    </w:p>
    <w:p w14:paraId="3B69970D" w14:textId="77777777" w:rsidR="00C55A1F" w:rsidRDefault="00CA3F04">
      <w:pPr>
        <w:pStyle w:val="Odstavecseseznamem"/>
        <w:numPr>
          <w:ilvl w:val="0"/>
          <w:numId w:val="33"/>
        </w:numPr>
        <w:jc w:val="both"/>
        <w:rPr>
          <w:color w:val="FF0000"/>
        </w:rPr>
      </w:pPr>
      <w:r>
        <w:rPr>
          <w:color w:val="FF0000"/>
        </w:rPr>
        <w:t xml:space="preserve">s vlastním </w:t>
      </w:r>
      <w:r>
        <w:rPr>
          <w:b/>
          <w:bCs/>
          <w:color w:val="FF0000"/>
        </w:rPr>
        <w:t>číselníkem odběrů živin plodinami</w:t>
      </w:r>
      <w:r>
        <w:rPr>
          <w:color w:val="FF0000"/>
        </w:rPr>
        <w:t xml:space="preserve"> (název plodiny dle vyhlášky, produkt, obsah sušiny, poměr C:N, odběr N, odběr P, odběr K). Tento číselník bude kopií přílohy </w:t>
      </w:r>
      <w:r>
        <w:rPr>
          <w:color w:val="FF0000"/>
        </w:rPr>
        <w:br/>
        <w:t>č. 6 vyhlášky. Současně bude vytvořeno mapování mezi plodinami dle číselníku LPIS – přiřazenými produkty a případně užitkovým směrem pěstování na příslušný řádek tohoto číselníku. Mapování bude uživatelsky vytvořené tak, aby bylo zjevné, které kombinace plodina – produkt – užitkový směr nemají přiřazenu položku s odběrem živin z vyhlášky. (odběr živin dle vyhlášky je uveden v příloze č. 6).</w:t>
      </w:r>
    </w:p>
    <w:p w14:paraId="5CD49D98" w14:textId="77777777" w:rsidR="00C55A1F" w:rsidRDefault="00CA3F04">
      <w:r>
        <w:lastRenderedPageBreak/>
        <w:t>Příslušné číselníky budou vystaveny jako webové služby pro uživatele</w:t>
      </w:r>
    </w:p>
    <w:p w14:paraId="63AEC22F" w14:textId="77777777" w:rsidR="00C55A1F" w:rsidRDefault="00CA3F04">
      <w:pPr>
        <w:pStyle w:val="Odstavecseseznamem"/>
        <w:numPr>
          <w:ilvl w:val="0"/>
          <w:numId w:val="10"/>
        </w:numPr>
      </w:pPr>
      <w:r>
        <w:t>CIS_PRO01A</w:t>
      </w:r>
    </w:p>
    <w:p w14:paraId="425C697A" w14:textId="77777777" w:rsidR="00C55A1F" w:rsidRDefault="00CA3F04">
      <w:pPr>
        <w:pStyle w:val="Odstavecseseznamem"/>
        <w:numPr>
          <w:ilvl w:val="0"/>
          <w:numId w:val="10"/>
        </w:numPr>
      </w:pPr>
      <w:r>
        <w:t>CIS_USP01A</w:t>
      </w:r>
    </w:p>
    <w:p w14:paraId="6E475671" w14:textId="77777777" w:rsidR="00C55A1F" w:rsidRDefault="00CA3F04">
      <w:pPr>
        <w:pStyle w:val="Odstavecseseznamem"/>
        <w:numPr>
          <w:ilvl w:val="0"/>
          <w:numId w:val="10"/>
        </w:numPr>
      </w:pPr>
      <w:r>
        <w:rPr>
          <w:color w:val="FF0000"/>
        </w:rPr>
        <w:t>CIS_OZP01A (ve vazbě ke kombinaci plodina dle číselníku plodin – produkt – užitkový směr budou prezentovány zmapované údaje odběru živin dle vyhlášky)</w:t>
      </w:r>
    </w:p>
    <w:p w14:paraId="41CC272F" w14:textId="77777777" w:rsidR="00C55A1F" w:rsidRDefault="00CA3F04">
      <w:pPr>
        <w:pStyle w:val="Nadpis2"/>
      </w:pPr>
      <w:r>
        <w:t>3.4 Typy přijímaných dat</w:t>
      </w:r>
    </w:p>
    <w:p w14:paraId="500812E9" w14:textId="77777777" w:rsidR="00C55A1F" w:rsidRDefault="00CA3F04">
      <w:r>
        <w:t>Data budou přijímána prostřednictvím webové služby uvedené níže. Dle typu užití budou rozlišovány dva základní typy dat:</w:t>
      </w:r>
    </w:p>
    <w:p w14:paraId="60CA5081" w14:textId="77777777" w:rsidR="00C55A1F" w:rsidRDefault="00CA3F04">
      <w:pPr>
        <w:pStyle w:val="Odstavecseseznamem"/>
        <w:numPr>
          <w:ilvl w:val="0"/>
          <w:numId w:val="41"/>
        </w:numPr>
      </w:pPr>
      <w:r>
        <w:rPr>
          <w:b/>
          <w:bCs/>
        </w:rPr>
        <w:t>Data za účelem statistiky</w:t>
      </w:r>
      <w:r>
        <w:t>:</w:t>
      </w:r>
    </w:p>
    <w:p w14:paraId="4C7F593A" w14:textId="77777777" w:rsidR="00C55A1F" w:rsidRDefault="00CA3F04">
      <w:pPr>
        <w:pStyle w:val="Odstavecseseznamem"/>
        <w:numPr>
          <w:ilvl w:val="0"/>
          <w:numId w:val="32"/>
        </w:numPr>
      </w:pPr>
      <w:r>
        <w:t xml:space="preserve">povinně odevzdávaná data 1x ročně do 31.1. </w:t>
      </w:r>
    </w:p>
    <w:p w14:paraId="4C8EE348" w14:textId="77777777" w:rsidR="00C55A1F" w:rsidRDefault="00CA3F04">
      <w:pPr>
        <w:pStyle w:val="Odstavecseseznamem"/>
        <w:numPr>
          <w:ilvl w:val="0"/>
          <w:numId w:val="32"/>
        </w:numPr>
      </w:pPr>
      <w:r>
        <w:t>vždy se podávají za období 1.1.-31.12.</w:t>
      </w:r>
    </w:p>
    <w:p w14:paraId="20B21980" w14:textId="77777777" w:rsidR="00C55A1F" w:rsidRDefault="00CA3F04">
      <w:pPr>
        <w:pStyle w:val="Odstavecseseznamem"/>
        <w:numPr>
          <w:ilvl w:val="0"/>
          <w:numId w:val="32"/>
        </w:numPr>
      </w:pPr>
      <w:r>
        <w:t>fakticky obsahují osev 2 hospodářských let</w:t>
      </w:r>
    </w:p>
    <w:p w14:paraId="6B88FCE5" w14:textId="77777777" w:rsidR="00C55A1F" w:rsidRDefault="00CA3F04">
      <w:pPr>
        <w:pStyle w:val="Odstavecseseznamem"/>
        <w:numPr>
          <w:ilvl w:val="0"/>
          <w:numId w:val="32"/>
        </w:numPr>
        <w:jc w:val="both"/>
      </w:pPr>
      <w:r>
        <w:t>každé další podání za totožné období nahrazuje původní data s tím rozdílem, že lze samostatně podat data jen za typ Hnojení x Pastva anebo za určité středisko (viz dále) – nahrazování nebo ponechání se bude řídit tzv. řídícími parametry sady</w:t>
      </w:r>
    </w:p>
    <w:p w14:paraId="015ABC48" w14:textId="77777777" w:rsidR="00C55A1F" w:rsidRDefault="00CA3F04">
      <w:pPr>
        <w:pStyle w:val="Odstavecseseznamem"/>
        <w:numPr>
          <w:ilvl w:val="0"/>
          <w:numId w:val="32"/>
        </w:numPr>
        <w:jc w:val="both"/>
      </w:pPr>
      <w:r>
        <w:t>modul JUDEH bude provádět kontroly duplicit dat v sadách dle řídících parametrů</w:t>
      </w:r>
    </w:p>
    <w:p w14:paraId="10F5B69A" w14:textId="77777777" w:rsidR="00C55A1F" w:rsidRDefault="00CA3F04">
      <w:pPr>
        <w:pStyle w:val="Odstavecseseznamem"/>
        <w:numPr>
          <w:ilvl w:val="0"/>
          <w:numId w:val="41"/>
        </w:numPr>
      </w:pPr>
      <w:r>
        <w:rPr>
          <w:b/>
          <w:bCs/>
        </w:rPr>
        <w:t>Data za účelem kontroly ÚKZÚZ</w:t>
      </w:r>
    </w:p>
    <w:p w14:paraId="3D6AFE60" w14:textId="77777777" w:rsidR="00C55A1F" w:rsidRDefault="00CA3F04">
      <w:pPr>
        <w:pStyle w:val="Odstavecseseznamem"/>
        <w:numPr>
          <w:ilvl w:val="0"/>
          <w:numId w:val="46"/>
        </w:numPr>
      </w:pPr>
      <w:r>
        <w:t>Období podání specifikuje kontrolor</w:t>
      </w:r>
    </w:p>
    <w:p w14:paraId="4CAD7257" w14:textId="77777777" w:rsidR="00C55A1F" w:rsidRDefault="00CA3F04">
      <w:pPr>
        <w:pStyle w:val="Odstavecseseznamem"/>
        <w:numPr>
          <w:ilvl w:val="0"/>
          <w:numId w:val="46"/>
        </w:numPr>
      </w:pPr>
      <w:r>
        <w:t xml:space="preserve">Každá datová sada je zcela autonomní </w:t>
      </w:r>
    </w:p>
    <w:p w14:paraId="35086473" w14:textId="77777777" w:rsidR="00C55A1F" w:rsidRDefault="00CA3F04">
      <w:pPr>
        <w:pStyle w:val="Odstavecseseznamem"/>
        <w:numPr>
          <w:ilvl w:val="0"/>
          <w:numId w:val="46"/>
        </w:numPr>
      </w:pPr>
      <w:r>
        <w:t>Každá datová sada se považuje za platnou a je nabídnuta konečnému systému (kontrolní modul ÚKZÚZ) ke konzumaci</w:t>
      </w:r>
    </w:p>
    <w:p w14:paraId="1E025863" w14:textId="77777777" w:rsidR="00C55A1F" w:rsidRDefault="00CA3F04">
      <w:pPr>
        <w:pStyle w:val="Odstavecseseznamem"/>
        <w:numPr>
          <w:ilvl w:val="0"/>
          <w:numId w:val="46"/>
        </w:numPr>
      </w:pPr>
      <w:r>
        <w:t xml:space="preserve">Návazný systém musí umět nahrát (a spojit) případně více datových sad (např. za více středisek, hnojení x pastvu) – modul JUDEH nebude kontrolovat překryv duplicity mezi datovými sadami dle řídících parametrů </w:t>
      </w:r>
    </w:p>
    <w:p w14:paraId="5B0581D0" w14:textId="77777777" w:rsidR="00C55A1F" w:rsidRDefault="00CA3F04">
      <w:pPr>
        <w:pStyle w:val="Nadpis2"/>
      </w:pPr>
      <w:r>
        <w:t>3.5 Řídící parametry předávaných dat (datových sad)</w:t>
      </w:r>
    </w:p>
    <w:p w14:paraId="7D51FD13" w14:textId="77777777" w:rsidR="00C55A1F" w:rsidRDefault="00CA3F04">
      <w:r>
        <w:t>Data budou mít tyto základní řídící parametry:</w:t>
      </w:r>
    </w:p>
    <w:p w14:paraId="4D66AD0D" w14:textId="77777777" w:rsidR="00C55A1F" w:rsidRDefault="00CA3F04">
      <w:pPr>
        <w:pStyle w:val="Odstavecseseznamem"/>
        <w:numPr>
          <w:ilvl w:val="0"/>
          <w:numId w:val="8"/>
        </w:numPr>
      </w:pPr>
      <w:r>
        <w:t>TYP: S – statistika, K – kontrola</w:t>
      </w:r>
    </w:p>
    <w:p w14:paraId="77099BF8" w14:textId="77777777" w:rsidR="00C55A1F" w:rsidRDefault="00CA3F04">
      <w:pPr>
        <w:pStyle w:val="Odstavecseseznamem"/>
        <w:numPr>
          <w:ilvl w:val="0"/>
          <w:numId w:val="8"/>
        </w:numPr>
      </w:pPr>
      <w:r>
        <w:t>OBDOBÍ:</w:t>
      </w:r>
    </w:p>
    <w:p w14:paraId="46B1678A" w14:textId="77777777" w:rsidR="00C55A1F" w:rsidRDefault="00CA3F04">
      <w:pPr>
        <w:pStyle w:val="Odstavecseseznamem"/>
        <w:numPr>
          <w:ilvl w:val="0"/>
          <w:numId w:val="8"/>
        </w:numPr>
      </w:pPr>
      <w:r>
        <w:t>STREDISKO: může být prázdné, pak jsou data za celý subjekt, jinak uživatelsky zadaná hodnota</w:t>
      </w:r>
    </w:p>
    <w:p w14:paraId="1EDDE915" w14:textId="77777777" w:rsidR="00C55A1F" w:rsidRDefault="00CA3F04">
      <w:pPr>
        <w:pStyle w:val="Odstavecseseznamem"/>
        <w:numPr>
          <w:ilvl w:val="0"/>
          <w:numId w:val="8"/>
        </w:numPr>
      </w:pPr>
      <w:r>
        <w:t>ROZSAH: pokud je prázdné, tak se považují data za úplná (pastva i hnojiva), H – jen aplikace hnojiv, P – jen výkaly (pastva)</w:t>
      </w:r>
    </w:p>
    <w:p w14:paraId="42439D33" w14:textId="77777777" w:rsidR="00C55A1F" w:rsidRDefault="00CA3F04">
      <w:r>
        <w:t>Dle kombinace řídících parametrů bude systém data kontrolovat, aby nevznikaly nežádoucí duplicity a případně je vzájemně nahrazovat.</w:t>
      </w:r>
    </w:p>
    <w:p w14:paraId="36F28DD0" w14:textId="77777777" w:rsidR="00C55A1F" w:rsidRDefault="00CA3F04">
      <w:r>
        <w:t>Předpokládá se, že data předává subjekt vždy úplně a pokud pro dané období hodlá použít více datových sad (různá střediska, nebo pastva x hnojení), pak předané datové sady musí být z povahy věci disjunktní (bez duplicit), a to i v části týkající se osevu.</w:t>
      </w:r>
    </w:p>
    <w:p w14:paraId="123727B4" w14:textId="77777777" w:rsidR="00C55A1F" w:rsidRDefault="00CA3F04">
      <w:pPr>
        <w:pStyle w:val="Nadpis2"/>
      </w:pPr>
      <w:r>
        <w:t>3.6 Specifikace webové služby a manuálního importu dat</w:t>
      </w:r>
    </w:p>
    <w:p w14:paraId="68FACE46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 xml:space="preserve">Vznikne nová webová služba EAG_PEH01A (předání evidence hnojení), jejíž struktura bude naplňovat požadavky </w:t>
      </w:r>
      <w:r>
        <w:rPr>
          <w:color w:val="000000"/>
          <w:szCs w:val="22"/>
          <w:lang w:eastAsia="cs-CZ"/>
        </w:rPr>
        <w:t xml:space="preserve">přílohy č. 7 </w:t>
      </w:r>
      <w:r>
        <w:rPr>
          <w:szCs w:val="22"/>
        </w:rPr>
        <w:t>vyhlášky č. 377/2013.</w:t>
      </w:r>
    </w:p>
    <w:p w14:paraId="78C841DF" w14:textId="77777777" w:rsidR="00C55A1F" w:rsidRDefault="00CA3F04">
      <w:pPr>
        <w:numPr>
          <w:ilvl w:val="0"/>
          <w:numId w:val="10"/>
        </w:numPr>
        <w:spacing w:after="60"/>
        <w:jc w:val="left"/>
        <w:rPr>
          <w:szCs w:val="22"/>
        </w:rPr>
      </w:pPr>
      <w:r>
        <w:rPr>
          <w:szCs w:val="22"/>
        </w:rPr>
        <w:t>Tato služba bude publikována na EPO a autentizovaná pro příslušný subjektu.</w:t>
      </w:r>
    </w:p>
    <w:p w14:paraId="3593FE2D" w14:textId="77777777" w:rsidR="00C55A1F" w:rsidRDefault="00CA3F04">
      <w:pPr>
        <w:numPr>
          <w:ilvl w:val="0"/>
          <w:numId w:val="10"/>
        </w:numPr>
        <w:spacing w:after="60"/>
        <w:rPr>
          <w:szCs w:val="22"/>
        </w:rPr>
      </w:pPr>
      <w:r>
        <w:rPr>
          <w:szCs w:val="22"/>
        </w:rPr>
        <w:t>Rovnocenně k předání dat skrze webovou službu bude umožněno nahrát data v XML přes uživatelské rozhraní. Na uživatelském rozhraní se umožní data nahrát ve 2 souborech – data evidence hnojení a data evidence výnosů.</w:t>
      </w:r>
    </w:p>
    <w:p w14:paraId="098AC910" w14:textId="77777777" w:rsidR="00C55A1F" w:rsidRDefault="00C55A1F">
      <w:pPr>
        <w:ind w:left="720"/>
        <w:rPr>
          <w:szCs w:val="22"/>
        </w:rPr>
      </w:pPr>
    </w:p>
    <w:p w14:paraId="2C500D95" w14:textId="77777777" w:rsidR="00C55A1F" w:rsidRDefault="00CA3F04">
      <w:pPr>
        <w:rPr>
          <w:szCs w:val="22"/>
        </w:rPr>
      </w:pPr>
      <w:r>
        <w:rPr>
          <w:szCs w:val="22"/>
        </w:rPr>
        <w:t>Struktura služby:</w:t>
      </w:r>
    </w:p>
    <w:p w14:paraId="1625CB66" w14:textId="77777777" w:rsidR="00C55A1F" w:rsidRDefault="00CA3F04">
      <w:pPr>
        <w:numPr>
          <w:ilvl w:val="0"/>
          <w:numId w:val="12"/>
        </w:numPr>
        <w:spacing w:after="60"/>
        <w:jc w:val="left"/>
        <w:rPr>
          <w:bCs/>
          <w:szCs w:val="22"/>
        </w:rPr>
      </w:pPr>
      <w:r>
        <w:rPr>
          <w:bCs/>
          <w:szCs w:val="22"/>
        </w:rPr>
        <w:t>identifikační údaje předávaných dat</w:t>
      </w:r>
    </w:p>
    <w:p w14:paraId="42F8B95C" w14:textId="77777777" w:rsidR="00C55A1F" w:rsidRDefault="00CA3F04">
      <w:pPr>
        <w:numPr>
          <w:ilvl w:val="2"/>
          <w:numId w:val="12"/>
        </w:numPr>
        <w:spacing w:after="60"/>
        <w:rPr>
          <w:bCs/>
          <w:szCs w:val="22"/>
        </w:rPr>
      </w:pPr>
      <w:r>
        <w:rPr>
          <w:bCs/>
          <w:szCs w:val="22"/>
        </w:rPr>
        <w:t>jednoznačný identifikátor subjektu – identifikační číslo (délka 8 znaků),</w:t>
      </w:r>
    </w:p>
    <w:p w14:paraId="5AEBC5D4" w14:textId="77777777" w:rsidR="00C55A1F" w:rsidRDefault="00CA3F04">
      <w:pPr>
        <w:numPr>
          <w:ilvl w:val="2"/>
          <w:numId w:val="12"/>
        </w:numPr>
        <w:spacing w:after="60"/>
        <w:rPr>
          <w:bCs/>
          <w:szCs w:val="22"/>
        </w:rPr>
      </w:pPr>
      <w:r>
        <w:rPr>
          <w:bCs/>
          <w:szCs w:val="22"/>
        </w:rPr>
        <w:t xml:space="preserve">identifikace začátku období, za které jsou předávána data (datum ve formátu DD.MM.RRRR), </w:t>
      </w:r>
    </w:p>
    <w:p w14:paraId="221133D4" w14:textId="77777777" w:rsidR="00C55A1F" w:rsidRDefault="00CA3F04">
      <w:pPr>
        <w:numPr>
          <w:ilvl w:val="2"/>
          <w:numId w:val="12"/>
        </w:numPr>
        <w:spacing w:after="60"/>
        <w:rPr>
          <w:bCs/>
          <w:szCs w:val="22"/>
        </w:rPr>
      </w:pPr>
      <w:r>
        <w:rPr>
          <w:bCs/>
          <w:szCs w:val="22"/>
        </w:rPr>
        <w:t>identifikace konce období, za které jsou předávána data (datum ve formátu DD.MM.RRRR).</w:t>
      </w:r>
    </w:p>
    <w:p w14:paraId="08FE0F61" w14:textId="77777777" w:rsidR="00C55A1F" w:rsidRDefault="00CA3F04">
      <w:pPr>
        <w:ind w:left="720"/>
        <w:rPr>
          <w:bCs/>
          <w:szCs w:val="22"/>
        </w:rPr>
      </w:pPr>
      <w:r>
        <w:rPr>
          <w:bCs/>
          <w:szCs w:val="22"/>
        </w:rPr>
        <w:lastRenderedPageBreak/>
        <w:t>plus technické řídící parametry:</w:t>
      </w:r>
    </w:p>
    <w:p w14:paraId="15A0BB08" w14:textId="77777777" w:rsidR="00C55A1F" w:rsidRDefault="00CA3F04">
      <w:pPr>
        <w:pStyle w:val="Odstavecseseznamem"/>
        <w:numPr>
          <w:ilvl w:val="0"/>
          <w:numId w:val="5"/>
        </w:numPr>
        <w:ind w:left="1843" w:hanging="70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TYP: S – statistika, K – kontrola</w:t>
      </w:r>
    </w:p>
    <w:p w14:paraId="5233DDA0" w14:textId="77777777" w:rsidR="00C55A1F" w:rsidRDefault="00CA3F04">
      <w:pPr>
        <w:pStyle w:val="Odstavecseseznamem"/>
        <w:numPr>
          <w:ilvl w:val="0"/>
          <w:numId w:val="5"/>
        </w:numPr>
        <w:ind w:left="1843" w:hanging="70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STREDISKO: může být prázdné, jinak uživatelsky zadaná hodnota</w:t>
      </w:r>
    </w:p>
    <w:p w14:paraId="2ACA140D" w14:textId="77777777" w:rsidR="00C55A1F" w:rsidRDefault="00CA3F04">
      <w:pPr>
        <w:pStyle w:val="Odstavecseseznamem"/>
        <w:numPr>
          <w:ilvl w:val="0"/>
          <w:numId w:val="5"/>
        </w:numPr>
        <w:ind w:left="1843" w:hanging="709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ROZSAH: může být prázdné, jinak lze plnit P nebo H</w:t>
      </w:r>
    </w:p>
    <w:p w14:paraId="256FF0CB" w14:textId="77777777" w:rsidR="00C55A1F" w:rsidRDefault="00CA3F04">
      <w:pPr>
        <w:numPr>
          <w:ilvl w:val="0"/>
          <w:numId w:val="12"/>
        </w:numPr>
        <w:spacing w:after="60"/>
        <w:rPr>
          <w:bCs/>
          <w:szCs w:val="22"/>
        </w:rPr>
      </w:pPr>
      <w:r>
        <w:rPr>
          <w:bCs/>
          <w:szCs w:val="22"/>
        </w:rPr>
        <w:t>datovou větu s identifikací pěstovaných plodin a jejích výnosu obsahující:</w:t>
      </w:r>
    </w:p>
    <w:p w14:paraId="52756CD1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zkrácený kód dílu půdního bloku (podle označení v evidenci půdy podle zákona č. 252/1997 Sb., o zemědělství, ve znění pozdějších předpisů),</w:t>
      </w:r>
    </w:p>
    <w:p w14:paraId="7DDC7C4B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čtverec dílu půdního bloku (podle označení v evidenci půdy podle zákona č. 252/1997 Sb., o zemědělství, ve znění pozdějších předpisů),</w:t>
      </w:r>
    </w:p>
    <w:p w14:paraId="0E993871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číselný identifikátor pěstované plodiny podle číselníku plodin zveřejněného ministerstvem způsobem umožňujícím dálkový přístup v elektronické aplikaci Data ke stažení na webových stránkách ministerstva,</w:t>
      </w:r>
    </w:p>
    <w:p w14:paraId="27170FCF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užitkový směr pěstované plodiny, jestliže taková plodina má v číselníku plodin uvedeno více užitkových směrů pro tentýž produkt,</w:t>
      </w:r>
    </w:p>
    <w:p w14:paraId="3AC639FD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výměra plodiny (číselný údaj s přesností na dvě desetinná místa),</w:t>
      </w:r>
    </w:p>
    <w:p w14:paraId="61AB64D1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datum výsevu, případně výsadby (datum ve formátu DD.MM.RRRR),</w:t>
      </w:r>
    </w:p>
    <w:p w14:paraId="074791D4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datum sklizně plodiny (datum ve formátu DD.MM.RRRR),</w:t>
      </w:r>
    </w:p>
    <w:p w14:paraId="5FB214B5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číselný identifikátor hlavního produktu podle číselníku produktů zveřejněného ministerstvem způsobem umožňujícím dálkový přístup v elektronické aplikaci Data ke stažení na webových stránkách ministerstva,</w:t>
      </w:r>
    </w:p>
    <w:p w14:paraId="4DD1416A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průměrný výnos hlavního produktu na jednotku plochy vyjádřeného ve formě tuny na hektar (číselný údaj s přesností na tři desetinná místa)</w:t>
      </w:r>
      <w:r>
        <w:rPr>
          <w:bCs/>
          <w:szCs w:val="22"/>
          <w:vertAlign w:val="superscript"/>
        </w:rPr>
        <w:t>1)</w:t>
      </w:r>
      <w:r>
        <w:rPr>
          <w:bCs/>
          <w:szCs w:val="22"/>
        </w:rPr>
        <w:t>,</w:t>
      </w:r>
    </w:p>
    <w:p w14:paraId="6FC75B4B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obsah sušiny hlavního produktu v procentuálním vyjádření na celé číslo (nebude-li uveden obsah sušiny, pak se převezme pro účely výpočtu bilance živin hodnota obsahu sušiny podle přílohy č. 6 k této vyhlášce),</w:t>
      </w:r>
    </w:p>
    <w:p w14:paraId="4E0639A4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číselný identifikátor vedlejšího produktu podle číselníku produktů zveřejněného ministerstvem způsobem umožňujícím dálkový přístup v elektronické aplikaci Data ke stažení na webových stránkách ministerstva,</w:t>
      </w:r>
    </w:p>
    <w:p w14:paraId="5FDE29E9" w14:textId="77777777" w:rsidR="00C55A1F" w:rsidRDefault="00CA3F04">
      <w:pPr>
        <w:numPr>
          <w:ilvl w:val="0"/>
          <w:numId w:val="28"/>
        </w:numPr>
        <w:spacing w:after="60"/>
        <w:rPr>
          <w:bCs/>
          <w:szCs w:val="22"/>
        </w:rPr>
      </w:pPr>
      <w:r>
        <w:rPr>
          <w:bCs/>
          <w:szCs w:val="22"/>
        </w:rPr>
        <w:t>průměrný výnos vedlejšího produktu na jednotku plochy vyjádřeného ve formě tuny na hektar (číselný údaj s přesností na tři desetinná místa) a</w:t>
      </w:r>
    </w:p>
    <w:p w14:paraId="68FAA79C" w14:textId="77777777" w:rsidR="00C55A1F" w:rsidRDefault="00CA3F04">
      <w:pPr>
        <w:numPr>
          <w:ilvl w:val="0"/>
          <w:numId w:val="28"/>
        </w:numPr>
        <w:spacing w:after="60"/>
        <w:jc w:val="left"/>
        <w:rPr>
          <w:bCs/>
          <w:szCs w:val="22"/>
        </w:rPr>
      </w:pPr>
      <w:r>
        <w:rPr>
          <w:bCs/>
          <w:szCs w:val="22"/>
        </w:rPr>
        <w:t>obsah sušiny vedlejšího produktu v procentuálním vyjádření na celé číslo (nebude-li uveden obsah sušiny, pak se převezme pro účely výpočtu bilance živin hodnota obsahu sušiny podle přílohy č. 6 k této vyhlášce).</w:t>
      </w:r>
    </w:p>
    <w:p w14:paraId="72FCEEF3" w14:textId="77777777" w:rsidR="00C55A1F" w:rsidRDefault="00C55A1F">
      <w:pPr>
        <w:rPr>
          <w:bCs/>
          <w:szCs w:val="22"/>
        </w:rPr>
      </w:pPr>
    </w:p>
    <w:p w14:paraId="6C67D3F7" w14:textId="77777777" w:rsidR="00C55A1F" w:rsidRDefault="00CA3F04">
      <w:pPr>
        <w:numPr>
          <w:ilvl w:val="0"/>
          <w:numId w:val="12"/>
        </w:numPr>
        <w:spacing w:after="60"/>
        <w:rPr>
          <w:bCs/>
          <w:szCs w:val="22"/>
        </w:rPr>
      </w:pPr>
      <w:r>
        <w:rPr>
          <w:bCs/>
          <w:szCs w:val="22"/>
        </w:rPr>
        <w:t>datovou větu s identifikací jednotlivého použití hnojiv, pomocných půdních látek, rostlinných biostimulantů, substrátů a upravených kalů obsahuje tyto položky:</w:t>
      </w:r>
    </w:p>
    <w:p w14:paraId="663B95F3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zkrácený kód dílu půdního bloku (podle označení v evidenci půdy podle zákona č. 252/1997 Sb., o zemědělství, ve znění pozdějších předpisů),</w:t>
      </w:r>
    </w:p>
    <w:p w14:paraId="16F488C9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čtverec dílu půdního bloku (podle označení v evidenci půdy podle zákona č. 252/1997 Sb., o zemědělství, ve znění pozdějších předpisů),</w:t>
      </w:r>
    </w:p>
    <w:p w14:paraId="3E304403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datum použití hnojiva nebo zahájení pastvy či jiného pobytu zvířat na zemědělské půdě (datum ve formátu DD.MM.RRRR),</w:t>
      </w:r>
    </w:p>
    <w:p w14:paraId="5CADFB62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datum zapravení hnojiva nebo ukončení pastvy či jiného pobytu zvířat na zemědělské půdě (datum ve formátu DD.MM.RRRR),</w:t>
      </w:r>
    </w:p>
    <w:p w14:paraId="1991C5B5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číselný identifikátor cílové plodiny podle číselníku plodin zveřejněného ministerstvem způsobem umožňujícím dálkový přístup v elektronické aplikaci Data ke stažení na webových stránkách ministerstva,</w:t>
      </w:r>
    </w:p>
    <w:p w14:paraId="085A61D6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výměra plodiny (číselný údaj s přesností na dvě desetinná místa),</w:t>
      </w:r>
    </w:p>
    <w:p w14:paraId="0E68013F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výměra plochy, na které bylo použito hnojivo (číselný údaj s přesností na dvě desetinná místa),</w:t>
      </w:r>
    </w:p>
    <w:p w14:paraId="470491B2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lastRenderedPageBreak/>
        <w:t>číselný identifikátor hnojiva podle registru hnojiv zveřejněného ministerstvem způsobem umožňujícím dálkový přístup v elektronické aplikaci Registr hnojiv na webových stránkách ministerstva (nepovinný údaj),</w:t>
      </w:r>
    </w:p>
    <w:p w14:paraId="15564244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název hnojiva (textový údaj odpovídající názvu hnojiva),</w:t>
      </w:r>
    </w:p>
    <w:p w14:paraId="2938F40F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množství použitého hnojiva (číselný údaj s přesností na tři desetinná místa),</w:t>
      </w:r>
    </w:p>
    <w:p w14:paraId="08F7B6A0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měrná jednotka použitého hnojiva (t, kg, l),</w:t>
      </w:r>
    </w:p>
    <w:p w14:paraId="2225BD11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přívod dusíku (N) v kg/ha, uvádí se, jen pokud nebude uveden identifikátor hnojiva podle registru hnojiv (číselný údaj s přesností na tři desetinná místa),</w:t>
      </w:r>
    </w:p>
    <w:p w14:paraId="1CD2FDB5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přívod fosforu (P)</w:t>
      </w:r>
      <w:r>
        <w:rPr>
          <w:bCs/>
          <w:szCs w:val="22"/>
          <w:vertAlign w:val="superscript"/>
        </w:rPr>
        <w:t>2)</w:t>
      </w:r>
      <w:r>
        <w:rPr>
          <w:bCs/>
          <w:szCs w:val="22"/>
        </w:rPr>
        <w:t xml:space="preserve"> v kg/ha, uvádí se, jen pokud nebude uveden identifikátor hnojiva podle registru hnojiv (číselný údaj s přesností na dvě desetinná místa),</w:t>
      </w:r>
    </w:p>
    <w:p w14:paraId="655BDBFF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přívod draslíku (K)</w:t>
      </w:r>
      <w:r>
        <w:rPr>
          <w:bCs/>
          <w:szCs w:val="22"/>
          <w:vertAlign w:val="superscript"/>
        </w:rPr>
        <w:t>2)</w:t>
      </w:r>
      <w:r>
        <w:rPr>
          <w:bCs/>
          <w:szCs w:val="22"/>
        </w:rPr>
        <w:t xml:space="preserve"> v kg/ha, uvádí se, jen pokud nebude uveden identifikátor hnojiva podle registru hnojiv (číselný údaj s přesností na dvě desetinná místa),</w:t>
      </w:r>
    </w:p>
    <w:p w14:paraId="1013BE46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přívod hořčíku (Mg)</w:t>
      </w:r>
      <w:r>
        <w:rPr>
          <w:bCs/>
          <w:szCs w:val="22"/>
          <w:vertAlign w:val="superscript"/>
        </w:rPr>
        <w:t>2)</w:t>
      </w:r>
      <w:r>
        <w:rPr>
          <w:bCs/>
          <w:szCs w:val="22"/>
        </w:rPr>
        <w:t xml:space="preserve"> v kg/ha, uvádí se, jen pokud nebude uveden identifikátor hnojiva podle registru hnojiv (číselný údaj s přesností na dvě desetinná místa),</w:t>
      </w:r>
    </w:p>
    <w:p w14:paraId="607747D6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přívod vápníku (Ca)</w:t>
      </w:r>
      <w:r>
        <w:rPr>
          <w:bCs/>
          <w:szCs w:val="22"/>
          <w:vertAlign w:val="superscript"/>
        </w:rPr>
        <w:t>2)</w:t>
      </w:r>
      <w:r>
        <w:rPr>
          <w:bCs/>
          <w:szCs w:val="22"/>
        </w:rPr>
        <w:t xml:space="preserve"> v kg/ha, uvádí se, jen pokud nebude uveden identifikátor hnojiva podle registru hnojiv (číselný údaj s přesností na dvě desetinná místa),</w:t>
      </w:r>
    </w:p>
    <w:p w14:paraId="5B0BD6B9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přívod síry (S)</w:t>
      </w:r>
      <w:r>
        <w:rPr>
          <w:bCs/>
          <w:szCs w:val="22"/>
          <w:vertAlign w:val="superscript"/>
        </w:rPr>
        <w:t>2)</w:t>
      </w:r>
      <w:r>
        <w:rPr>
          <w:bCs/>
          <w:szCs w:val="22"/>
        </w:rPr>
        <w:t xml:space="preserve"> v kg/ha, uvádí se, jen pokud nebude uveden identifikátor hnojiva podle registru hnojiv (číselný údaj s přesností na dvě desetinná místa), </w:t>
      </w:r>
    </w:p>
    <w:p w14:paraId="70396C51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údaj, zda bylo hnojivo použito za účelem podpory rozkladu slámy (ve formátu uvedení písmene A, pro ANO a N pro NE),</w:t>
      </w:r>
    </w:p>
    <w:p w14:paraId="65FD5BF4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 xml:space="preserve">údaje o použití upravených kalů v přepočtu na 100% sušinu (položky I. až XVIII se použijí obdobně) a </w:t>
      </w:r>
    </w:p>
    <w:p w14:paraId="43BD9BA6" w14:textId="77777777" w:rsidR="00C55A1F" w:rsidRDefault="00CA3F04">
      <w:pPr>
        <w:numPr>
          <w:ilvl w:val="0"/>
          <w:numId w:val="9"/>
        </w:numPr>
        <w:spacing w:after="60"/>
        <w:rPr>
          <w:bCs/>
          <w:szCs w:val="22"/>
        </w:rPr>
      </w:pPr>
      <w:r>
        <w:rPr>
          <w:bCs/>
          <w:szCs w:val="22"/>
        </w:rPr>
        <w:t>údaje o použití pomocných půdních látek, rostlinných biostimulantů a substrátů (položky I. až XI. se použijí obdobně).</w:t>
      </w:r>
    </w:p>
    <w:p w14:paraId="5C08FA62" w14:textId="77777777" w:rsidR="00C55A1F" w:rsidRDefault="00CA3F04">
      <w:pPr>
        <w:rPr>
          <w:bCs/>
          <w:szCs w:val="22"/>
        </w:rPr>
      </w:pPr>
      <w:r>
        <w:rPr>
          <w:bCs/>
          <w:szCs w:val="22"/>
        </w:rPr>
        <w:t>Návrh XSD služby vznikne v rámci implementace ve vazbě na číselníky</w:t>
      </w:r>
    </w:p>
    <w:p w14:paraId="5F7A5B97" w14:textId="77777777" w:rsidR="00C55A1F" w:rsidRDefault="00C55A1F"/>
    <w:p w14:paraId="74188F76" w14:textId="77777777" w:rsidR="00C55A1F" w:rsidRDefault="00CA3F04">
      <w:pPr>
        <w:pStyle w:val="Nadpis2"/>
      </w:pPr>
      <w:r>
        <w:t>3.7 Aparát pro příjem dat</w:t>
      </w:r>
    </w:p>
    <w:p w14:paraId="6D449960" w14:textId="77777777" w:rsidR="00C55A1F" w:rsidRDefault="00CA3F04">
      <w:pPr>
        <w:rPr>
          <w:szCs w:val="22"/>
        </w:rPr>
      </w:pPr>
      <w:r>
        <w:rPr>
          <w:szCs w:val="22"/>
        </w:rPr>
        <w:t>V rámci příjmu dat budou prováděny tyto operace:</w:t>
      </w:r>
    </w:p>
    <w:p w14:paraId="7BBCED49" w14:textId="77777777" w:rsidR="00C55A1F" w:rsidRDefault="00CA3F04">
      <w:pPr>
        <w:pStyle w:val="Odstavecseseznamem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Kontrola formální správnosti</w:t>
      </w:r>
    </w:p>
    <w:p w14:paraId="19E7FBA3" w14:textId="77777777" w:rsidR="00C55A1F" w:rsidRDefault="00CA3F04">
      <w:pPr>
        <w:pStyle w:val="Odstavecseseznamem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Kontrola věcné správnosti dat</w:t>
      </w:r>
    </w:p>
    <w:p w14:paraId="73AD6844" w14:textId="77777777" w:rsidR="00C55A1F" w:rsidRDefault="00CA3F04">
      <w:pPr>
        <w:pStyle w:val="Odstavecseseznamem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Kontrola nežádoucích duplicit mezi sadami</w:t>
      </w:r>
    </w:p>
    <w:p w14:paraId="5E85E08D" w14:textId="77777777" w:rsidR="00C55A1F" w:rsidRDefault="00CA3F04">
      <w:pPr>
        <w:pStyle w:val="Odstavecseseznamem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Uložení dat ve vztahu k již existujícím datům s časovým překryvem</w:t>
      </w:r>
    </w:p>
    <w:p w14:paraId="51047822" w14:textId="77777777" w:rsidR="00C55A1F" w:rsidRDefault="00CA3F04">
      <w:pPr>
        <w:rPr>
          <w:szCs w:val="22"/>
        </w:rPr>
      </w:pPr>
      <w:r>
        <w:rPr>
          <w:szCs w:val="22"/>
        </w:rPr>
        <w:t>Přijetím dat (tj. neodmítnutím na nepropustnou chybu) bude vždy v odpovědi uvedeno ID podání, pod kterým bude možné stáhnout chybník k podané datové sadě, pomocí samostatné služby EAG_CHEH01A (chybník evidence hnojení).</w:t>
      </w:r>
    </w:p>
    <w:p w14:paraId="3381944F" w14:textId="77777777" w:rsidR="00C55A1F" w:rsidRDefault="00C55A1F">
      <w:pPr>
        <w:rPr>
          <w:szCs w:val="22"/>
        </w:rPr>
      </w:pPr>
    </w:p>
    <w:p w14:paraId="0D235A04" w14:textId="77777777" w:rsidR="00C55A1F" w:rsidRDefault="00CA3F04">
      <w:pPr>
        <w:pStyle w:val="Odstavecseseznamem"/>
        <w:numPr>
          <w:ilvl w:val="2"/>
          <w:numId w:val="29"/>
        </w:numPr>
        <w:rPr>
          <w:b/>
          <w:bCs/>
          <w:szCs w:val="22"/>
        </w:rPr>
      </w:pPr>
      <w:r>
        <w:rPr>
          <w:b/>
          <w:bCs/>
          <w:szCs w:val="22"/>
        </w:rPr>
        <w:t>Kontrola formální správnosti</w:t>
      </w:r>
    </w:p>
    <w:p w14:paraId="20411197" w14:textId="77777777" w:rsidR="00C55A1F" w:rsidRDefault="00CA3F04">
      <w:pPr>
        <w:rPr>
          <w:szCs w:val="22"/>
        </w:rPr>
      </w:pPr>
      <w:r>
        <w:rPr>
          <w:szCs w:val="22"/>
        </w:rPr>
        <w:t>S tvrdou chybou budou odmítány pouze data, která budou obsahovat zásadní nepropustné chyby:</w:t>
      </w:r>
    </w:p>
    <w:p w14:paraId="7B4C81ED" w14:textId="77777777" w:rsidR="00C55A1F" w:rsidRDefault="00CA3F04">
      <w:pPr>
        <w:pStyle w:val="Odstavecseseznamem"/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Neexistující subjekt</w:t>
      </w:r>
    </w:p>
    <w:p w14:paraId="41216A84" w14:textId="77777777" w:rsidR="00C55A1F" w:rsidRDefault="00CA3F04">
      <w:pPr>
        <w:pStyle w:val="Odstavecseseznamem"/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Vadná identifikace období – data hnojení jsou mimo období z hlavičky, data pro statistiku jsou mimo kalendářní rok apod.</w:t>
      </w:r>
    </w:p>
    <w:p w14:paraId="3A0028E3" w14:textId="77777777" w:rsidR="00C55A1F" w:rsidRDefault="00CA3F04">
      <w:pPr>
        <w:pStyle w:val="Odstavecseseznamem"/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Neuvedení povinných polí hodnotou ve správném formátu (typicky neuvedení výměry) </w:t>
      </w:r>
      <w:r>
        <w:rPr>
          <w:rFonts w:cs="Arial"/>
          <w:szCs w:val="22"/>
        </w:rPr>
        <w:br/>
        <w:t>- volání bude odmítnuto na nevaliditu vůči XSD šabloně</w:t>
      </w:r>
    </w:p>
    <w:p w14:paraId="332D6BA0" w14:textId="77777777" w:rsidR="00C55A1F" w:rsidRDefault="00CA3F04">
      <w:pPr>
        <w:rPr>
          <w:szCs w:val="22"/>
        </w:rPr>
      </w:pPr>
      <w:r>
        <w:rPr>
          <w:szCs w:val="22"/>
        </w:rPr>
        <w:t xml:space="preserve">Všechny chyby, které budou zjištěny nad rámec validity vůči XSD budou klasifikovány jako propustné, data budou přijata, ale daný záznam bude opatřen kódem chyby a dle typu chyby </w:t>
      </w:r>
      <w:r>
        <w:rPr>
          <w:szCs w:val="22"/>
        </w:rPr>
        <w:lastRenderedPageBreak/>
        <w:t>bude/nebude vstupovat do dalšího využití. O chybách bude subjekt zpraven v rámci odpovědi v chybníku skrze službu EAG_CHEH01A</w:t>
      </w:r>
    </w:p>
    <w:p w14:paraId="7086A6D3" w14:textId="77777777" w:rsidR="00C55A1F" w:rsidRDefault="00CA3F04">
      <w:pPr>
        <w:rPr>
          <w:szCs w:val="22"/>
        </w:rPr>
      </w:pPr>
      <w:r>
        <w:rPr>
          <w:szCs w:val="22"/>
        </w:rPr>
        <w:t>Chybník bude mít následující strukturu:</w:t>
      </w:r>
    </w:p>
    <w:p w14:paraId="78BAD45A" w14:textId="77777777" w:rsidR="00C55A1F" w:rsidRDefault="00CA3F04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Identifikace věty s předávanými daty</w:t>
      </w:r>
    </w:p>
    <w:p w14:paraId="32716985" w14:textId="77777777" w:rsidR="00C55A1F" w:rsidRDefault="00CA3F04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Označení vadné položky</w:t>
      </w:r>
    </w:p>
    <w:p w14:paraId="43E9F1A7" w14:textId="77777777" w:rsidR="00C55A1F" w:rsidRDefault="00CA3F04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Kód chyby</w:t>
      </w:r>
    </w:p>
    <w:p w14:paraId="00E86173" w14:textId="77777777" w:rsidR="00C55A1F" w:rsidRDefault="00CA3F04">
      <w:pPr>
        <w:pStyle w:val="Odstavecseseznamem"/>
        <w:numPr>
          <w:ilvl w:val="0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>Popis chyby</w:t>
      </w:r>
    </w:p>
    <w:p w14:paraId="6DEF1AB8" w14:textId="77777777" w:rsidR="00C55A1F" w:rsidRDefault="00C55A1F">
      <w:pPr>
        <w:pStyle w:val="Odstavecseseznamem"/>
        <w:rPr>
          <w:rFonts w:cs="Arial"/>
          <w:szCs w:val="22"/>
        </w:rPr>
      </w:pPr>
    </w:p>
    <w:p w14:paraId="08E0E98D" w14:textId="77777777" w:rsidR="00C55A1F" w:rsidRDefault="00CA3F04">
      <w:pPr>
        <w:pStyle w:val="Odstavecseseznamem"/>
        <w:numPr>
          <w:ilvl w:val="2"/>
          <w:numId w:val="29"/>
        </w:numPr>
        <w:rPr>
          <w:b/>
          <w:bCs/>
          <w:szCs w:val="22"/>
        </w:rPr>
      </w:pPr>
      <w:bookmarkStart w:id="1" w:name="_Hlk75952985"/>
      <w:r>
        <w:rPr>
          <w:b/>
          <w:bCs/>
          <w:szCs w:val="22"/>
        </w:rPr>
        <w:t>Kontrola věcné správnosti</w:t>
      </w:r>
    </w:p>
    <w:bookmarkEnd w:id="1"/>
    <w:p w14:paraId="376C8A09" w14:textId="77777777" w:rsidR="00C55A1F" w:rsidRDefault="00CA3F04">
      <w:pPr>
        <w:rPr>
          <w:szCs w:val="22"/>
        </w:rPr>
      </w:pPr>
      <w:r>
        <w:rPr>
          <w:szCs w:val="22"/>
        </w:rPr>
        <w:t>Modul JUDEH bude provádět základní věcné kontroly na tyto číselníky:</w:t>
      </w:r>
    </w:p>
    <w:p w14:paraId="59F83D81" w14:textId="77777777" w:rsidR="00C55A1F" w:rsidRDefault="00CA3F04">
      <w:pPr>
        <w:pStyle w:val="Odstavecseseznamem"/>
        <w:numPr>
          <w:ilvl w:val="0"/>
          <w:numId w:val="24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Číselník plodin</w:t>
      </w:r>
    </w:p>
    <w:p w14:paraId="235C6D95" w14:textId="77777777" w:rsidR="00C55A1F" w:rsidRDefault="00CA3F04">
      <w:pPr>
        <w:pStyle w:val="Odstavecseseznamem"/>
        <w:numPr>
          <w:ilvl w:val="0"/>
          <w:numId w:val="24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Číselník hnojiv</w:t>
      </w:r>
    </w:p>
    <w:p w14:paraId="2BE4C04D" w14:textId="77777777" w:rsidR="00C55A1F" w:rsidRDefault="00CA3F04">
      <w:pPr>
        <w:pStyle w:val="Odstavecseseznamem"/>
        <w:numPr>
          <w:ilvl w:val="0"/>
          <w:numId w:val="24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Číselník produktů</w:t>
      </w:r>
    </w:p>
    <w:p w14:paraId="01B21548" w14:textId="77777777" w:rsidR="00C55A1F" w:rsidRDefault="00CA3F04">
      <w:pPr>
        <w:pStyle w:val="Odstavecseseznamem"/>
        <w:numPr>
          <w:ilvl w:val="0"/>
          <w:numId w:val="24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Číselník užitkového směru</w:t>
      </w:r>
    </w:p>
    <w:p w14:paraId="27E70D53" w14:textId="77777777" w:rsidR="00C55A1F" w:rsidRDefault="00CA3F04">
      <w:pPr>
        <w:rPr>
          <w:szCs w:val="22"/>
        </w:rPr>
      </w:pPr>
      <w:r>
        <w:rPr>
          <w:szCs w:val="22"/>
        </w:rPr>
        <w:t xml:space="preserve">Jestliže položka bude předána bez vazby na platné číselníky, tak s výjimkou hnojiv bude konkrétní záznam neplatný a opatřen chybou. U hnojiv bude vytvořen záznam vlastního hnojiva s obsahem živin dle skutečného zápisu. </w:t>
      </w:r>
    </w:p>
    <w:p w14:paraId="65F6FC66" w14:textId="77777777" w:rsidR="00C55A1F" w:rsidRDefault="00C55A1F">
      <w:pPr>
        <w:rPr>
          <w:szCs w:val="22"/>
        </w:rPr>
      </w:pPr>
    </w:p>
    <w:p w14:paraId="4F3DBE54" w14:textId="77777777" w:rsidR="00C55A1F" w:rsidRDefault="00CA3F04">
      <w:pPr>
        <w:rPr>
          <w:szCs w:val="22"/>
        </w:rPr>
      </w:pPr>
      <w:r>
        <w:rPr>
          <w:szCs w:val="22"/>
        </w:rPr>
        <w:t>Data budou dále kontrolována na evidenci LPIS, a to na data půdních bloků:</w:t>
      </w:r>
    </w:p>
    <w:p w14:paraId="0EBB7E3A" w14:textId="77777777" w:rsidR="00C55A1F" w:rsidRDefault="00CA3F04">
      <w:pPr>
        <w:pStyle w:val="Odstavecseseznamem"/>
        <w:numPr>
          <w:ilvl w:val="0"/>
          <w:numId w:val="1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Záznam bude neplatný, pokud DPB nebude existovat nebo odchylka aplikované výměry bude převyšovat výměru DPB o více než 0,5 ha.</w:t>
      </w:r>
    </w:p>
    <w:p w14:paraId="49E62527" w14:textId="77777777" w:rsidR="00C55A1F" w:rsidRDefault="00CA3F04">
      <w:pPr>
        <w:rPr>
          <w:szCs w:val="22"/>
        </w:rPr>
      </w:pPr>
      <w:r>
        <w:rPr>
          <w:szCs w:val="22"/>
        </w:rPr>
        <w:t>Konečně data budou kontrolována na data jednotné žádosti:</w:t>
      </w:r>
    </w:p>
    <w:p w14:paraId="1D2C17D8" w14:textId="77777777" w:rsidR="00C55A1F" w:rsidRDefault="00CA3F04">
      <w:pPr>
        <w:pStyle w:val="Odstavecseseznamem"/>
        <w:numPr>
          <w:ilvl w:val="0"/>
          <w:numId w:val="1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případě rozporu plodin nebude záznam zneplatněn, ale bude pouze opatřen chybou, že se daná plodina na DPB v žádosti nespárovala. </w:t>
      </w:r>
    </w:p>
    <w:p w14:paraId="3F9B88AB" w14:textId="77777777" w:rsidR="00C55A1F" w:rsidRDefault="00C55A1F">
      <w:pPr>
        <w:rPr>
          <w:szCs w:val="22"/>
        </w:rPr>
      </w:pPr>
    </w:p>
    <w:p w14:paraId="4CD6E1BC" w14:textId="77777777" w:rsidR="00C55A1F" w:rsidRDefault="00CA3F04">
      <w:pPr>
        <w:pStyle w:val="Odstavecseseznamem"/>
        <w:numPr>
          <w:ilvl w:val="2"/>
          <w:numId w:val="29"/>
        </w:numPr>
        <w:ind w:left="567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Kontrola disjunkce dat</w:t>
      </w:r>
    </w:p>
    <w:p w14:paraId="6A9ECC6D" w14:textId="77777777" w:rsidR="00C55A1F" w:rsidRDefault="00CA3F04">
      <w:pPr>
        <w:rPr>
          <w:szCs w:val="22"/>
        </w:rPr>
      </w:pPr>
      <w:r>
        <w:rPr>
          <w:szCs w:val="22"/>
        </w:rPr>
        <w:t>U dat typu K (kontrola) nebude prováděna žádná kontrola disjunkce a pouze bude provedena klasifikace formálně/věcné správnosti ve smyslu kontroly dat na číselníky a externí zdroje (DPB, jednotná žádost).</w:t>
      </w:r>
    </w:p>
    <w:p w14:paraId="69155759" w14:textId="77777777" w:rsidR="00C55A1F" w:rsidRDefault="00CA3F04">
      <w:pPr>
        <w:rPr>
          <w:szCs w:val="22"/>
        </w:rPr>
      </w:pPr>
      <w:r>
        <w:rPr>
          <w:szCs w:val="22"/>
        </w:rPr>
        <w:t>U dat typu S (statistika) bude probíhat kontrola, zda v sadách, které dle řídících parametrů se nenahrazují v daném období neexistuje překryv v DPB v části osevu, pokud ano a nebude se jednat o totožná data, bude záznam opatřen chybou.</w:t>
      </w:r>
    </w:p>
    <w:p w14:paraId="72C4E4CB" w14:textId="77777777" w:rsidR="00C55A1F" w:rsidRDefault="00CA3F04">
      <w:pPr>
        <w:pStyle w:val="Nadpis2"/>
      </w:pPr>
      <w:r>
        <w:t>3.8 Uživatelské rozhraní</w:t>
      </w:r>
    </w:p>
    <w:p w14:paraId="068A3C6E" w14:textId="77777777" w:rsidR="00C55A1F" w:rsidRDefault="00CA3F04">
      <w:r>
        <w:t xml:space="preserve">Přihlášený subjekt FARMÁŘ bude mít k dispozici: </w:t>
      </w:r>
    </w:p>
    <w:p w14:paraId="003D0508" w14:textId="77777777" w:rsidR="00C55A1F" w:rsidRDefault="00CA3F04">
      <w:pPr>
        <w:pStyle w:val="Odstavecseseznamem"/>
        <w:numPr>
          <w:ilvl w:val="3"/>
          <w:numId w:val="9"/>
        </w:numPr>
        <w:ind w:left="567" w:hanging="567"/>
        <w:rPr>
          <w:b/>
          <w:bCs/>
        </w:rPr>
      </w:pPr>
      <w:r>
        <w:rPr>
          <w:b/>
          <w:bCs/>
        </w:rPr>
        <w:t>Seznam předaných dávek s hlavičkovými údaji, vazbě na předaná data a chybník</w:t>
      </w:r>
    </w:p>
    <w:p w14:paraId="3FF6B8CE" w14:textId="77777777" w:rsidR="00C55A1F" w:rsidRDefault="00CA3F04">
      <w:pPr>
        <w:pStyle w:val="Odstavecseseznamem"/>
        <w:numPr>
          <w:ilvl w:val="3"/>
          <w:numId w:val="9"/>
        </w:numPr>
        <w:ind w:left="567" w:hanging="567"/>
        <w:jc w:val="both"/>
      </w:pPr>
      <w:r>
        <w:t>Data bude možné procházet jednotlivě – tj. jakožto 2 tabulky (evidence výnosů, evidence použití hnojiv) v rámci jedné předané datové sady (typ K, nelze ani prohlížet jinak než za danou sadu) nebo souhrnně veškerá platná data pro statistiku (S)</w:t>
      </w:r>
    </w:p>
    <w:p w14:paraId="771C99D1" w14:textId="77777777" w:rsidR="00C55A1F" w:rsidRDefault="00CA3F04">
      <w:pPr>
        <w:pStyle w:val="Odstavecseseznamem"/>
        <w:numPr>
          <w:ilvl w:val="0"/>
          <w:numId w:val="18"/>
        </w:numPr>
        <w:jc w:val="both"/>
      </w:pPr>
      <w:r>
        <w:t>Nad každým seznamem bude standardní vyhledávací filtr a grid bude umět exportovat data do XLS.</w:t>
      </w:r>
    </w:p>
    <w:p w14:paraId="1F45CD21" w14:textId="77777777" w:rsidR="00C55A1F" w:rsidRDefault="00CA3F04">
      <w:pPr>
        <w:pStyle w:val="Odstavecseseznamem"/>
        <w:numPr>
          <w:ilvl w:val="0"/>
          <w:numId w:val="18"/>
        </w:numPr>
        <w:jc w:val="both"/>
      </w:pPr>
      <w:r>
        <w:t>Chybník bude možné exportovat do PDF.</w:t>
      </w:r>
    </w:p>
    <w:p w14:paraId="53DB3B89" w14:textId="77777777" w:rsidR="00C55A1F" w:rsidRDefault="00CA3F04">
      <w:pPr>
        <w:pStyle w:val="Odstavecseseznamem"/>
        <w:numPr>
          <w:ilvl w:val="0"/>
          <w:numId w:val="18"/>
        </w:numPr>
        <w:jc w:val="both"/>
      </w:pPr>
      <w:r>
        <w:t xml:space="preserve">Bude umožněno vygenerovat popis předaných dat (příslušné dávky) ve formátu PDF. </w:t>
      </w:r>
    </w:p>
    <w:p w14:paraId="1C87DABA" w14:textId="77777777" w:rsidR="00C55A1F" w:rsidRDefault="00CA3F04">
      <w:pPr>
        <w:pStyle w:val="Odstavecseseznamem"/>
        <w:numPr>
          <w:ilvl w:val="0"/>
          <w:numId w:val="18"/>
        </w:numPr>
      </w:pPr>
      <w:r>
        <w:t>Data bude možné exportovat do XML.</w:t>
      </w:r>
    </w:p>
    <w:p w14:paraId="22DED0E3" w14:textId="77777777" w:rsidR="00C55A1F" w:rsidRDefault="00C55A1F"/>
    <w:p w14:paraId="59005A99" w14:textId="77777777" w:rsidR="00C55A1F" w:rsidRDefault="00CA3F04">
      <w:r>
        <w:t>Přihlášený interní uživatel bude mít oproti farmáři k dispozici:</w:t>
      </w:r>
    </w:p>
    <w:p w14:paraId="7DA07A04" w14:textId="77777777" w:rsidR="00C55A1F" w:rsidRDefault="00CA3F04">
      <w:pPr>
        <w:pStyle w:val="Odstavecseseznamem"/>
        <w:numPr>
          <w:ilvl w:val="0"/>
          <w:numId w:val="18"/>
        </w:numPr>
      </w:pPr>
      <w:r>
        <w:t>Chronologický přehled všech dávek s identifikací subjektu (forma seznamu)</w:t>
      </w:r>
    </w:p>
    <w:p w14:paraId="1075F4E0" w14:textId="77777777" w:rsidR="00C55A1F" w:rsidRDefault="00CA3F04">
      <w:pPr>
        <w:pStyle w:val="Odstavecseseznamem"/>
        <w:numPr>
          <w:ilvl w:val="0"/>
          <w:numId w:val="18"/>
        </w:numPr>
        <w:jc w:val="both"/>
      </w:pPr>
      <w:r>
        <w:t>Přehled všech LPIS platných uživatelů k danému roku 31.5. a uvedením základních výměr, povinnosti, zda má předávat data ANO x NE a zda, kdy data v jakém rozsahu předal – seznam v základu filtrovatelný po letech</w:t>
      </w:r>
    </w:p>
    <w:p w14:paraId="183FEDF3" w14:textId="77777777" w:rsidR="00C55A1F" w:rsidRDefault="00CA3F04">
      <w:pPr>
        <w:pStyle w:val="Nadpis2"/>
      </w:pPr>
      <w:r>
        <w:t>3.9 Dokumentace navržených služeb a detailní popis chování</w:t>
      </w:r>
    </w:p>
    <w:p w14:paraId="67983C12" w14:textId="77777777" w:rsidR="00C55A1F" w:rsidRDefault="00CA3F04">
      <w:r>
        <w:t>Součástí plnění je příprava dokumentace navržených služeb a use-case jejich použití tak, aby byly tyto informace prezentovatelné dodavatelům SW.</w:t>
      </w:r>
    </w:p>
    <w:p w14:paraId="5645729A" w14:textId="77777777" w:rsidR="00C55A1F" w:rsidRDefault="00C55A1F"/>
    <w:p w14:paraId="414A65A5" w14:textId="77777777" w:rsidR="00C55A1F" w:rsidRDefault="00CA3F04">
      <w:pPr>
        <w:pStyle w:val="Nadpis1"/>
        <w:numPr>
          <w:ilvl w:val="0"/>
          <w:numId w:val="27"/>
        </w:numPr>
        <w:rPr>
          <w:szCs w:val="22"/>
        </w:rPr>
      </w:pPr>
      <w:r>
        <w:rPr>
          <w:szCs w:val="22"/>
        </w:rPr>
        <w:lastRenderedPageBreak/>
        <w:t>Dopady na IS MZe</w:t>
      </w:r>
    </w:p>
    <w:p w14:paraId="5E2A53C4" w14:textId="77777777" w:rsidR="00C55A1F" w:rsidRDefault="00CA3F04">
      <w:pPr>
        <w:pStyle w:val="Nadpis2"/>
      </w:pPr>
      <w:r>
        <w:t>4.1 Dopady</w:t>
      </w:r>
    </w:p>
    <w:p w14:paraId="18DC6477" w14:textId="77777777" w:rsidR="00C55A1F" w:rsidRDefault="00CA3F04">
      <w:r>
        <w:t>Bez dopadu.</w:t>
      </w:r>
    </w:p>
    <w:p w14:paraId="5A06F009" w14:textId="77777777" w:rsidR="00C55A1F" w:rsidRDefault="00CA3F04">
      <w:pPr>
        <w:pStyle w:val="Nadpis2"/>
        <w:spacing w:line="360" w:lineRule="auto"/>
        <w:ind w:left="573" w:hanging="289"/>
      </w:pPr>
      <w:r>
        <w:t>4.2 Na provoz a infrastrukturu</w:t>
      </w:r>
    </w:p>
    <w:p w14:paraId="57337C0F" w14:textId="77777777" w:rsidR="00C55A1F" w:rsidRDefault="00CA3F04">
      <w:r>
        <w:t>Bez dopadu-</w:t>
      </w:r>
    </w:p>
    <w:p w14:paraId="6D2B2FC7" w14:textId="77777777" w:rsidR="00C55A1F" w:rsidRDefault="00CA3F04">
      <w:pPr>
        <w:pStyle w:val="Nadpis2"/>
        <w:spacing w:line="360" w:lineRule="auto"/>
        <w:ind w:left="573" w:hanging="289"/>
      </w:pPr>
      <w:r>
        <w:t>4.3 Na bezpečnost</w:t>
      </w:r>
    </w:p>
    <w:p w14:paraId="2CD4C773" w14:textId="77777777" w:rsidR="00C55A1F" w:rsidRDefault="00CA3F04">
      <w:r>
        <w:t>Bez dopadu</w:t>
      </w:r>
    </w:p>
    <w:p w14:paraId="79F45ED1" w14:textId="77777777" w:rsidR="00C55A1F" w:rsidRDefault="00CA3F04">
      <w:pPr>
        <w:pStyle w:val="Nadpis2"/>
        <w:spacing w:line="360" w:lineRule="auto"/>
        <w:ind w:left="573" w:hanging="289"/>
      </w:pPr>
      <w:r>
        <w:t>4.4 Na součinnost s dalšími systémy</w:t>
      </w:r>
    </w:p>
    <w:p w14:paraId="2EE6622D" w14:textId="77777777" w:rsidR="00C55A1F" w:rsidRDefault="00CA3F04">
      <w:r>
        <w:t>Pouze dopady do SDB – nastavení view pro přístup EPH na data jednotné žádosti, respektive opatření deklarace plodin.</w:t>
      </w:r>
    </w:p>
    <w:p w14:paraId="575121B4" w14:textId="77777777" w:rsidR="00C55A1F" w:rsidRDefault="00CA3F04">
      <w:pPr>
        <w:pStyle w:val="Nadpis2"/>
        <w:spacing w:line="360" w:lineRule="auto"/>
        <w:ind w:left="573" w:hanging="289"/>
      </w:pPr>
      <w:r>
        <w:t>4.5 Požadavky na součinnost AgriBus a EPO</w:t>
      </w:r>
    </w:p>
    <w:p w14:paraId="5E86C98F" w14:textId="77777777" w:rsidR="00C55A1F" w:rsidRDefault="00CA3F04">
      <w:r>
        <w:t>Nasazení služeb EAG_PEH01A, EAG_CHEH01A, CIS_PRO01A, CIS_OZP01A a CIS_USP01A</w:t>
      </w:r>
    </w:p>
    <w:p w14:paraId="73EF649D" w14:textId="77777777" w:rsidR="00C55A1F" w:rsidRDefault="00CA3F04">
      <w:pPr>
        <w:pStyle w:val="Nadpis2"/>
        <w:keepNext w:val="0"/>
        <w:ind w:hanging="292"/>
      </w:pPr>
      <w:r>
        <w:t xml:space="preserve">         4.6 Bezpečnost </w:t>
      </w:r>
    </w:p>
    <w:p w14:paraId="41F3C9EE" w14:textId="77777777" w:rsidR="00C55A1F" w:rsidRDefault="00CA3F04">
      <w:pPr>
        <w:widowControl w:val="0"/>
      </w:pPr>
      <w:r>
        <w:t>Bez vztahu na bezpečnost.</w:t>
      </w:r>
    </w:p>
    <w:p w14:paraId="409682B5" w14:textId="77777777" w:rsidR="00C55A1F" w:rsidRDefault="00CA3F04">
      <w:pPr>
        <w:pStyle w:val="Nadpis2"/>
      </w:pPr>
      <w:r>
        <w:t>4.7 Požadavek na podporu provozu naimplementované změny</w:t>
      </w:r>
    </w:p>
    <w:p w14:paraId="69212C06" w14:textId="77777777" w:rsidR="00C55A1F" w:rsidRDefault="00CA3F04">
      <w:pPr>
        <w:pStyle w:val="Nadpis3"/>
      </w:pPr>
      <w:r>
        <w:t>(Uveďte, zda zařadit změnu do stávající provozní smlouvy, konkrétní požadavky na požadované služby, SLA.)</w:t>
      </w:r>
    </w:p>
    <w:p w14:paraId="38A2CCF4" w14:textId="77777777" w:rsidR="00C55A1F" w:rsidRDefault="00CA3F04">
      <w:pPr>
        <w:pStyle w:val="Nadpis2"/>
      </w:pPr>
      <w:r>
        <w:t>4.8 Požadavek na úpravu dohledového nástroje</w:t>
      </w:r>
    </w:p>
    <w:p w14:paraId="589D8042" w14:textId="77777777" w:rsidR="00C55A1F" w:rsidRDefault="00CA3F04">
      <w:pPr>
        <w:rPr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2D4E5917" w14:textId="77777777" w:rsidR="00C55A1F" w:rsidRDefault="00C55A1F">
      <w:pPr>
        <w:rPr>
          <w:b/>
          <w:sz w:val="16"/>
          <w:szCs w:val="16"/>
        </w:rPr>
      </w:pPr>
    </w:p>
    <w:p w14:paraId="31BC9D86" w14:textId="77777777" w:rsidR="00C55A1F" w:rsidRDefault="00C55A1F">
      <w:pPr>
        <w:rPr>
          <w:b/>
          <w:sz w:val="16"/>
          <w:szCs w:val="16"/>
        </w:rPr>
      </w:pPr>
    </w:p>
    <w:p w14:paraId="2BF3F32D" w14:textId="77777777" w:rsidR="00C55A1F" w:rsidRDefault="00C55A1F">
      <w:pPr>
        <w:rPr>
          <w:b/>
          <w:sz w:val="16"/>
          <w:szCs w:val="16"/>
        </w:rPr>
      </w:pPr>
    </w:p>
    <w:p w14:paraId="48C4C27D" w14:textId="77777777" w:rsidR="00C55A1F" w:rsidRDefault="00C55A1F">
      <w:pPr>
        <w:rPr>
          <w:b/>
          <w:sz w:val="16"/>
          <w:szCs w:val="16"/>
        </w:rPr>
      </w:pPr>
    </w:p>
    <w:p w14:paraId="3F6617A4" w14:textId="77777777" w:rsidR="00C55A1F" w:rsidRDefault="00CA3F04">
      <w:pPr>
        <w:pStyle w:val="Nadpis1"/>
        <w:numPr>
          <w:ilvl w:val="0"/>
          <w:numId w:val="27"/>
        </w:numPr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12"/>
        <w:gridCol w:w="4388"/>
        <w:gridCol w:w="1275"/>
        <w:gridCol w:w="1134"/>
        <w:gridCol w:w="709"/>
        <w:gridCol w:w="20"/>
        <w:gridCol w:w="1743"/>
      </w:tblGrid>
      <w:tr w:rsidR="00C55A1F" w14:paraId="4C4858C7" w14:textId="77777777">
        <w:trPr>
          <w:trHeight w:val="263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CD70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19E1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89E8F" w14:textId="77777777" w:rsidR="00C55A1F" w:rsidRDefault="00CA3F04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7BB46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b/>
                <w:bCs/>
                <w:color w:val="000000"/>
                <w:szCs w:val="22"/>
                <w:vertAlign w:val="superscript"/>
                <w:lang w:eastAsia="cs-CZ"/>
              </w:rPr>
              <w:endnoteReference w:id="9"/>
            </w:r>
          </w:p>
        </w:tc>
      </w:tr>
      <w:tr w:rsidR="00C55A1F" w14:paraId="052D1414" w14:textId="77777777">
        <w:trPr>
          <w:trHeight w:val="263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296CC" w14:textId="77777777" w:rsidR="00C55A1F" w:rsidRDefault="00C55A1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FD50B" w14:textId="77777777" w:rsidR="00C55A1F" w:rsidRDefault="00C55A1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CE509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B3C2C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03CC7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85B23" w14:textId="77777777" w:rsidR="00C55A1F" w:rsidRDefault="00C55A1F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C55A1F" w14:paraId="7EED9E0B" w14:textId="77777777">
        <w:trPr>
          <w:trHeight w:val="284"/>
        </w:trPr>
        <w:tc>
          <w:tcPr>
            <w:tcW w:w="5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7E5E2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EAE5CC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 – implementační dokument</w:t>
            </w: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E7CA8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0FFB0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DE7C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21CF5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7196ADDF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D5114A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05497C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0C86E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5E824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7B885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EA181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2175A8DA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994650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2B401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2BDF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AB83E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AFF22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A8AC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6979338B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DB68EB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54E247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 – v aplikaci online nápověda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98EA5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2030A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B9231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42981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C55A1F" w14:paraId="28F96B7E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BB5B19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A2B4BC" w14:textId="77777777" w:rsidR="00C55A1F" w:rsidRDefault="00CA3F04">
            <w:pPr>
              <w:rPr>
                <w:color w:val="000000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</w:t>
            </w:r>
            <w:r>
              <w:rPr>
                <w:color w:val="000000"/>
              </w:rPr>
              <w:t xml:space="preserve"> dokumentace</w:t>
            </w:r>
            <w:r>
              <w:rPr>
                <w:color w:val="000000"/>
                <w:szCs w:val="22"/>
                <w:lang w:eastAsia="cs-CZ"/>
              </w:rPr>
              <w:t>) příručka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C644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05C7A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875E2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F3677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C55A1F" w14:paraId="1D3033D6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9D88B5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92499E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EFF47" w14:textId="77777777" w:rsidR="00C55A1F" w:rsidRDefault="00CA3F04"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40835" w14:textId="77777777" w:rsidR="00C55A1F" w:rsidRDefault="00CA3F04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BA2B0" w14:textId="77777777" w:rsidR="00C55A1F" w:rsidRDefault="00CA3F04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CFC19" w14:textId="77777777" w:rsidR="00C55A1F" w:rsidRDefault="00C55A1F"/>
        </w:tc>
      </w:tr>
      <w:tr w:rsidR="00C55A1F" w14:paraId="35777477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4149AB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4166A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 WS – technická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CAC90" w14:textId="77777777" w:rsidR="00C55A1F" w:rsidRDefault="00CA3F04"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4D1CD" w14:textId="77777777" w:rsidR="00C55A1F" w:rsidRDefault="00CA3F04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175E0" w14:textId="77777777" w:rsidR="00C55A1F" w:rsidRDefault="00CA3F04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3C208" w14:textId="77777777" w:rsidR="00C55A1F" w:rsidRDefault="00C55A1F"/>
        </w:tc>
      </w:tr>
      <w:tr w:rsidR="00C55A1F" w14:paraId="0AE25AD7" w14:textId="77777777">
        <w:trPr>
          <w:trHeight w:val="284"/>
        </w:trPr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BBBE9D" w14:textId="77777777" w:rsidR="00C55A1F" w:rsidRDefault="00C55A1F">
            <w:pPr>
              <w:numPr>
                <w:ilvl w:val="0"/>
                <w:numId w:val="22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8C6E85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A3DC" w14:textId="77777777" w:rsidR="00C55A1F" w:rsidRDefault="00CA3F04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2E399" w14:textId="77777777" w:rsidR="00C55A1F" w:rsidRDefault="00CA3F04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232A8" w14:textId="77777777" w:rsidR="00C55A1F" w:rsidRDefault="00CA3F04"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E3B35" w14:textId="77777777" w:rsidR="00C55A1F" w:rsidRDefault="00C55A1F"/>
        </w:tc>
      </w:tr>
    </w:tbl>
    <w:p w14:paraId="28C3A3E0" w14:textId="69115688" w:rsidR="00C55A1F" w:rsidRDefault="00CA3F04">
      <w:pPr>
        <w:pStyle w:val="Nadpis3"/>
      </w:pPr>
      <w:r>
        <w:t xml:space="preserve">V připojeném souboru je uveden rozsah vybrané technické dokumentace – otevřete dvojklikem:  </w:t>
      </w:r>
      <w:r w:rsidR="009E5B9F">
        <w:t>xxx</w:t>
      </w:r>
      <w:r>
        <w:t xml:space="preserve">  </w:t>
      </w:r>
    </w:p>
    <w:p w14:paraId="7472A3EF" w14:textId="77777777" w:rsidR="00C55A1F" w:rsidRDefault="00CA3F04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Dohledové scénáře jsou požadovány, pokud Dodavatel potvrdí dopad na dohledové scénáře/nástroj. </w:t>
      </w:r>
      <w:r>
        <w:t xml:space="preserve"> </w:t>
      </w:r>
    </w:p>
    <w:p w14:paraId="6D0806AD" w14:textId="77777777" w:rsidR="00C55A1F" w:rsidRDefault="00C55A1F">
      <w:pPr>
        <w:pStyle w:val="Nadpis1"/>
        <w:ind w:firstLine="0"/>
        <w:rPr>
          <w:szCs w:val="22"/>
        </w:rPr>
      </w:pPr>
    </w:p>
    <w:p w14:paraId="67F5089E" w14:textId="77777777" w:rsidR="00C55A1F" w:rsidRDefault="00CA3F04">
      <w:pPr>
        <w:pStyle w:val="Nadpis1"/>
        <w:ind w:left="284" w:hanging="284"/>
        <w:rPr>
          <w:szCs w:val="22"/>
        </w:rPr>
      </w:pPr>
      <w:r>
        <w:rPr>
          <w:szCs w:val="22"/>
        </w:rPr>
        <w:t>6. Akceptační kritéria</w:t>
      </w:r>
    </w:p>
    <w:p w14:paraId="3E587349" w14:textId="77777777" w:rsidR="00C55A1F" w:rsidRDefault="00CA3F04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Plnění v rámci požadavku na změnu bude akceptováno, jestliže bude akceptována analýza, jež je předmětem plnění.</w:t>
      </w:r>
    </w:p>
    <w:p w14:paraId="624B81D9" w14:textId="77777777" w:rsidR="00C55A1F" w:rsidRDefault="00C55A1F"/>
    <w:p w14:paraId="05C142DE" w14:textId="77777777" w:rsidR="00C55A1F" w:rsidRDefault="00CA3F04">
      <w:pPr>
        <w:pStyle w:val="Nadpis1"/>
        <w:ind w:left="284" w:hanging="284"/>
        <w:rPr>
          <w:szCs w:val="22"/>
        </w:rPr>
      </w:pPr>
      <w:r>
        <w:rPr>
          <w:szCs w:val="22"/>
        </w:rPr>
        <w:t>7. 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C55A1F" w14:paraId="64F3D96C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FABD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6186D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55A1F" w14:paraId="7451AB04" w14:textId="77777777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FD8A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Předání návrhu dokumentace služeb včetně popisu chování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9A41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15.9.2021</w:t>
            </w:r>
          </w:p>
        </w:tc>
      </w:tr>
      <w:tr w:rsidR="00C55A1F" w14:paraId="3D992F8B" w14:textId="77777777">
        <w:trPr>
          <w:trHeight w:val="2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BEF2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Předání k testování na Agribus/EPO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4BE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15.11.2021</w:t>
            </w:r>
          </w:p>
        </w:tc>
      </w:tr>
      <w:tr w:rsidR="00C55A1F" w14:paraId="575F643F" w14:textId="77777777">
        <w:trPr>
          <w:trHeight w:val="2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B1AD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Zapracování připomínek z testů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0CF1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15.1.2022</w:t>
            </w:r>
          </w:p>
        </w:tc>
      </w:tr>
      <w:tr w:rsidR="00C55A1F" w14:paraId="55AE7A2D" w14:textId="77777777">
        <w:trPr>
          <w:trHeight w:val="2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B7E8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Předání konečné dokumentace služeb včetně popisu chování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EBC9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31.1.2022</w:t>
            </w:r>
          </w:p>
        </w:tc>
      </w:tr>
      <w:tr w:rsidR="00C55A1F" w14:paraId="40299909" w14:textId="77777777">
        <w:trPr>
          <w:trHeight w:val="2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D4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do produkčního prostředí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2BE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31.1.2022</w:t>
            </w:r>
          </w:p>
        </w:tc>
      </w:tr>
      <w:tr w:rsidR="00C55A1F" w14:paraId="0D0C8A0D" w14:textId="77777777">
        <w:trPr>
          <w:trHeight w:val="28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CB69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2627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28.2.2022</w:t>
            </w:r>
          </w:p>
        </w:tc>
      </w:tr>
    </w:tbl>
    <w:p w14:paraId="3518CD12" w14:textId="77777777" w:rsidR="00C55A1F" w:rsidRDefault="00C55A1F">
      <w:pPr>
        <w:rPr>
          <w:szCs w:val="22"/>
        </w:rPr>
      </w:pPr>
    </w:p>
    <w:p w14:paraId="137FF5CC" w14:textId="77777777" w:rsidR="00C55A1F" w:rsidRDefault="00CA3F04">
      <w:pPr>
        <w:pStyle w:val="Nadpis1"/>
        <w:ind w:left="284" w:hanging="284"/>
        <w:rPr>
          <w:szCs w:val="22"/>
        </w:rPr>
      </w:pPr>
      <w:r>
        <w:rPr>
          <w:szCs w:val="22"/>
        </w:rPr>
        <w:t>8. Přílohy</w:t>
      </w:r>
    </w:p>
    <w:p w14:paraId="2F0546D0" w14:textId="77777777" w:rsidR="00C55A1F" w:rsidRDefault="00CA3F04">
      <w:pPr>
        <w:ind w:left="426"/>
        <w:rPr>
          <w:szCs w:val="22"/>
        </w:rPr>
      </w:pPr>
      <w:r>
        <w:rPr>
          <w:szCs w:val="22"/>
        </w:rPr>
        <w:t>1.</w:t>
      </w:r>
    </w:p>
    <w:p w14:paraId="787A59C6" w14:textId="77777777" w:rsidR="00C55A1F" w:rsidRDefault="00C55A1F">
      <w:pPr>
        <w:ind w:left="426"/>
        <w:rPr>
          <w:szCs w:val="22"/>
        </w:rPr>
      </w:pPr>
    </w:p>
    <w:p w14:paraId="08D2F453" w14:textId="77777777" w:rsidR="00C55A1F" w:rsidRDefault="00C55A1F">
      <w:pPr>
        <w:ind w:left="426"/>
        <w:rPr>
          <w:szCs w:val="22"/>
        </w:rPr>
      </w:pPr>
    </w:p>
    <w:p w14:paraId="1FF3BD24" w14:textId="77777777" w:rsidR="00C55A1F" w:rsidRDefault="00C55A1F">
      <w:pPr>
        <w:ind w:left="426"/>
        <w:rPr>
          <w:szCs w:val="22"/>
        </w:rPr>
      </w:pPr>
    </w:p>
    <w:p w14:paraId="64ABCF44" w14:textId="77777777" w:rsidR="00C55A1F" w:rsidRDefault="00C55A1F">
      <w:pPr>
        <w:ind w:left="426"/>
        <w:rPr>
          <w:szCs w:val="22"/>
        </w:rPr>
      </w:pPr>
    </w:p>
    <w:p w14:paraId="2E3B3E98" w14:textId="77777777" w:rsidR="00C55A1F" w:rsidRDefault="00C55A1F">
      <w:pPr>
        <w:ind w:left="426"/>
        <w:rPr>
          <w:szCs w:val="22"/>
        </w:rPr>
      </w:pPr>
    </w:p>
    <w:p w14:paraId="31DD0D5C" w14:textId="77777777" w:rsidR="00C55A1F" w:rsidRDefault="00CA3F04">
      <w:pPr>
        <w:pStyle w:val="Nadpis1"/>
        <w:numPr>
          <w:ilvl w:val="0"/>
          <w:numId w:val="22"/>
        </w:numPr>
        <w:rPr>
          <w:szCs w:val="22"/>
        </w:rPr>
      </w:pPr>
      <w:r>
        <w:rPr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823"/>
        <w:gridCol w:w="3684"/>
      </w:tblGrid>
      <w:tr w:rsidR="00C55A1F" w14:paraId="49F95CDA" w14:textId="77777777">
        <w:trPr>
          <w:trHeight w:val="300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487C" w14:textId="77777777" w:rsidR="00C55A1F" w:rsidRDefault="00CA3F0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resort MZe:</w:t>
            </w:r>
          </w:p>
        </w:tc>
        <w:tc>
          <w:tcPr>
            <w:tcW w:w="3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276A27" w14:textId="77777777" w:rsidR="00C55A1F" w:rsidRDefault="00CA3F0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Jméno: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04159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Datum:</w:t>
            </w:r>
          </w:p>
          <w:p w14:paraId="4077AB74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A3F04" w14:paraId="2A7CADAE" w14:textId="77777777">
        <w:trPr>
          <w:trHeight w:val="593"/>
        </w:trPr>
        <w:tc>
          <w:tcPr>
            <w:tcW w:w="2263" w:type="dxa"/>
            <w:shd w:val="clear" w:color="auto" w:fill="auto"/>
            <w:noWrap/>
            <w:vAlign w:val="center"/>
          </w:tcPr>
          <w:p w14:paraId="2672FCD3" w14:textId="70920752" w:rsidR="00CA3F04" w:rsidRDefault="00CA3F04" w:rsidP="00CA3F04">
            <w:pPr>
              <w:rPr>
                <w:color w:val="000000"/>
              </w:rPr>
            </w:pPr>
            <w:r>
              <w:rPr>
                <w:color w:val="000000"/>
              </w:rPr>
              <w:t>Garant MZe</w:t>
            </w:r>
          </w:p>
        </w:tc>
        <w:tc>
          <w:tcPr>
            <w:tcW w:w="3823" w:type="dxa"/>
            <w:vAlign w:val="center"/>
          </w:tcPr>
          <w:p w14:paraId="2459E7CC" w14:textId="2D2FD644" w:rsidR="00CA3F04" w:rsidRDefault="00CA3F04" w:rsidP="00CA3F04">
            <w:pPr>
              <w:rPr>
                <w:color w:val="000000"/>
              </w:rPr>
            </w:pPr>
            <w:r w:rsidRPr="00FD1D10">
              <w:rPr>
                <w:color w:val="000000"/>
              </w:rPr>
              <w:t>Miroslava Czetmayer-Ehrlichová</w:t>
            </w:r>
          </w:p>
        </w:tc>
        <w:tc>
          <w:tcPr>
            <w:tcW w:w="3684" w:type="dxa"/>
            <w:vAlign w:val="center"/>
          </w:tcPr>
          <w:p w14:paraId="281E38FB" w14:textId="77777777" w:rsidR="00CA3F04" w:rsidRDefault="00CA3F04" w:rsidP="00CA3F04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A3F04" w14:paraId="631D5A95" w14:textId="77777777">
        <w:trPr>
          <w:trHeight w:val="593"/>
        </w:trPr>
        <w:tc>
          <w:tcPr>
            <w:tcW w:w="2263" w:type="dxa"/>
            <w:shd w:val="clear" w:color="auto" w:fill="auto"/>
            <w:noWrap/>
            <w:vAlign w:val="center"/>
          </w:tcPr>
          <w:p w14:paraId="7E6BFD9E" w14:textId="77777777" w:rsidR="00CA3F04" w:rsidRDefault="00CA3F04" w:rsidP="00CA3F04">
            <w:pPr>
              <w:rPr>
                <w:color w:val="000000"/>
              </w:rPr>
            </w:pPr>
            <w:bookmarkStart w:id="2" w:name="_Hlk15298558"/>
            <w:r>
              <w:rPr>
                <w:color w:val="000000"/>
              </w:rPr>
              <w:t>Garant MZe</w:t>
            </w:r>
          </w:p>
        </w:tc>
        <w:tc>
          <w:tcPr>
            <w:tcW w:w="3823" w:type="dxa"/>
            <w:vAlign w:val="center"/>
          </w:tcPr>
          <w:p w14:paraId="0FEDA238" w14:textId="77777777" w:rsidR="00CA3F04" w:rsidRDefault="00CA3F04" w:rsidP="00CA3F04">
            <w:pPr>
              <w:rPr>
                <w:color w:val="000000"/>
              </w:rPr>
            </w:pPr>
            <w:r>
              <w:rPr>
                <w:color w:val="000000"/>
              </w:rPr>
              <w:t>Michaela Budňáková</w:t>
            </w:r>
          </w:p>
        </w:tc>
        <w:tc>
          <w:tcPr>
            <w:tcW w:w="3684" w:type="dxa"/>
            <w:vAlign w:val="center"/>
          </w:tcPr>
          <w:p w14:paraId="2A74EFB9" w14:textId="77777777" w:rsidR="00CA3F04" w:rsidRDefault="00CA3F04" w:rsidP="00CA3F04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A3F04" w14:paraId="50C2BB0A" w14:textId="77777777">
        <w:trPr>
          <w:trHeight w:val="592"/>
        </w:trPr>
        <w:tc>
          <w:tcPr>
            <w:tcW w:w="2263" w:type="dxa"/>
            <w:shd w:val="clear" w:color="auto" w:fill="auto"/>
            <w:noWrap/>
            <w:vAlign w:val="center"/>
          </w:tcPr>
          <w:p w14:paraId="7828DFD1" w14:textId="77777777" w:rsidR="00CA3F04" w:rsidRDefault="00CA3F04" w:rsidP="00CA3F04">
            <w:pPr>
              <w:rPr>
                <w:color w:val="000000"/>
              </w:rPr>
            </w:pPr>
            <w:r>
              <w:rPr>
                <w:color w:val="000000"/>
              </w:rPr>
              <w:t>Garant ÚKZÚZ</w:t>
            </w:r>
          </w:p>
        </w:tc>
        <w:tc>
          <w:tcPr>
            <w:tcW w:w="3823" w:type="dxa"/>
            <w:vAlign w:val="center"/>
          </w:tcPr>
          <w:p w14:paraId="531F3F06" w14:textId="77777777" w:rsidR="00CA3F04" w:rsidRDefault="00CA3F04" w:rsidP="00CA3F04">
            <w:pPr>
              <w:rPr>
                <w:color w:val="000000"/>
              </w:rPr>
            </w:pPr>
            <w:r>
              <w:rPr>
                <w:color w:val="000000"/>
              </w:rPr>
              <w:t>Josef Svoboda</w:t>
            </w:r>
          </w:p>
        </w:tc>
        <w:tc>
          <w:tcPr>
            <w:tcW w:w="3684" w:type="dxa"/>
            <w:vAlign w:val="center"/>
          </w:tcPr>
          <w:p w14:paraId="70C1AACF" w14:textId="77777777" w:rsidR="00CA3F04" w:rsidRDefault="00CA3F04" w:rsidP="00CA3F04">
            <w:pPr>
              <w:rPr>
                <w:color w:val="000000"/>
                <w:szCs w:val="22"/>
                <w:lang w:eastAsia="cs-CZ"/>
              </w:rPr>
            </w:pPr>
          </w:p>
        </w:tc>
      </w:tr>
      <w:bookmarkEnd w:id="2"/>
      <w:tr w:rsidR="00CA3F04" w14:paraId="76E15B4E" w14:textId="77777777">
        <w:trPr>
          <w:trHeight w:val="634"/>
        </w:trPr>
        <w:tc>
          <w:tcPr>
            <w:tcW w:w="2263" w:type="dxa"/>
            <w:shd w:val="clear" w:color="auto" w:fill="auto"/>
            <w:noWrap/>
            <w:vAlign w:val="center"/>
          </w:tcPr>
          <w:p w14:paraId="598E4194" w14:textId="77777777" w:rsidR="00CA3F04" w:rsidRDefault="00CA3F04" w:rsidP="00CA3F04">
            <w:pPr>
              <w:rPr>
                <w:color w:val="000000"/>
              </w:rPr>
            </w:pPr>
            <w:r>
              <w:rPr>
                <w:color w:val="000000"/>
              </w:rPr>
              <w:t>Change koordinátor:</w:t>
            </w:r>
          </w:p>
        </w:tc>
        <w:tc>
          <w:tcPr>
            <w:tcW w:w="3823" w:type="dxa"/>
            <w:vAlign w:val="center"/>
          </w:tcPr>
          <w:p w14:paraId="4176A787" w14:textId="77777777" w:rsidR="00CA3F04" w:rsidRDefault="00CA3F04" w:rsidP="00CA3F04">
            <w:pPr>
              <w:rPr>
                <w:color w:val="000000"/>
              </w:rPr>
            </w:pPr>
            <w:r>
              <w:rPr>
                <w:color w:val="000000"/>
              </w:rPr>
              <w:t>Ondřej Šilháček</w:t>
            </w:r>
          </w:p>
        </w:tc>
        <w:tc>
          <w:tcPr>
            <w:tcW w:w="3684" w:type="dxa"/>
            <w:vAlign w:val="center"/>
          </w:tcPr>
          <w:p w14:paraId="0005BAF1" w14:textId="77777777" w:rsidR="00CA3F04" w:rsidRDefault="00CA3F04" w:rsidP="00CA3F04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E78C28A" w14:textId="77777777" w:rsidR="00C55A1F" w:rsidRDefault="00C55A1F">
      <w:pPr>
        <w:rPr>
          <w:b/>
          <w:caps/>
          <w:szCs w:val="22"/>
        </w:rPr>
      </w:pPr>
    </w:p>
    <w:p w14:paraId="39CBEB7E" w14:textId="77777777" w:rsidR="00C55A1F" w:rsidRDefault="00CA3F04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5F1625ED" w14:textId="77777777" w:rsidR="00C55A1F" w:rsidRDefault="00CA3F04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Z32147</w:t>
      </w:r>
    </w:p>
    <w:tbl>
      <w:tblPr>
        <w:tblW w:w="3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276"/>
      </w:tblGrid>
      <w:tr w:rsidR="00C55A1F" w14:paraId="33D0B749" w14:textId="77777777">
        <w:trPr>
          <w:trHeight w:val="160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B9D72D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  <w:vertAlign w:val="superscript"/>
              </w:rPr>
              <w:endnoteReference w:id="13"/>
            </w:r>
            <w: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0D0A2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506</w:t>
            </w:r>
          </w:p>
        </w:tc>
      </w:tr>
    </w:tbl>
    <w:p w14:paraId="69143C97" w14:textId="77777777" w:rsidR="00C55A1F" w:rsidRDefault="00C55A1F">
      <w:pPr>
        <w:rPr>
          <w:caps/>
          <w:szCs w:val="22"/>
        </w:rPr>
      </w:pPr>
    </w:p>
    <w:p w14:paraId="48655B3A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736988E6" w14:textId="77777777" w:rsidR="00C55A1F" w:rsidRDefault="00CA3F04">
      <w:r>
        <w:t>Viz část A tohoto PZ, body 2 a 3.</w:t>
      </w:r>
    </w:p>
    <w:p w14:paraId="32B5CEAD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</w:t>
      </w:r>
    </w:p>
    <w:p w14:paraId="03C684B7" w14:textId="77777777" w:rsidR="00C55A1F" w:rsidRDefault="00CA3F04">
      <w:r>
        <w:t xml:space="preserve">V souladu s podmínkami smlouvy 391-2019-11150. </w:t>
      </w:r>
    </w:p>
    <w:p w14:paraId="71DE06FE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Dopady do systémů MZe</w:t>
      </w:r>
    </w:p>
    <w:p w14:paraId="6DBF260C" w14:textId="39144437" w:rsidR="00C55A1F" w:rsidRDefault="00CA3F04">
      <w:pPr>
        <w:pStyle w:val="Nadpis1"/>
        <w:keepLines/>
        <w:numPr>
          <w:ilvl w:val="1"/>
          <w:numId w:val="47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provoz a infrastrukturu</w:t>
      </w:r>
    </w:p>
    <w:p w14:paraId="59238A3A" w14:textId="0DA140A7" w:rsidR="00C55A1F" w:rsidRDefault="00CA3F04">
      <w:pPr>
        <w:rPr>
          <w:sz w:val="20"/>
        </w:rPr>
      </w:pPr>
      <w:r>
        <w:rPr>
          <w:sz w:val="20"/>
        </w:rPr>
        <w:t xml:space="preserve">(Pozn.: V popisu dopadů zohledněte strukturu informací uvedenou v části A - Věcné zadání v bodu 4, přičemž u dopadů dle bodu 4.1 uveďte, zda může mít změna dopad do agendy, aplikace, na data, na síťovou strukturu, na serverovou infrastrukturu, na bezpečnost.  </w:t>
      </w:r>
    </w:p>
    <w:p w14:paraId="437AB441" w14:textId="77777777" w:rsidR="00C55A1F" w:rsidRDefault="00CA3F04">
      <w:pPr>
        <w:rPr>
          <w:sz w:val="20"/>
        </w:rPr>
      </w:pPr>
      <w:r>
        <w:rPr>
          <w:sz w:val="20"/>
        </w:rPr>
        <w:t>Pokud má požadavek dopady do dalších požadavků MZe, uveďte je též v tomto bodu.</w:t>
      </w:r>
    </w:p>
    <w:p w14:paraId="5561EBA4" w14:textId="19014C17" w:rsidR="00C55A1F" w:rsidRDefault="00CA3F04">
      <w:pPr>
        <w:rPr>
          <w:sz w:val="18"/>
        </w:rPr>
      </w:pPr>
      <w:r>
        <w:rPr>
          <w:sz w:val="18"/>
        </w:rPr>
        <w:t>(Pozn.: V případě, že má změna dopady na síťovou infrastrukturu, doplňte tabulku v připojeném souboru - otevřete dvojklikem</w:t>
      </w:r>
      <w:r>
        <w:rPr>
          <w:sz w:val="18"/>
          <w:szCs w:val="18"/>
        </w:rPr>
        <w:t>.)</w:t>
      </w:r>
      <w:r>
        <w:t>):</w:t>
      </w:r>
      <w:r>
        <w:rPr>
          <w:sz w:val="18"/>
        </w:rPr>
        <w:t xml:space="preserve">     </w:t>
      </w:r>
      <w:r w:rsidR="009E5B9F">
        <w:rPr>
          <w:sz w:val="18"/>
        </w:rPr>
        <w:t>xxx</w:t>
      </w:r>
    </w:p>
    <w:p w14:paraId="2899DE1A" w14:textId="77777777" w:rsidR="00C55A1F" w:rsidRDefault="00C55A1F"/>
    <w:p w14:paraId="31EA5806" w14:textId="77777777" w:rsidR="00C55A1F" w:rsidRDefault="00CA3F04">
      <w:pPr>
        <w:pStyle w:val="Nadpis1"/>
        <w:keepLines/>
        <w:numPr>
          <w:ilvl w:val="1"/>
          <w:numId w:val="47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bezpečnost</w:t>
      </w:r>
    </w:p>
    <w:p w14:paraId="063FAA16" w14:textId="77777777" w:rsidR="00C55A1F" w:rsidRDefault="00CA3F04">
      <w:pPr>
        <w:spacing w:after="120"/>
      </w:pPr>
      <w:r>
        <w:t>Návrh řešení musí být v souladu se všemi požadavky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C55A1F" w14:paraId="07A71327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CC18B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CA24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75FC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55A1F" w14:paraId="009FC12D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966109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7401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02D1E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55A1F" w14:paraId="087DFF2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C296B2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8BF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56F191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3EE7A12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B131FC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75B2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CB361B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2FE65AC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71ED619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85100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1857A0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7D77F91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3368E31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C338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C317E1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4D21C7E9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E9BC5D6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A4E5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1FAC4D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599C58C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3FF097E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412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0929FA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28BDACB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E078969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249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403EFF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57811AE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985196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9E30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878834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5E6DF11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EF17B2B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C808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1CC994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678A35D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AC77772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3B4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869837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65990A2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C3F89D6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AB2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E22458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  <w:tr w:rsidR="00C55A1F" w14:paraId="6E17830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B2841C1" w14:textId="77777777" w:rsidR="00C55A1F" w:rsidRDefault="00C55A1F">
            <w:pPr>
              <w:numPr>
                <w:ilvl w:val="0"/>
                <w:numId w:val="39"/>
              </w:numPr>
              <w:spacing w:after="60"/>
              <w:ind w:left="568" w:hanging="284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680D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F77384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t>Bez dopadu</w:t>
            </w:r>
          </w:p>
        </w:tc>
      </w:tr>
    </w:tbl>
    <w:p w14:paraId="170A1828" w14:textId="77777777" w:rsidR="00C55A1F" w:rsidRDefault="00C55A1F"/>
    <w:p w14:paraId="794D78FD" w14:textId="77777777" w:rsidR="00C55A1F" w:rsidRDefault="00CA3F04">
      <w:pPr>
        <w:pStyle w:val="Nadpis1"/>
        <w:keepLines/>
        <w:numPr>
          <w:ilvl w:val="1"/>
          <w:numId w:val="47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s dalšími systémy</w:t>
      </w:r>
    </w:p>
    <w:p w14:paraId="2C278689" w14:textId="77777777" w:rsidR="00C55A1F" w:rsidRDefault="00CA3F04">
      <w:pPr>
        <w:ind w:left="708"/>
      </w:pPr>
      <w:r>
        <w:t>SAP</w:t>
      </w:r>
    </w:p>
    <w:p w14:paraId="0360FCBB" w14:textId="77777777" w:rsidR="00C55A1F" w:rsidRDefault="00CA3F04">
      <w:pPr>
        <w:pStyle w:val="Nadpis1"/>
        <w:keepLines/>
        <w:numPr>
          <w:ilvl w:val="1"/>
          <w:numId w:val="47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AgriBus</w:t>
      </w:r>
    </w:p>
    <w:p w14:paraId="3ACC45EF" w14:textId="77777777" w:rsidR="00C55A1F" w:rsidRDefault="00CA3F04">
      <w:pPr>
        <w:ind w:left="576" w:firstLine="132"/>
      </w:pPr>
      <w:r>
        <w:t>Ano</w:t>
      </w:r>
    </w:p>
    <w:p w14:paraId="49A3BDE9" w14:textId="77777777" w:rsidR="00C55A1F" w:rsidRDefault="00CA3F04">
      <w:pPr>
        <w:pStyle w:val="Nadpis1"/>
        <w:keepLines/>
        <w:numPr>
          <w:ilvl w:val="1"/>
          <w:numId w:val="47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dohledové nástroje/scénáře</w:t>
      </w:r>
      <w:r>
        <w:rPr>
          <w:szCs w:val="22"/>
          <w:vertAlign w:val="superscript"/>
        </w:rPr>
        <w:endnoteReference w:id="15"/>
      </w:r>
    </w:p>
    <w:p w14:paraId="29B9768D" w14:textId="77777777" w:rsidR="00C55A1F" w:rsidRDefault="00CA3F04">
      <w:pPr>
        <w:pStyle w:val="Nadpis1"/>
        <w:keepLines/>
        <w:numPr>
          <w:ilvl w:val="1"/>
          <w:numId w:val="47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Ostatní dopady</w:t>
      </w:r>
    </w:p>
    <w:p w14:paraId="4B05D012" w14:textId="77777777" w:rsidR="00C55A1F" w:rsidRDefault="00CA3F0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390C1C01" w14:textId="77777777" w:rsidR="00C55A1F" w:rsidRDefault="00C55A1F">
      <w:pPr>
        <w:rPr>
          <w:szCs w:val="22"/>
        </w:rPr>
      </w:pPr>
    </w:p>
    <w:p w14:paraId="209B278F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C55A1F" w14:paraId="461E4C1E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96094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007B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C55A1F" w14:paraId="0A2E5FF4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5B0826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MZe, SZIF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5446D7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naplnění číselníků, součinnost při testování a akceptaci PZ</w:t>
            </w:r>
          </w:p>
        </w:tc>
      </w:tr>
      <w:tr w:rsidR="00C55A1F" w14:paraId="293704BF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23CFCF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E80C91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EBDE6B5" w14:textId="77777777" w:rsidR="00C55A1F" w:rsidRDefault="00CA3F04">
      <w:pPr>
        <w:pStyle w:val="Nadpis3"/>
      </w:pPr>
      <w:r>
        <w:t>(Pozn.: K popisu požadavku uveďte etapu, kdy bude součinnost vyžadována.)</w:t>
      </w:r>
    </w:p>
    <w:p w14:paraId="164886FF" w14:textId="77777777" w:rsidR="00C55A1F" w:rsidRDefault="00C55A1F"/>
    <w:p w14:paraId="776FA4EC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plnění</w:t>
      </w:r>
      <w:r>
        <w:rPr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C55A1F" w14:paraId="4A154EB6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EC18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C2006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C55A1F" w14:paraId="61DEA4DB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796F5D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B2150F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31.12.2021</w:t>
            </w:r>
          </w:p>
        </w:tc>
      </w:tr>
      <w:tr w:rsidR="00C55A1F" w14:paraId="14CD150F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675F8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9C9263F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28.2.2022</w:t>
            </w:r>
          </w:p>
        </w:tc>
      </w:tr>
    </w:tbl>
    <w:p w14:paraId="1AAD8F95" w14:textId="77777777" w:rsidR="00C55A1F" w:rsidRDefault="00CA3F04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 */ Upozornění: Uvedený harmonogram je platný v případě, že Dodavatel obdrží objednávku v rozmezí 28.7.-6.8.2021.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0F6A0446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Pracnost a cenová nabídka navrhovaného řešení</w:t>
      </w:r>
    </w:p>
    <w:p w14:paraId="7132AD4B" w14:textId="77777777" w:rsidR="00C55A1F" w:rsidRDefault="00CA3F04">
      <w:pPr>
        <w:spacing w:before="120"/>
        <w:ind w:left="425"/>
        <w:rPr>
          <w:b/>
        </w:rPr>
      </w:pPr>
      <w:r>
        <w:t>včetně vymezení počtu člověkodnů nebo jejich částí, které na provedení poptávaného plnění budou spotřebovány</w:t>
      </w:r>
    </w:p>
    <w:tbl>
      <w:tblPr>
        <w:tblW w:w="9774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7"/>
        <w:gridCol w:w="1276"/>
        <w:gridCol w:w="1559"/>
        <w:gridCol w:w="1581"/>
      </w:tblGrid>
      <w:tr w:rsidR="00C55A1F" w14:paraId="529F62F0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1B78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szCs w:val="22"/>
                <w:vertAlign w:val="superscript"/>
              </w:rPr>
              <w:endnoteReference w:id="17"/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DA2EF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08A95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15536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EE5B7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C55A1F" w14:paraId="5DE62564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47A379A3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3657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657E43FF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3803690D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75E1E246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14:paraId="75B28D5D" w14:textId="77777777" w:rsidR="00C55A1F" w:rsidRDefault="00C55A1F">
            <w:pPr>
              <w:rPr>
                <w:szCs w:val="22"/>
              </w:rPr>
            </w:pPr>
          </w:p>
        </w:tc>
      </w:tr>
      <w:tr w:rsidR="00C55A1F" w14:paraId="748DD484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13549DD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36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45F89A3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03010B2" w14:textId="77777777" w:rsidR="00C55A1F" w:rsidRDefault="00CA3F0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161,75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7EFD7EBC" w14:textId="77777777" w:rsidR="00C55A1F" w:rsidRDefault="00CA3F04">
            <w:pPr>
              <w:rPr>
                <w:szCs w:val="22"/>
              </w:rPr>
            </w:pPr>
            <w:r>
              <w:t>1 439 575,00</w:t>
            </w:r>
          </w:p>
        </w:tc>
        <w:tc>
          <w:tcPr>
            <w:tcW w:w="1581" w:type="dxa"/>
            <w:tcBorders>
              <w:top w:val="dotted" w:sz="4" w:space="0" w:color="auto"/>
            </w:tcBorders>
            <w:shd w:val="clear" w:color="auto" w:fill="auto"/>
          </w:tcPr>
          <w:p w14:paraId="5DF3FF16" w14:textId="77777777" w:rsidR="00C55A1F" w:rsidRDefault="00CA3F04">
            <w:pPr>
              <w:rPr>
                <w:szCs w:val="22"/>
              </w:rPr>
            </w:pPr>
            <w:r>
              <w:t>1 741 885,75</w:t>
            </w:r>
          </w:p>
        </w:tc>
      </w:tr>
      <w:tr w:rsidR="00C55A1F" w14:paraId="20F29B2E" w14:textId="77777777">
        <w:trPr>
          <w:trHeight w:val="397"/>
        </w:trPr>
        <w:tc>
          <w:tcPr>
            <w:tcW w:w="5358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1ED0E1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9400435" w14:textId="77777777" w:rsidR="00C55A1F" w:rsidRDefault="00CA3F0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161,75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67EE2F22" w14:textId="77777777" w:rsidR="00C55A1F" w:rsidRDefault="00CA3F04">
            <w:pPr>
              <w:rPr>
                <w:szCs w:val="22"/>
              </w:rPr>
            </w:pPr>
            <w:r>
              <w:t>1 439 575,00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  <w:shd w:val="clear" w:color="auto" w:fill="auto"/>
          </w:tcPr>
          <w:p w14:paraId="37931753" w14:textId="77777777" w:rsidR="00C55A1F" w:rsidRDefault="00CA3F04">
            <w:pPr>
              <w:rPr>
                <w:szCs w:val="22"/>
              </w:rPr>
            </w:pPr>
            <w:r>
              <w:t>1 741 885,75</w:t>
            </w:r>
          </w:p>
        </w:tc>
      </w:tr>
    </w:tbl>
    <w:p w14:paraId="1637E6E4" w14:textId="77777777" w:rsidR="00C55A1F" w:rsidRDefault="00C55A1F">
      <w:pPr>
        <w:rPr>
          <w:sz w:val="8"/>
          <w:szCs w:val="8"/>
        </w:rPr>
      </w:pPr>
    </w:p>
    <w:p w14:paraId="79A16EA0" w14:textId="77777777" w:rsidR="00C55A1F" w:rsidRDefault="00CA3F04">
      <w:pPr>
        <w:rPr>
          <w:sz w:val="18"/>
        </w:rPr>
      </w:pPr>
      <w:r>
        <w:rPr>
          <w:sz w:val="18"/>
        </w:rPr>
        <w:t>(Pozn.: MD – člověkoden, MJ – měrná jednotka, např. počet kusů)</w:t>
      </w:r>
    </w:p>
    <w:p w14:paraId="411DDA00" w14:textId="77777777" w:rsidR="00C55A1F" w:rsidRDefault="00C55A1F">
      <w:pPr>
        <w:rPr>
          <w:sz w:val="20"/>
        </w:rPr>
      </w:pPr>
    </w:p>
    <w:p w14:paraId="3140FECD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299"/>
        <w:gridCol w:w="2797"/>
      </w:tblGrid>
      <w:tr w:rsidR="00C55A1F" w14:paraId="0F401806" w14:textId="77777777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DF48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9AB6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8EB85" w14:textId="77777777" w:rsidR="00C55A1F" w:rsidRDefault="00CA3F04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</w:rPr>
              <w:t>(CD, listinná forma)</w:t>
            </w:r>
          </w:p>
        </w:tc>
      </w:tr>
      <w:tr w:rsidR="00C55A1F" w14:paraId="618B6DD1" w14:textId="77777777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E65554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64455E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CC5F66C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55A1F" w14:paraId="6207D16B" w14:textId="77777777">
        <w:trPr>
          <w:trHeight w:val="284"/>
        </w:trPr>
        <w:tc>
          <w:tcPr>
            <w:tcW w:w="647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00C9EF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4FBBF3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7EA4939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60F9DB2C" w14:textId="77777777" w:rsidR="00C55A1F" w:rsidRDefault="00C55A1F">
      <w:pPr>
        <w:rPr>
          <w:sz w:val="20"/>
        </w:rPr>
      </w:pPr>
    </w:p>
    <w:p w14:paraId="6C5A1700" w14:textId="77777777" w:rsidR="00C55A1F" w:rsidRDefault="00CA3F04">
      <w:pPr>
        <w:pStyle w:val="Nadpis1"/>
        <w:keepLines/>
        <w:numPr>
          <w:ilvl w:val="0"/>
          <w:numId w:val="47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94"/>
        <w:gridCol w:w="3894"/>
      </w:tblGrid>
      <w:tr w:rsidR="00C55A1F" w14:paraId="2489A90F" w14:textId="77777777">
        <w:trPr>
          <w:trHeight w:val="65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4A0B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26955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color w:val="000000"/>
                <w:szCs w:val="22"/>
                <w:vertAlign w:val="superscript"/>
                <w:lang w:eastAsia="cs-CZ"/>
              </w:rPr>
              <w:endnoteReference w:id="18"/>
            </w:r>
          </w:p>
        </w:tc>
        <w:tc>
          <w:tcPr>
            <w:tcW w:w="3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F937C" w14:textId="77777777" w:rsidR="00C55A1F" w:rsidRDefault="00CA3F04">
            <w:pPr>
              <w:jc w:val="center"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</w:t>
            </w:r>
          </w:p>
          <w:p w14:paraId="1E89B8F7" w14:textId="77777777" w:rsidR="00C55A1F" w:rsidRDefault="00CA3F04">
            <w:pPr>
              <w:jc w:val="center"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55A1F" w14:paraId="3522CA46" w14:textId="77777777">
        <w:trPr>
          <w:trHeight w:val="796"/>
        </w:trPr>
        <w:tc>
          <w:tcPr>
            <w:tcW w:w="2693" w:type="dxa"/>
            <w:shd w:val="clear" w:color="auto" w:fill="auto"/>
            <w:noWrap/>
            <w:vAlign w:val="center"/>
          </w:tcPr>
          <w:p w14:paraId="5027694F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94" w:type="dxa"/>
            <w:vAlign w:val="center"/>
          </w:tcPr>
          <w:p w14:paraId="12FFD2C5" w14:textId="74D5CBC7" w:rsidR="00C55A1F" w:rsidRDefault="009E5B9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894" w:type="dxa"/>
            <w:vAlign w:val="center"/>
          </w:tcPr>
          <w:p w14:paraId="7B458596" w14:textId="77777777" w:rsidR="00C55A1F" w:rsidRDefault="00C55A1F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12B69FCC" w14:textId="77777777" w:rsidR="00C55A1F" w:rsidRDefault="00C55A1F">
      <w:pPr>
        <w:rPr>
          <w:szCs w:val="22"/>
        </w:rPr>
      </w:pPr>
    </w:p>
    <w:p w14:paraId="031D09B7" w14:textId="77777777" w:rsidR="00C55A1F" w:rsidRDefault="00C55A1F">
      <w:pPr>
        <w:rPr>
          <w:b/>
          <w:caps/>
          <w:szCs w:val="22"/>
        </w:rPr>
        <w:sectPr w:rsidR="00C55A1F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560" w:right="1418" w:bottom="1134" w:left="992" w:header="567" w:footer="567" w:gutter="0"/>
          <w:pgNumType w:start="1"/>
          <w:cols w:space="708"/>
          <w:titlePg/>
          <w:docGrid w:linePitch="360"/>
        </w:sectPr>
      </w:pPr>
    </w:p>
    <w:p w14:paraId="0C0A523A" w14:textId="77777777" w:rsidR="00C55A1F" w:rsidRDefault="00CA3F04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C – Schválení realizace požadavku Z32147</w:t>
      </w:r>
    </w:p>
    <w:tbl>
      <w:tblPr>
        <w:tblW w:w="26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992"/>
      </w:tblGrid>
      <w:tr w:rsidR="00C55A1F" w14:paraId="2E1B6603" w14:textId="77777777">
        <w:trPr>
          <w:trHeight w:val="33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13D03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endnoteReference w:id="19"/>
            </w:r>
            <w: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E6090" w14:textId="77777777" w:rsidR="00C55A1F" w:rsidRDefault="00CA3F0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506</w:t>
            </w:r>
          </w:p>
        </w:tc>
      </w:tr>
    </w:tbl>
    <w:p w14:paraId="6C2541AD" w14:textId="77777777" w:rsidR="00C55A1F" w:rsidRDefault="00C55A1F">
      <w:pPr>
        <w:rPr>
          <w:szCs w:val="22"/>
        </w:rPr>
      </w:pPr>
    </w:p>
    <w:p w14:paraId="6C5579B7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</w:p>
    <w:p w14:paraId="262B42AA" w14:textId="77777777" w:rsidR="00C55A1F" w:rsidRDefault="00CA3F04">
      <w:pPr>
        <w:spacing w:after="120"/>
      </w:pPr>
      <w:r>
        <w:t xml:space="preserve">Požadované plnění je specifikováno v části A a B tohoto RfC. </w:t>
      </w:r>
    </w:p>
    <w:p w14:paraId="64A93DDC" w14:textId="77777777" w:rsidR="00C55A1F" w:rsidRDefault="00CA3F04">
      <w:r>
        <w:t>Dle části B bod 3.2 jsou pro realizaci příslušných bezpečnostních opatření požadovány následující změny</w:t>
      </w:r>
      <w: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C55A1F" w14:paraId="54E22B9F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71369" w14:textId="77777777" w:rsidR="00C55A1F" w:rsidRDefault="00CA3F04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91F7" w14:textId="77777777" w:rsidR="00C55A1F" w:rsidRDefault="00CA3F04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9C7D01" w14:textId="77777777" w:rsidR="00C55A1F" w:rsidRDefault="00CA3F04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4748C1E" w14:textId="77777777" w:rsidR="00C55A1F" w:rsidRDefault="00CA3F04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☒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r>
              <w:rPr>
                <w:rFonts w:ascii="MS Gothic" w:eastAsia="MS Gothic" w:hAnsi="MS Gothic" w:hint="eastAsia"/>
                <w:b/>
                <w:bCs/>
                <w:color w:val="000000"/>
                <w:szCs w:val="22"/>
                <w:lang w:eastAsia="cs-CZ"/>
              </w:rPr>
              <w:t>☐</w:t>
            </w: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6304560" w14:textId="77777777" w:rsidR="00C55A1F" w:rsidRDefault="00CA3F04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C55A1F" w14:paraId="3F9160FE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05200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46784F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22BEB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B9934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4D3F857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2C8EA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228E46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90865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3D2ED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1DFE753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02F5A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55529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EE604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AFBE5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4E640D7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27A2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D14B77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8F75C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66A2C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4A416F3D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4CB18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D03B27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constraints, cizí klíče apod.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9FC25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ADB06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28042A6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54CE1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7325C9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D65E3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9574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25A8D36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B9227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82A8BF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0ABA3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5569F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2B68BFC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2CE63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74A01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EF41D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7E13E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187C37E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B865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8D8E0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4EFA6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AB12F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2245550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9A555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896DB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01577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46220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3F005F3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C64A8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E5CD2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BAB52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84A1F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7FB4696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2175B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56A505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59C0A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002B3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79631B5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CDFEC" w14:textId="77777777" w:rsidR="00C55A1F" w:rsidRDefault="00C55A1F">
            <w:pPr>
              <w:numPr>
                <w:ilvl w:val="0"/>
                <w:numId w:val="43"/>
              </w:numPr>
              <w:spacing w:after="60"/>
              <w:rPr>
                <w:color w:val="000000"/>
                <w:szCs w:val="22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74777" w14:textId="77777777" w:rsidR="00C55A1F" w:rsidRDefault="00CA3F04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D54D4" w14:textId="77777777" w:rsidR="00C55A1F" w:rsidRDefault="00CA3F04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rFonts w:ascii="MS Gothic" w:eastAsia="MS Gothic" w:hAnsi="MS Gothic" w:hint="eastAsia"/>
                <w:color w:val="000000"/>
                <w:szCs w:val="22"/>
                <w:lang w:eastAsia="cs-CZ"/>
              </w:rPr>
              <w:t>☐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C367C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6A1CF92D" w14:textId="77777777" w:rsidR="00C55A1F" w:rsidRDefault="00C55A1F"/>
    <w:p w14:paraId="74901713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56D22B0A" w14:textId="77777777" w:rsidR="00C55A1F" w:rsidRDefault="00C55A1F"/>
    <w:p w14:paraId="57C9F147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55A1F" w14:paraId="3682F4EE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180A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4360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A8A93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55A1F" w14:paraId="3C5736D6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FB2BE5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CFDD70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F6EE515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C55A1F" w14:paraId="36706AC6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DF9245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FB5BCD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CFD8F54" w14:textId="77777777" w:rsidR="00C55A1F" w:rsidRDefault="00C55A1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11BCFEEE" w14:textId="77777777" w:rsidR="00C55A1F" w:rsidRDefault="00CA3F04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1A8CB180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0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55A1F" w14:paraId="6EC4A3FC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4874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25285" w14:textId="77777777" w:rsidR="00C55A1F" w:rsidRDefault="00CA3F04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55A1F" w14:paraId="68673066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D3FB81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7642834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Zveřejněním v registru smluv</w:t>
            </w:r>
          </w:p>
        </w:tc>
      </w:tr>
      <w:tr w:rsidR="00C55A1F" w14:paraId="3EDF8D30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B8AD44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testovací provoz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CDBFF58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31.12.2021</w:t>
            </w:r>
          </w:p>
        </w:tc>
      </w:tr>
      <w:tr w:rsidR="00C55A1F" w14:paraId="025E1E14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384973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766808C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31.1.2022</w:t>
            </w:r>
          </w:p>
        </w:tc>
      </w:tr>
      <w:tr w:rsidR="00C55A1F" w14:paraId="63696E5B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4A6FA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plnění, 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076AA21" w14:textId="77777777" w:rsidR="00C55A1F" w:rsidRDefault="00CA3F04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28.2.2022</w:t>
            </w:r>
          </w:p>
        </w:tc>
      </w:tr>
    </w:tbl>
    <w:p w14:paraId="5EBB8601" w14:textId="77777777" w:rsidR="00C55A1F" w:rsidRDefault="00C55A1F"/>
    <w:p w14:paraId="5B10BDB6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lastRenderedPageBreak/>
        <w:t>Pracnost a cenová nabídka navrhovaného řešení</w:t>
      </w:r>
    </w:p>
    <w:p w14:paraId="2C4AD7CB" w14:textId="77777777" w:rsidR="00C55A1F" w:rsidRDefault="00CA3F04">
      <w:pPr>
        <w:spacing w:before="120"/>
        <w:ind w:left="425"/>
        <w:rPr>
          <w:b/>
        </w:rPr>
      </w:pPr>
      <w: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1701"/>
        <w:gridCol w:w="1841"/>
      </w:tblGrid>
      <w:tr w:rsidR="00C55A1F" w14:paraId="17BD56C2" w14:textId="7777777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55712" w14:textId="77777777" w:rsidR="00C55A1F" w:rsidRDefault="00CA3F04">
            <w:pPr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szCs w:val="22"/>
              </w:rPr>
              <w:endnoteReference w:id="21"/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A1C96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79888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384C8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9AB4D" w14:textId="77777777" w:rsidR="00C55A1F" w:rsidRDefault="00CA3F0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C55A1F" w14:paraId="7A0473BC" w14:textId="77777777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55B60347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42A89A7A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593B126F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4A3F1D8A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1841" w:type="dxa"/>
            <w:tcBorders>
              <w:top w:val="single" w:sz="8" w:space="0" w:color="auto"/>
            </w:tcBorders>
            <w:shd w:val="clear" w:color="auto" w:fill="auto"/>
          </w:tcPr>
          <w:p w14:paraId="725D2294" w14:textId="77777777" w:rsidR="00C55A1F" w:rsidRDefault="00C55A1F">
            <w:pPr>
              <w:rPr>
                <w:szCs w:val="22"/>
              </w:rPr>
            </w:pPr>
          </w:p>
        </w:tc>
      </w:tr>
      <w:tr w:rsidR="00C55A1F" w14:paraId="07BA400A" w14:textId="77777777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7D8E9C3" w14:textId="77777777" w:rsidR="00C55A1F" w:rsidRDefault="00C55A1F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78C980E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67B25675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161,75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14:paraId="3FABACA2" w14:textId="77777777" w:rsidR="00C55A1F" w:rsidRDefault="00CA3F04">
            <w:pPr>
              <w:rPr>
                <w:szCs w:val="22"/>
              </w:rPr>
            </w:pPr>
            <w:r>
              <w:t>1 439 575,00</w:t>
            </w:r>
          </w:p>
        </w:tc>
        <w:tc>
          <w:tcPr>
            <w:tcW w:w="1841" w:type="dxa"/>
            <w:tcBorders>
              <w:top w:val="dotted" w:sz="4" w:space="0" w:color="auto"/>
            </w:tcBorders>
            <w:shd w:val="clear" w:color="auto" w:fill="auto"/>
          </w:tcPr>
          <w:p w14:paraId="380A8C6F" w14:textId="77777777" w:rsidR="00C55A1F" w:rsidRDefault="00CA3F04">
            <w:pPr>
              <w:rPr>
                <w:szCs w:val="22"/>
              </w:rPr>
            </w:pPr>
            <w:r>
              <w:t>1 741 885,75</w:t>
            </w:r>
          </w:p>
        </w:tc>
      </w:tr>
      <w:tr w:rsidR="00C55A1F" w14:paraId="638A4403" w14:textId="77777777">
        <w:trPr>
          <w:trHeight w:val="397"/>
        </w:trPr>
        <w:tc>
          <w:tcPr>
            <w:tcW w:w="453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377E93" w14:textId="77777777" w:rsidR="00C55A1F" w:rsidRDefault="00CA3F04">
            <w:pPr>
              <w:rPr>
                <w:b/>
                <w:szCs w:val="22"/>
              </w:rPr>
            </w:pPr>
            <w:r>
              <w:t>Celkem: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5EFF970E" w14:textId="77777777" w:rsidR="00C55A1F" w:rsidRDefault="00CA3F04">
            <w:pPr>
              <w:rPr>
                <w:szCs w:val="22"/>
              </w:rPr>
            </w:pPr>
            <w:r>
              <w:rPr>
                <w:szCs w:val="22"/>
              </w:rPr>
              <w:t>161,75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0E52E322" w14:textId="77777777" w:rsidR="00C55A1F" w:rsidRDefault="00CA3F04">
            <w:pPr>
              <w:rPr>
                <w:szCs w:val="22"/>
              </w:rPr>
            </w:pPr>
            <w:r>
              <w:t>1 439 575,00</w:t>
            </w:r>
          </w:p>
        </w:tc>
        <w:tc>
          <w:tcPr>
            <w:tcW w:w="1841" w:type="dxa"/>
            <w:tcBorders>
              <w:bottom w:val="dotted" w:sz="4" w:space="0" w:color="auto"/>
            </w:tcBorders>
            <w:shd w:val="clear" w:color="auto" w:fill="auto"/>
          </w:tcPr>
          <w:p w14:paraId="1CE04A2C" w14:textId="77777777" w:rsidR="00C55A1F" w:rsidRDefault="00CA3F04">
            <w:pPr>
              <w:rPr>
                <w:szCs w:val="22"/>
              </w:rPr>
            </w:pPr>
            <w:r>
              <w:t>1 741 885,75</w:t>
            </w:r>
          </w:p>
        </w:tc>
      </w:tr>
    </w:tbl>
    <w:p w14:paraId="4A60129D" w14:textId="77777777" w:rsidR="00C55A1F" w:rsidRDefault="00C55A1F">
      <w:pPr>
        <w:rPr>
          <w:sz w:val="8"/>
          <w:szCs w:val="8"/>
        </w:rPr>
      </w:pPr>
    </w:p>
    <w:p w14:paraId="62B6DD9C" w14:textId="77777777" w:rsidR="00C55A1F" w:rsidRDefault="00CA3F04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1C609BF1" w14:textId="77777777" w:rsidR="00C55A1F" w:rsidRDefault="00C55A1F"/>
    <w:p w14:paraId="414B201A" w14:textId="77777777" w:rsidR="00C55A1F" w:rsidRDefault="00C55A1F"/>
    <w:p w14:paraId="7A1B5E15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Případné další obchodní podmínky</w:t>
      </w:r>
      <w:r>
        <w:rPr>
          <w:szCs w:val="22"/>
        </w:rPr>
        <w:endnoteReference w:id="22"/>
      </w:r>
    </w:p>
    <w:p w14:paraId="06F54744" w14:textId="77777777" w:rsidR="00C55A1F" w:rsidRDefault="00C55A1F"/>
    <w:p w14:paraId="0ABBA418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Posouzení</w:t>
      </w:r>
      <w:r>
        <w:rPr>
          <w:vertAlign w:val="superscript"/>
        </w:rPr>
        <w:endnoteReference w:id="23"/>
      </w:r>
    </w:p>
    <w:p w14:paraId="5B92DC86" w14:textId="77777777" w:rsidR="00C55A1F" w:rsidRDefault="00CA3F04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C55A1F" w14:paraId="39636CE1" w14:textId="77777777">
        <w:trPr>
          <w:trHeight w:val="374"/>
        </w:trPr>
        <w:tc>
          <w:tcPr>
            <w:tcW w:w="2547" w:type="dxa"/>
            <w:shd w:val="clear" w:color="auto" w:fill="auto"/>
            <w:vAlign w:val="center"/>
          </w:tcPr>
          <w:p w14:paraId="2C22D62D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F7F397D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14:paraId="5ECD52A4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05E83C71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b/>
              </w:rPr>
              <w:endnoteReference w:id="24"/>
            </w:r>
          </w:p>
        </w:tc>
      </w:tr>
      <w:tr w:rsidR="00C55A1F" w14:paraId="268759F2" w14:textId="77777777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3654C590" w14:textId="77777777" w:rsidR="00C55A1F" w:rsidRDefault="00CA3F04">
            <w:r>
              <w:t>Bezpečnostní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D2BE646" w14:textId="77777777" w:rsidR="00C55A1F" w:rsidRDefault="00CA3F04">
            <w:r>
              <w:t>Oldřich Štěpánek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14:paraId="482DF7C7" w14:textId="77777777" w:rsidR="00C55A1F" w:rsidRDefault="00C55A1F"/>
        </w:tc>
      </w:tr>
      <w:tr w:rsidR="00C55A1F" w14:paraId="260A1E84" w14:textId="77777777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31926BC9" w14:textId="77777777" w:rsidR="00C55A1F" w:rsidRDefault="00CA3F04">
            <w:r>
              <w:t>Provozní garant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93DD3D0" w14:textId="77777777" w:rsidR="00C55A1F" w:rsidRDefault="00CA3F04">
            <w:r>
              <w:t>Ivo Jančík</w:t>
            </w:r>
          </w:p>
        </w:tc>
        <w:tc>
          <w:tcPr>
            <w:tcW w:w="4744" w:type="dxa"/>
            <w:gridSpan w:val="2"/>
            <w:shd w:val="clear" w:color="auto" w:fill="auto"/>
            <w:vAlign w:val="center"/>
          </w:tcPr>
          <w:p w14:paraId="33F3AB94" w14:textId="77777777" w:rsidR="00C55A1F" w:rsidRDefault="00C55A1F"/>
        </w:tc>
      </w:tr>
      <w:tr w:rsidR="00C55A1F" w14:paraId="0497C200" w14:textId="77777777">
        <w:trPr>
          <w:trHeight w:val="510"/>
        </w:trPr>
        <w:tc>
          <w:tcPr>
            <w:tcW w:w="2547" w:type="dxa"/>
            <w:shd w:val="clear" w:color="auto" w:fill="auto"/>
            <w:vAlign w:val="center"/>
          </w:tcPr>
          <w:p w14:paraId="6D4167F2" w14:textId="77777777" w:rsidR="00C55A1F" w:rsidRDefault="00CA3F04">
            <w:r>
              <w:t>Architekt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13D9F63" w14:textId="77777777" w:rsidR="00C55A1F" w:rsidRDefault="00C55A1F"/>
        </w:tc>
        <w:tc>
          <w:tcPr>
            <w:tcW w:w="2372" w:type="dxa"/>
            <w:shd w:val="clear" w:color="auto" w:fill="auto"/>
            <w:vAlign w:val="center"/>
          </w:tcPr>
          <w:p w14:paraId="34183ECE" w14:textId="77777777" w:rsidR="00C55A1F" w:rsidRDefault="00C55A1F"/>
        </w:tc>
        <w:tc>
          <w:tcPr>
            <w:tcW w:w="2372" w:type="dxa"/>
            <w:shd w:val="clear" w:color="auto" w:fill="auto"/>
            <w:vAlign w:val="center"/>
          </w:tcPr>
          <w:p w14:paraId="212E3443" w14:textId="77777777" w:rsidR="00C55A1F" w:rsidRDefault="00C55A1F"/>
        </w:tc>
      </w:tr>
    </w:tbl>
    <w:p w14:paraId="4CFA390D" w14:textId="77777777" w:rsidR="00C55A1F" w:rsidRDefault="00CA3F04">
      <w:pPr>
        <w:spacing w:before="60"/>
      </w:pPr>
      <w:r>
        <w:rPr>
          <w:sz w:val="16"/>
        </w:rPr>
        <w:t>(Pozn.:</w:t>
      </w:r>
      <w:r>
        <w:t xml:space="preserve"> </w:t>
      </w:r>
      <w:r>
        <w:rPr>
          <w:sz w:val="16"/>
          <w:szCs w:val="16"/>
        </w:rPr>
        <w:t>RfC se zpravidla předkládá k 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požadavku.)</w:t>
      </w:r>
    </w:p>
    <w:p w14:paraId="366B8F03" w14:textId="77777777" w:rsidR="00C55A1F" w:rsidRDefault="00C55A1F"/>
    <w:p w14:paraId="575A3BCF" w14:textId="77777777" w:rsidR="00C55A1F" w:rsidRDefault="00C55A1F">
      <w:pPr>
        <w:rPr>
          <w:szCs w:val="22"/>
        </w:rPr>
      </w:pPr>
    </w:p>
    <w:p w14:paraId="3BB5463F" w14:textId="77777777" w:rsidR="00C55A1F" w:rsidRDefault="00CA3F04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3454B4C1" w14:textId="77777777" w:rsidR="00C55A1F" w:rsidRDefault="00CA3F04">
      <w:pPr>
        <w:spacing w:before="60"/>
        <w:rPr>
          <w:szCs w:val="22"/>
        </w:rPr>
      </w:pPr>
      <w:r>
        <w:rPr>
          <w:szCs w:val="22"/>
        </w:rPr>
        <w:t>Věcný garant svým podpisem potvrzuje svůj požadavek na realizaci změny za cenu uvedenou v bodu   5 - Pracnost a cenová nabídka navrhovaného řešení.</w:t>
      </w:r>
    </w:p>
    <w:p w14:paraId="30A73019" w14:textId="77777777" w:rsidR="00C55A1F" w:rsidRDefault="00C55A1F"/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22"/>
        <w:gridCol w:w="3571"/>
      </w:tblGrid>
      <w:tr w:rsidR="00C55A1F" w14:paraId="53866A4C" w14:textId="77777777">
        <w:trPr>
          <w:trHeight w:val="374"/>
        </w:trPr>
        <w:tc>
          <w:tcPr>
            <w:tcW w:w="3369" w:type="dxa"/>
            <w:shd w:val="clear" w:color="auto" w:fill="auto"/>
            <w:vAlign w:val="center"/>
          </w:tcPr>
          <w:p w14:paraId="18ECFCB6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78C7C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4C55DFD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52B3B728" w14:textId="77777777" w:rsidR="00C55A1F" w:rsidRDefault="00CA3F04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CA3F04" w14:paraId="71010879" w14:textId="77777777">
        <w:trPr>
          <w:trHeight w:val="508"/>
        </w:trPr>
        <w:tc>
          <w:tcPr>
            <w:tcW w:w="3369" w:type="dxa"/>
            <w:shd w:val="clear" w:color="auto" w:fill="auto"/>
            <w:vAlign w:val="center"/>
          </w:tcPr>
          <w:p w14:paraId="68D8819E" w14:textId="253B4459" w:rsidR="00CA3F04" w:rsidRDefault="00CA3F04" w:rsidP="00CA3F04">
            <w:r>
              <w:rPr>
                <w:color w:val="000000"/>
              </w:rPr>
              <w:t>Garant MZe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F18B80" w14:textId="6DB9DBB4" w:rsidR="00CA3F04" w:rsidRDefault="00CA3F04" w:rsidP="00CA3F04">
            <w:r w:rsidRPr="00FD1D10">
              <w:rPr>
                <w:color w:val="000000"/>
              </w:rPr>
              <w:t>Miroslava Czetmayer-Ehrlichová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1818611" w14:textId="77777777" w:rsidR="00CA3F04" w:rsidRDefault="00CA3F04" w:rsidP="00CA3F04"/>
        </w:tc>
      </w:tr>
      <w:tr w:rsidR="00CA3F04" w14:paraId="4C2B0752" w14:textId="77777777">
        <w:trPr>
          <w:trHeight w:val="508"/>
        </w:trPr>
        <w:tc>
          <w:tcPr>
            <w:tcW w:w="3369" w:type="dxa"/>
            <w:shd w:val="clear" w:color="auto" w:fill="auto"/>
            <w:vAlign w:val="center"/>
          </w:tcPr>
          <w:p w14:paraId="66A8CD9C" w14:textId="77777777" w:rsidR="00CA3F04" w:rsidRDefault="00CA3F04" w:rsidP="00CA3F04">
            <w:r>
              <w:t>Žadatel/věcný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E4B801" w14:textId="77777777" w:rsidR="00CA3F04" w:rsidRDefault="00CA3F04" w:rsidP="00CA3F04">
            <w:r>
              <w:t>Michaela Budňáková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573F282" w14:textId="77777777" w:rsidR="00CA3F04" w:rsidRDefault="00CA3F04" w:rsidP="00CA3F04"/>
        </w:tc>
      </w:tr>
      <w:tr w:rsidR="00CA3F04" w14:paraId="7530B80B" w14:textId="77777777">
        <w:trPr>
          <w:trHeight w:val="558"/>
        </w:trPr>
        <w:tc>
          <w:tcPr>
            <w:tcW w:w="3369" w:type="dxa"/>
            <w:shd w:val="clear" w:color="auto" w:fill="auto"/>
            <w:vAlign w:val="center"/>
          </w:tcPr>
          <w:p w14:paraId="29C4A111" w14:textId="77777777" w:rsidR="00CA3F04" w:rsidRDefault="00CA3F04" w:rsidP="00CA3F04">
            <w:r>
              <w:t>Žadatel/věcný garant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3DF91" w14:textId="77777777" w:rsidR="00CA3F04" w:rsidRDefault="00CA3F04" w:rsidP="00CA3F04">
            <w:r>
              <w:t>Josef Svoboda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4D84A813" w14:textId="77777777" w:rsidR="00CA3F04" w:rsidRDefault="00CA3F04" w:rsidP="00CA3F04"/>
        </w:tc>
      </w:tr>
      <w:tr w:rsidR="00CA3F04" w14:paraId="5CEDC050" w14:textId="7777777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69116159" w14:textId="77777777" w:rsidR="00CA3F04" w:rsidRDefault="00CA3F04" w:rsidP="00CA3F04">
            <w:r>
              <w:t>Change koordinátor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D08E23" w14:textId="77777777" w:rsidR="00CA3F04" w:rsidRDefault="00CA3F04" w:rsidP="00CA3F04">
            <w:r>
              <w:t>Ondřej Šilháček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DE9C9C2" w14:textId="77777777" w:rsidR="00CA3F04" w:rsidRDefault="00CA3F04" w:rsidP="00CA3F04"/>
        </w:tc>
      </w:tr>
      <w:tr w:rsidR="00CA3F04" w14:paraId="3667B581" w14:textId="7777777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14:paraId="27F796AE" w14:textId="77777777" w:rsidR="00CA3F04" w:rsidRDefault="00CA3F04" w:rsidP="00CA3F04">
            <w:r>
              <w:t>Oprávněná osoba dle smlouvy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5C4DFA" w14:textId="77777777" w:rsidR="00CA3F04" w:rsidRDefault="00CA3F04" w:rsidP="00CA3F04">
            <w:r>
              <w:t>Vladimír Velas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0285593" w14:textId="77777777" w:rsidR="00CA3F04" w:rsidRDefault="00CA3F04" w:rsidP="00CA3F04"/>
        </w:tc>
      </w:tr>
    </w:tbl>
    <w:p w14:paraId="43AAEC2E" w14:textId="77777777" w:rsidR="00C55A1F" w:rsidRDefault="00CA3F04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0F338425" w14:textId="77777777" w:rsidR="00C55A1F" w:rsidRDefault="00C55A1F">
      <w:pPr>
        <w:spacing w:before="60"/>
        <w:rPr>
          <w:sz w:val="16"/>
          <w:szCs w:val="16"/>
        </w:rPr>
      </w:pPr>
    </w:p>
    <w:p w14:paraId="46613457" w14:textId="77777777" w:rsidR="00C55A1F" w:rsidRDefault="00C55A1F">
      <w:pPr>
        <w:spacing w:before="60"/>
        <w:rPr>
          <w:sz w:val="16"/>
          <w:szCs w:val="16"/>
        </w:rPr>
      </w:pPr>
    </w:p>
    <w:p w14:paraId="1A21D097" w14:textId="77777777" w:rsidR="00C55A1F" w:rsidRDefault="00CA3F04">
      <w:pPr>
        <w:keepNext/>
        <w:autoSpaceDE w:val="0"/>
        <w:autoSpaceDN w:val="0"/>
        <w:jc w:val="right"/>
        <w:rPr>
          <w:b/>
          <w:szCs w:val="22"/>
        </w:rPr>
      </w:pPr>
      <w:r>
        <w:rPr>
          <w:b/>
          <w:szCs w:val="22"/>
        </w:rPr>
        <w:lastRenderedPageBreak/>
        <w:t>Příloha č. 6 k vyhlášce č. 377/2013 Sb.</w:t>
      </w:r>
    </w:p>
    <w:p w14:paraId="1E4BE24F" w14:textId="77777777" w:rsidR="00C55A1F" w:rsidRDefault="00C55A1F">
      <w:pPr>
        <w:keepNext/>
        <w:autoSpaceDE w:val="0"/>
        <w:autoSpaceDN w:val="0"/>
        <w:jc w:val="center"/>
        <w:rPr>
          <w:b/>
        </w:rPr>
      </w:pPr>
    </w:p>
    <w:p w14:paraId="6035C60A" w14:textId="77777777" w:rsidR="00C55A1F" w:rsidRDefault="00CA3F04">
      <w:pPr>
        <w:keepNext/>
        <w:autoSpaceDE w:val="0"/>
        <w:autoSpaceDN w:val="0"/>
        <w:jc w:val="center"/>
        <w:rPr>
          <w:b/>
          <w:szCs w:val="22"/>
        </w:rPr>
      </w:pPr>
      <w:r>
        <w:rPr>
          <w:b/>
          <w:szCs w:val="22"/>
        </w:rPr>
        <w:t>Průměrný odběr živin plodinami</w:t>
      </w:r>
    </w:p>
    <w:p w14:paraId="09FB6991" w14:textId="77777777" w:rsidR="00C55A1F" w:rsidRDefault="00C55A1F">
      <w:pPr>
        <w:keepNext/>
        <w:autoSpaceDE w:val="0"/>
        <w:autoSpaceDN w:val="0"/>
        <w:jc w:val="center"/>
        <w:rPr>
          <w:b/>
          <w:szCs w:val="22"/>
        </w:rPr>
      </w:pPr>
    </w:p>
    <w:tbl>
      <w:tblPr>
        <w:tblW w:w="4962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1169"/>
        <w:gridCol w:w="1165"/>
        <w:gridCol w:w="1896"/>
        <w:gridCol w:w="1024"/>
        <w:gridCol w:w="876"/>
        <w:gridCol w:w="945"/>
      </w:tblGrid>
      <w:tr w:rsidR="00C55A1F" w14:paraId="1F2DD958" w14:textId="77777777">
        <w:trPr>
          <w:cantSplit/>
          <w:trHeight w:val="585"/>
          <w:tblHeader/>
        </w:trPr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A3CA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Plodina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42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Produkt</w:t>
            </w:r>
            <w:r>
              <w:rPr>
                <w:b/>
                <w:color w:val="000000"/>
                <w:szCs w:val="22"/>
                <w:vertAlign w:val="superscript"/>
              </w:rPr>
              <w:t>1)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539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Obsah sušiny (%)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06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Poměr hlavního produktu k vedlejšímu produktu</w:t>
            </w:r>
          </w:p>
        </w:tc>
        <w:tc>
          <w:tcPr>
            <w:tcW w:w="1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E67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Průměrný odběr živin</w:t>
            </w:r>
            <w:r>
              <w:rPr>
                <w:b/>
                <w:color w:val="000000"/>
                <w:szCs w:val="22"/>
                <w:vertAlign w:val="superscript"/>
              </w:rPr>
              <w:t xml:space="preserve">2) </w:t>
            </w:r>
            <w:r>
              <w:rPr>
                <w:b/>
                <w:color w:val="000000"/>
                <w:szCs w:val="22"/>
              </w:rPr>
              <w:t>(kg/t)</w:t>
            </w:r>
          </w:p>
        </w:tc>
      </w:tr>
      <w:tr w:rsidR="00C55A1F" w14:paraId="4BE997E9" w14:textId="77777777">
        <w:trPr>
          <w:cantSplit/>
          <w:trHeight w:val="300"/>
          <w:tblHeader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B958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3D8A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7F12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A843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DA3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N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916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D3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</w:t>
            </w:r>
          </w:p>
        </w:tc>
      </w:tr>
      <w:tr w:rsidR="00C55A1F" w14:paraId="499113EF" w14:textId="77777777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99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Obilniny</w:t>
            </w:r>
          </w:p>
        </w:tc>
      </w:tr>
      <w:tr w:rsidR="00C55A1F" w14:paraId="0C4B8E73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A3D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Pšenice ozimá potravinářská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90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F0C8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53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0F2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29C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72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</w:tr>
      <w:tr w:rsidR="00C55A1F" w14:paraId="14289F0E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4919E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AF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69DE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4F5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0FA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2DB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B51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11,1</w:t>
            </w:r>
          </w:p>
        </w:tc>
      </w:tr>
      <w:tr w:rsidR="00C55A1F" w14:paraId="349D62DC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86F1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7D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397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1F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DB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24,6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DF5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2C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13,5</w:t>
            </w:r>
          </w:p>
        </w:tc>
      </w:tr>
      <w:tr w:rsidR="00C55A1F" w14:paraId="52EB90C8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39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Pšenice ozimá nepotravinářská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79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09E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884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0AA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FB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2D7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</w:tr>
      <w:tr w:rsidR="00C55A1F" w14:paraId="35D7F99A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E3A19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B1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B12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CFF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29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7C1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074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11,1</w:t>
            </w:r>
          </w:p>
        </w:tc>
      </w:tr>
      <w:tr w:rsidR="00C55A1F" w14:paraId="43758C0E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609D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2E7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82D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1BA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6E1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70F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F92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13,5</w:t>
            </w:r>
          </w:p>
        </w:tc>
      </w:tr>
      <w:tr w:rsidR="00C55A1F" w14:paraId="0B84A6C7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D4D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Pšenice jarní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418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B5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2E3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F5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380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99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3,7</w:t>
            </w:r>
          </w:p>
        </w:tc>
      </w:tr>
      <w:tr w:rsidR="00C55A1F" w14:paraId="20B41002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EC980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2FF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89A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A8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DD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306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8B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11,6</w:t>
            </w:r>
          </w:p>
        </w:tc>
      </w:tr>
      <w:tr w:rsidR="00C55A1F" w14:paraId="1B615B5C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F12C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F3A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6998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5E8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F6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22,2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4DD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17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14,1</w:t>
            </w:r>
          </w:p>
        </w:tc>
      </w:tr>
      <w:tr w:rsidR="00C55A1F" w14:paraId="33244484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ED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Žito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E32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43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EA8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1B0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07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3C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5,1</w:t>
            </w:r>
          </w:p>
        </w:tc>
      </w:tr>
      <w:tr w:rsidR="00C55A1F" w14:paraId="204BC13F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55C17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38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871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1A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915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B3D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202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10,7</w:t>
            </w:r>
          </w:p>
        </w:tc>
      </w:tr>
      <w:tr w:rsidR="00C55A1F" w14:paraId="06D7C648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6242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5B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1DE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B36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99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800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E2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15,8</w:t>
            </w:r>
          </w:p>
        </w:tc>
      </w:tr>
      <w:tr w:rsidR="00C55A1F" w14:paraId="1B63951B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692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Ječmen ozimý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BC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2AE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8F1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8C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F21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660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5,1</w:t>
            </w:r>
          </w:p>
        </w:tc>
      </w:tr>
      <w:tr w:rsidR="00C55A1F" w14:paraId="1BECA5E7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BEFDE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74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947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F3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60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912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F8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11,7</w:t>
            </w:r>
          </w:p>
        </w:tc>
      </w:tr>
      <w:tr w:rsidR="00C55A1F" w14:paraId="2FD09BAC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5C78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15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312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762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EA9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8BF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CA0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13,3</w:t>
            </w:r>
          </w:p>
        </w:tc>
      </w:tr>
      <w:tr w:rsidR="00C55A1F" w14:paraId="415CE610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F35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Ječmen jarní sladovnický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4DD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22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B2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846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5C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5FB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3,9</w:t>
            </w:r>
          </w:p>
        </w:tc>
      </w:tr>
      <w:tr w:rsidR="00C55A1F" w14:paraId="72C70041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2C8B5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99E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0337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A7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EB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BCC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435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13,7</w:t>
            </w:r>
          </w:p>
        </w:tc>
      </w:tr>
      <w:tr w:rsidR="00C55A1F" w14:paraId="351F67E7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A3AA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99E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46DE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5B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620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83C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5B7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12,1</w:t>
            </w:r>
          </w:p>
        </w:tc>
      </w:tr>
      <w:tr w:rsidR="00C55A1F" w14:paraId="29A8490F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DF04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Ječmen jarní krmný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49D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22A9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8F3F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6CA1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95D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2557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3,9</w:t>
            </w:r>
          </w:p>
        </w:tc>
      </w:tr>
      <w:tr w:rsidR="00C55A1F" w14:paraId="5AA19ED9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77EBF" w14:textId="77777777" w:rsidR="00C55A1F" w:rsidRDefault="00C55A1F">
            <w:pPr>
              <w:keepNext/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2501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5302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3DAE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20C3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FE7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9C73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13,7</w:t>
            </w:r>
          </w:p>
        </w:tc>
      </w:tr>
      <w:tr w:rsidR="00C55A1F" w14:paraId="396EC316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815" w14:textId="77777777" w:rsidR="00C55A1F" w:rsidRDefault="00C55A1F">
            <w:pPr>
              <w:keepNext/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4AAA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599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977B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7C5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8E1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E5EF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12,1</w:t>
            </w:r>
          </w:p>
        </w:tc>
      </w:tr>
      <w:tr w:rsidR="00C55A1F" w14:paraId="532DECA6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04D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Oves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DB3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9369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197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701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93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199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5,1</w:t>
            </w:r>
          </w:p>
        </w:tc>
      </w:tr>
      <w:tr w:rsidR="00C55A1F" w14:paraId="515EDF3A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C8AC0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B78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60DC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9A1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006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0A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CC1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19,0</w:t>
            </w:r>
          </w:p>
        </w:tc>
      </w:tr>
      <w:tr w:rsidR="00C55A1F" w14:paraId="478B6938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843E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5F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A1EC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9EFE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625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AE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FD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26,0</w:t>
            </w:r>
          </w:p>
        </w:tc>
      </w:tr>
      <w:tr w:rsidR="00C55A1F" w14:paraId="457A60A7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707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Tritikale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CD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566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76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196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DF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C32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4,6</w:t>
            </w:r>
          </w:p>
        </w:tc>
      </w:tr>
      <w:tr w:rsidR="00C55A1F" w14:paraId="62076A1E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AAF34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AC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203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64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8E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426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3F8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13,4</w:t>
            </w:r>
          </w:p>
        </w:tc>
      </w:tr>
      <w:tr w:rsidR="00C55A1F" w14:paraId="218FB361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DF75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6E3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E36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61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EE3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49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EA8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16,7</w:t>
            </w:r>
          </w:p>
        </w:tc>
      </w:tr>
      <w:tr w:rsidR="00C55A1F" w14:paraId="06DDEBFA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98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Kukuřice na zrno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F8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30B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B12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16D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FE5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2D1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4,6</w:t>
            </w:r>
          </w:p>
        </w:tc>
      </w:tr>
      <w:tr w:rsidR="00C55A1F" w14:paraId="56C9DCA3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28088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A96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1057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25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8B9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4C4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5E9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17,1</w:t>
            </w:r>
          </w:p>
        </w:tc>
      </w:tr>
      <w:tr w:rsidR="00C55A1F" w14:paraId="69F81951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36F4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B0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7B2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756A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5E5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182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C9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21,7</w:t>
            </w:r>
          </w:p>
        </w:tc>
      </w:tr>
      <w:tr w:rsidR="00C55A1F" w14:paraId="2CCCA54C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17C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Čirok zrnový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42C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42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5E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58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250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C5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3,3</w:t>
            </w:r>
          </w:p>
        </w:tc>
      </w:tr>
      <w:tr w:rsidR="00C55A1F" w14:paraId="52FB04FB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E0E3B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B0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F2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44A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EE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7B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F1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10,3</w:t>
            </w:r>
          </w:p>
        </w:tc>
      </w:tr>
      <w:tr w:rsidR="00C55A1F" w14:paraId="03A9D742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E58F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404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09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BAF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6E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23A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D8C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8,5</w:t>
            </w:r>
          </w:p>
        </w:tc>
      </w:tr>
      <w:tr w:rsidR="00C55A1F" w14:paraId="6497302C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C2B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Pohanka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A1B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1039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540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A4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C4B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A16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6,5</w:t>
            </w:r>
          </w:p>
        </w:tc>
      </w:tr>
      <w:tr w:rsidR="00C55A1F" w14:paraId="0CE3E6A0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006B1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DB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24C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A07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7A8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F5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1F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20,6</w:t>
            </w:r>
          </w:p>
        </w:tc>
      </w:tr>
      <w:tr w:rsidR="00C55A1F" w14:paraId="460855E3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4A70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7B0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12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DC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07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A0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8D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47,7</w:t>
            </w:r>
          </w:p>
        </w:tc>
      </w:tr>
      <w:tr w:rsidR="00C55A1F" w14:paraId="6D0C9995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C1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Ostatní obilniny na zrno (průměr)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EE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126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7AC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9D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F06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DC4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</w:tr>
      <w:tr w:rsidR="00C55A1F" w14:paraId="31B3E23A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CEAC2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D13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1D47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9E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C8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AA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AA4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12,0</w:t>
            </w:r>
          </w:p>
        </w:tc>
      </w:tr>
      <w:tr w:rsidR="00C55A1F" w14:paraId="2E3C5E99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A2E3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3D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E1C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6AC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F8F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AE3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ED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16,0</w:t>
            </w:r>
          </w:p>
        </w:tc>
      </w:tr>
      <w:tr w:rsidR="00C55A1F" w14:paraId="43FFA19C" w14:textId="77777777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66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Luskoviny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</w:tr>
      <w:tr w:rsidR="00C55A1F" w14:paraId="6F092C75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63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Hrách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07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198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D5B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885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BD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A16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8,4</w:t>
            </w:r>
          </w:p>
        </w:tc>
      </w:tr>
      <w:tr w:rsidR="00C55A1F" w14:paraId="5D3758AE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B733F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3B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F3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FA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4F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65F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19A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15,1</w:t>
            </w:r>
          </w:p>
        </w:tc>
      </w:tr>
      <w:tr w:rsidR="00C55A1F" w14:paraId="34B1EBB2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FC94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CC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EB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C99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30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088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73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23,5</w:t>
            </w:r>
          </w:p>
        </w:tc>
      </w:tr>
      <w:tr w:rsidR="00C55A1F" w14:paraId="6D3D8F5F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90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Lupina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17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6D0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8A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E5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720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891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13,1</w:t>
            </w:r>
          </w:p>
        </w:tc>
      </w:tr>
      <w:tr w:rsidR="00C55A1F" w14:paraId="01F91867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22320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66F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80D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9D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83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12,1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C4B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17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15,6</w:t>
            </w:r>
          </w:p>
        </w:tc>
      </w:tr>
      <w:tr w:rsidR="00C55A1F" w14:paraId="52697BE5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CD8E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BE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22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1E6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232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3B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3C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28,7</w:t>
            </w:r>
          </w:p>
        </w:tc>
      </w:tr>
      <w:tr w:rsidR="00C55A1F" w14:paraId="1A001D9A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D3A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Bob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E19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7C7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C8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04D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75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5E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10,2</w:t>
            </w:r>
          </w:p>
        </w:tc>
      </w:tr>
      <w:tr w:rsidR="00C55A1F" w14:paraId="7E0C0AC0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C56A5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A62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C299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2E8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3E7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A3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FB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11,3</w:t>
            </w:r>
          </w:p>
        </w:tc>
      </w:tr>
      <w:tr w:rsidR="00C55A1F" w14:paraId="5F22C7CC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6375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52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DE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13E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EEB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EA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493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20,4</w:t>
            </w:r>
          </w:p>
        </w:tc>
      </w:tr>
      <w:tr w:rsidR="00C55A1F" w14:paraId="331D5103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5A2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Sója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09A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B3C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0E17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468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54,6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1A1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467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18,9</w:t>
            </w:r>
          </w:p>
        </w:tc>
      </w:tr>
      <w:tr w:rsidR="00C55A1F" w14:paraId="00DFC128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99F68" w14:textId="77777777" w:rsidR="00C55A1F" w:rsidRDefault="00C55A1F">
            <w:pPr>
              <w:keepNext/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1EEB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173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578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0B61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976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D9CF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9,6</w:t>
            </w:r>
          </w:p>
        </w:tc>
      </w:tr>
      <w:tr w:rsidR="00C55A1F" w14:paraId="574C5B3D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BEAD" w14:textId="77777777" w:rsidR="00C55A1F" w:rsidRDefault="00C55A1F">
            <w:pPr>
              <w:keepNext/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D98" w14:textId="77777777" w:rsidR="00C55A1F" w:rsidRDefault="00CA3F04">
            <w:pPr>
              <w:keepNext/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EC8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C695" w14:textId="77777777" w:rsidR="00C55A1F" w:rsidRDefault="00CA3F04">
            <w:pPr>
              <w:keepNext/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511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BF71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C0B" w14:textId="77777777" w:rsidR="00C55A1F" w:rsidRDefault="00CA3F04">
            <w:pPr>
              <w:keepNext/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28,5</w:t>
            </w:r>
          </w:p>
        </w:tc>
      </w:tr>
      <w:tr w:rsidR="00C55A1F" w14:paraId="6F2CBBF4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AA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Ostatní luskoviny na zrno (průměr)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D77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zrno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8E9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CE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1D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CF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8A6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10,0</w:t>
            </w:r>
          </w:p>
        </w:tc>
      </w:tr>
      <w:tr w:rsidR="00C55A1F" w14:paraId="15536D5A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3695E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A0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2E2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7E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838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5F6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18E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11,0</w:t>
            </w:r>
          </w:p>
        </w:tc>
      </w:tr>
      <w:tr w:rsidR="00C55A1F" w14:paraId="1EAF2F1B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CCEB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283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AF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3399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E7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7B3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604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21,0</w:t>
            </w:r>
          </w:p>
        </w:tc>
      </w:tr>
      <w:tr w:rsidR="00C55A1F" w14:paraId="6ABA8CB5" w14:textId="77777777">
        <w:trPr>
          <w:cantSplit/>
          <w:trHeight w:val="1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D1F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Olejniny</w:t>
            </w:r>
          </w:p>
        </w:tc>
      </w:tr>
      <w:tr w:rsidR="00C55A1F" w14:paraId="7ECA286A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E5A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Řepka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1E3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FDD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32F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E0C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34,2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40B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052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7,9</w:t>
            </w:r>
          </w:p>
        </w:tc>
      </w:tr>
      <w:tr w:rsidR="00C55A1F" w14:paraId="3FFE5744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71C1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DB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55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5E1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C2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D01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57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11,6</w:t>
            </w:r>
          </w:p>
        </w:tc>
      </w:tr>
      <w:tr w:rsidR="00C55A1F" w14:paraId="3C15CCF5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95CF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F25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8F8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4BC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B6B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49,4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85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826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33,4</w:t>
            </w:r>
          </w:p>
        </w:tc>
      </w:tr>
      <w:tr w:rsidR="00C55A1F" w14:paraId="3A4A5094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A74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Slunečnice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F5B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1E9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CD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11B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28,0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41F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BDD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19,9</w:t>
            </w:r>
          </w:p>
        </w:tc>
      </w:tr>
      <w:tr w:rsidR="00C55A1F" w14:paraId="2B94F841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20552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68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74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583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B1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483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0E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39,6</w:t>
            </w:r>
          </w:p>
        </w:tc>
      </w:tr>
      <w:tr w:rsidR="00C55A1F" w14:paraId="2AC5599C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A125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F8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F1D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22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88E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84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D1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91,2</w:t>
            </w:r>
          </w:p>
        </w:tc>
      </w:tr>
      <w:tr w:rsidR="00C55A1F" w14:paraId="3F788D82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88F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Mák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88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DB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DBB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FE9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61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91E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8,2</w:t>
            </w:r>
          </w:p>
        </w:tc>
      </w:tr>
      <w:tr w:rsidR="00C55A1F" w14:paraId="08615BAC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9835B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65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ED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CF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3C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971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1E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19,1</w:t>
            </w:r>
          </w:p>
        </w:tc>
      </w:tr>
      <w:tr w:rsidR="00C55A1F" w14:paraId="681B2EA8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8212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2F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A61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45C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2,8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B39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D5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3A0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61,7</w:t>
            </w:r>
          </w:p>
        </w:tc>
      </w:tr>
      <w:tr w:rsidR="00C55A1F" w14:paraId="2F8258AE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1B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Hořčice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90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FD5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077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F71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9D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A4C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7,7</w:t>
            </w:r>
          </w:p>
        </w:tc>
      </w:tr>
      <w:tr w:rsidR="00C55A1F" w14:paraId="08811BE4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0D983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94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49EA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9DB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A6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83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8D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21,1</w:t>
            </w:r>
          </w:p>
        </w:tc>
      </w:tr>
      <w:tr w:rsidR="00C55A1F" w14:paraId="3A37B944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A702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E5E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764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3D18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826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A1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7E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39,4</w:t>
            </w:r>
          </w:p>
        </w:tc>
      </w:tr>
      <w:tr w:rsidR="00C55A1F" w14:paraId="154F416B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B7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Len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BD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355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1AF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A54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33,6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D1C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36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8,3</w:t>
            </w:r>
          </w:p>
        </w:tc>
      </w:tr>
      <w:tr w:rsidR="00C55A1F" w14:paraId="6B9543C6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D7107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42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stonky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E3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827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C7D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8B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2F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12,1</w:t>
            </w:r>
          </w:p>
        </w:tc>
      </w:tr>
      <w:tr w:rsidR="00C55A1F" w14:paraId="467603EE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F86B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38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F63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E6C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D6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41,6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7A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0E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26,5</w:t>
            </w:r>
          </w:p>
        </w:tc>
      </w:tr>
      <w:tr w:rsidR="00C55A1F" w14:paraId="6347AAA4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958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Lnička setá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49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7BC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C7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4C2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24,9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77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6E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5,8</w:t>
            </w:r>
          </w:p>
        </w:tc>
      </w:tr>
      <w:tr w:rsidR="00C55A1F" w14:paraId="39077A80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A496B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60A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EF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770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F1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F9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0F4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14,1</w:t>
            </w:r>
          </w:p>
        </w:tc>
      </w:tr>
      <w:tr w:rsidR="00C55A1F" w14:paraId="6AEB4987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5AA3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CC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DE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7DA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422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E75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DE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19,9</w:t>
            </w:r>
          </w:p>
        </w:tc>
      </w:tr>
      <w:tr w:rsidR="00C55A1F" w14:paraId="47E4B904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A33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Ostatní olejniny a další plodiny na semeno (průměr)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949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DA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F68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C72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C23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7,0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8D1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8,0</w:t>
            </w:r>
          </w:p>
        </w:tc>
      </w:tr>
      <w:tr w:rsidR="00C55A1F" w14:paraId="554DA1C9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AA140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31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sláma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D0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A0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CC3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53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D90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17,0</w:t>
            </w:r>
          </w:p>
        </w:tc>
      </w:tr>
      <w:tr w:rsidR="00C55A1F" w14:paraId="78559161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8299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F49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D40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AB5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100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0FC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4F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33,5</w:t>
            </w:r>
          </w:p>
        </w:tc>
      </w:tr>
      <w:tr w:rsidR="00C55A1F" w14:paraId="5CF049FE" w14:textId="77777777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1D6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Okopaniny</w:t>
            </w:r>
          </w:p>
        </w:tc>
      </w:tr>
      <w:tr w:rsidR="00C55A1F" w14:paraId="56ACDAF4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0F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Brambory rané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59F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hlízy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8AE8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E43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B8A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77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7FB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4,4</w:t>
            </w:r>
          </w:p>
        </w:tc>
      </w:tr>
      <w:tr w:rsidR="00C55A1F" w14:paraId="588C7CE6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8B62E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00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nať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18F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78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BA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CBF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74F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2,8</w:t>
            </w:r>
          </w:p>
        </w:tc>
      </w:tr>
      <w:tr w:rsidR="00C55A1F" w14:paraId="1E7A7879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7AD8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6A8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013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64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D12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DB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33D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5,2</w:t>
            </w:r>
          </w:p>
        </w:tc>
      </w:tr>
      <w:tr w:rsidR="00C55A1F" w14:paraId="0520C197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F7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Brambory ostatní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DD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hlízy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BA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97C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CEF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90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6DC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4,5</w:t>
            </w:r>
          </w:p>
        </w:tc>
      </w:tr>
      <w:tr w:rsidR="00C55A1F" w14:paraId="21DCC45F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F8436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AF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nať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61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CD6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E8F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30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A0A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</w:tr>
      <w:tr w:rsidR="00C55A1F" w14:paraId="099939B6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3AD8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2B2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C02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56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2C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8B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B1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5,3</w:t>
            </w:r>
          </w:p>
        </w:tc>
      </w:tr>
      <w:tr w:rsidR="00C55A1F" w14:paraId="7D63D4CB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6E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Cukrovka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C3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bulvy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F7A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FA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59C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C5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52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2,0</w:t>
            </w:r>
          </w:p>
        </w:tc>
      </w:tr>
      <w:tr w:rsidR="00C55A1F" w14:paraId="2DC15CDB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75CD7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FE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chrást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F9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3F8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BE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B80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D6F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4,5</w:t>
            </w:r>
          </w:p>
        </w:tc>
      </w:tr>
      <w:tr w:rsidR="00C55A1F" w14:paraId="2C1781F7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0DF4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60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BBC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E70C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727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983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9DC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3,8</w:t>
            </w:r>
          </w:p>
        </w:tc>
      </w:tr>
      <w:tr w:rsidR="00C55A1F" w14:paraId="33F34E82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D3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Krmná řepa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BC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bulvy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E0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044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327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CF6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FF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1,3</w:t>
            </w:r>
          </w:p>
        </w:tc>
      </w:tr>
      <w:tr w:rsidR="00C55A1F" w14:paraId="5C1B9569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7A3A7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E9A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chrást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770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D6D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850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00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D9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</w:tr>
      <w:tr w:rsidR="00C55A1F" w14:paraId="4E769709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D422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E0E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2C3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8D67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8F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6E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A30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2,9</w:t>
            </w:r>
          </w:p>
        </w:tc>
      </w:tr>
      <w:tr w:rsidR="00C55A1F" w14:paraId="3A2B73A0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22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Ostatní okopaniny (průměr)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52D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hlízy, bulvy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A2F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4D1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57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B1D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B15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</w:tr>
      <w:tr w:rsidR="00C55A1F" w14:paraId="1FE15998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F9CFD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63E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nať, listy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BED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AFE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A5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DE2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E8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</w:tr>
      <w:tr w:rsidR="00C55A1F" w14:paraId="2F7ABCE2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DE4F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381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B24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719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0,3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89F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EB8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ED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4,7</w:t>
            </w:r>
          </w:p>
        </w:tc>
      </w:tr>
      <w:tr w:rsidR="00C55A1F" w14:paraId="13127F80" w14:textId="77777777">
        <w:trPr>
          <w:cantSplit/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7D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Jednoleté pícniny</w:t>
            </w:r>
          </w:p>
        </w:tc>
      </w:tr>
      <w:tr w:rsidR="00C55A1F" w14:paraId="18B0E213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146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Kukuřice na siláž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E1D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CA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E4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42D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FF2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47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4,4</w:t>
            </w:r>
          </w:p>
        </w:tc>
      </w:tr>
      <w:tr w:rsidR="00C55A1F" w14:paraId="3D806678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00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Čirok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BCA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42A3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68D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E33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5A8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A05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</w:tr>
      <w:tr w:rsidR="00C55A1F" w14:paraId="0A5DD2F4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ED0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Ostatní obilniny na zeleno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DA7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040A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95B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CCD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773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B01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4,7</w:t>
            </w:r>
          </w:p>
        </w:tc>
      </w:tr>
      <w:tr w:rsidR="00C55A1F" w14:paraId="14B11D37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7A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Hrách krmný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F62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08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3BF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F0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FE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84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3,7</w:t>
            </w:r>
          </w:p>
        </w:tc>
      </w:tr>
      <w:tr w:rsidR="00C55A1F" w14:paraId="01D610B9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83E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Luskovinoobilní směs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BE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31F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817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BD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ED4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4E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4,2</w:t>
            </w:r>
          </w:p>
        </w:tc>
      </w:tr>
      <w:tr w:rsidR="00C55A1F" w14:paraId="0ACDC6FF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94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Slunečnice roční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C18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F9E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E15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B3C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CBD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CC9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4,1</w:t>
            </w:r>
          </w:p>
        </w:tc>
      </w:tr>
      <w:tr w:rsidR="00C55A1F" w14:paraId="2D1772CA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E2D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Krmná kapusta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AFB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B02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E92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72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B37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92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5,7</w:t>
            </w:r>
          </w:p>
        </w:tc>
      </w:tr>
      <w:tr w:rsidR="00C55A1F" w14:paraId="47790537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83C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Řepka na krmení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AD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2DB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72C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453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6C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CAE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5,4</w:t>
            </w:r>
          </w:p>
        </w:tc>
      </w:tr>
      <w:tr w:rsidR="00C55A1F" w14:paraId="3DB20A2C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EE2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Hořčice bílá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A8C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C1FF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61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B5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5C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FB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</w:tr>
      <w:tr w:rsidR="00C55A1F" w14:paraId="090C71ED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1C2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Ptačí noha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68F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E7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D1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EC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63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704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3,3</w:t>
            </w:r>
          </w:p>
        </w:tc>
      </w:tr>
      <w:tr w:rsidR="00C55A1F" w14:paraId="6A722C4F" w14:textId="77777777">
        <w:trPr>
          <w:cantSplit/>
          <w:trHeight w:val="570"/>
        </w:trPr>
        <w:tc>
          <w:tcPr>
            <w:tcW w:w="1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1C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Ostatní jednoleté pícniny (průměr)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1D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zelená hmota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9D57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D2F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4F0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98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64E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4,5</w:t>
            </w:r>
          </w:p>
        </w:tc>
      </w:tr>
      <w:tr w:rsidR="00C55A1F" w14:paraId="50D28ADD" w14:textId="77777777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B65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Víceleté pícniny</w:t>
            </w:r>
          </w:p>
        </w:tc>
      </w:tr>
      <w:tr w:rsidR="00C55A1F" w14:paraId="4B7E3D55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16E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Jetel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74D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E6B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458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55F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67A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4EB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17,9</w:t>
            </w:r>
          </w:p>
        </w:tc>
      </w:tr>
      <w:tr w:rsidR="00C55A1F" w14:paraId="747FBA3D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B58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Vojtěška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041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E735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865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7AC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28,3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C15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F8E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18,2</w:t>
            </w:r>
          </w:p>
        </w:tc>
      </w:tr>
      <w:tr w:rsidR="00C55A1F" w14:paraId="3CD794F5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ADD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Jetelotráva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2E4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D3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63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03C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12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18A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19,0</w:t>
            </w:r>
          </w:p>
        </w:tc>
      </w:tr>
      <w:tr w:rsidR="00C55A1F" w14:paraId="0D1CEA82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44E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Vojtěškotráva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6FB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87C1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E8A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97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75E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07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19,8</w:t>
            </w:r>
          </w:p>
        </w:tc>
      </w:tr>
      <w:tr w:rsidR="00C55A1F" w14:paraId="59682669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D5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Trávy s jetelovinami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0E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1120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B5F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20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90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029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23,0</w:t>
            </w:r>
          </w:p>
        </w:tc>
      </w:tr>
      <w:tr w:rsidR="00C55A1F" w14:paraId="1EF2E851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12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Trávy na orné půdě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9E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13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E6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5F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FE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87F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20,8</w:t>
            </w:r>
          </w:p>
        </w:tc>
      </w:tr>
      <w:tr w:rsidR="00C55A1F" w14:paraId="44AB93E0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50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Louky a pastviny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4F7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60F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B9E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A83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2E2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944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16,2</w:t>
            </w:r>
          </w:p>
        </w:tc>
      </w:tr>
      <w:tr w:rsidR="00C55A1F" w14:paraId="338D1625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C16F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Jeteloviny na </w:t>
            </w:r>
            <w:r>
              <w:rPr>
                <w:b/>
                <w:color w:val="000000"/>
                <w:szCs w:val="22"/>
              </w:rPr>
              <w:lastRenderedPageBreak/>
              <w:t>semeno</w:t>
            </w:r>
            <w:r>
              <w:rPr>
                <w:b/>
                <w:color w:val="000000"/>
                <w:szCs w:val="22"/>
                <w:vertAlign w:val="superscript"/>
              </w:rPr>
              <w:t>3)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6A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lastRenderedPageBreak/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D8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214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BF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6AE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D0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5,8</w:t>
            </w:r>
          </w:p>
        </w:tc>
      </w:tr>
      <w:tr w:rsidR="00C55A1F" w14:paraId="6ED967EA" w14:textId="77777777">
        <w:trPr>
          <w:cantSplit/>
          <w:trHeight w:val="300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74E4D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70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omlatky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704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33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C52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90D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F0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22,8</w:t>
            </w:r>
          </w:p>
        </w:tc>
      </w:tr>
      <w:tr w:rsidR="00C55A1F" w14:paraId="29E0E6ED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7D30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39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1D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EB4B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6C1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175,0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CED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16,8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49B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188,2</w:t>
            </w:r>
          </w:p>
        </w:tc>
      </w:tr>
      <w:tr w:rsidR="00C55A1F" w14:paraId="6A602B84" w14:textId="77777777">
        <w:trPr>
          <w:cantSplit/>
          <w:trHeight w:val="300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D0F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Trávy na semeno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566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semeno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13AD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E4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A0C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23,4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8BD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DB3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5,8</w:t>
            </w:r>
          </w:p>
        </w:tc>
      </w:tr>
      <w:tr w:rsidR="00C55A1F" w14:paraId="1D5FCBAB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25314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DDD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omlatky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389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91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075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40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C1F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22,8</w:t>
            </w:r>
          </w:p>
        </w:tc>
      </w:tr>
      <w:tr w:rsidR="00C55A1F" w14:paraId="62D0DFB5" w14:textId="77777777">
        <w:trPr>
          <w:cantSplit/>
          <w:trHeight w:val="300"/>
        </w:trPr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15AA" w14:textId="77777777" w:rsidR="00C55A1F" w:rsidRDefault="00C55A1F">
            <w:pPr>
              <w:widowControl w:val="0"/>
              <w:contextualSpacing/>
              <w:rPr>
                <w:b/>
                <w:color w:val="00000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3F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celkem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1199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D8C6" w14:textId="77777777" w:rsidR="00C55A1F" w:rsidRDefault="00CA3F0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1,0 : 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4A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149,8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00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C6E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188,2</w:t>
            </w:r>
          </w:p>
        </w:tc>
      </w:tr>
      <w:tr w:rsidR="00C55A1F" w14:paraId="1809ADCD" w14:textId="77777777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1C8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Zelenina (pouze hlavní produkt)</w:t>
            </w:r>
          </w:p>
        </w:tc>
      </w:tr>
      <w:tr w:rsidR="00C55A1F" w14:paraId="695D7CB5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DA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Celer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7F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8A4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C04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232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56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23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5,0</w:t>
            </w:r>
          </w:p>
        </w:tc>
      </w:tr>
      <w:tr w:rsidR="00C55A1F" w14:paraId="15AE2109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31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Cibule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D29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9D8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7C11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763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CDE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FE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1,7</w:t>
            </w:r>
          </w:p>
        </w:tc>
      </w:tr>
      <w:tr w:rsidR="00C55A1F" w14:paraId="37958D96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1CA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Kapusta hlávková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157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34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76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1D9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1B5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2B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3,3</w:t>
            </w:r>
          </w:p>
        </w:tc>
      </w:tr>
      <w:tr w:rsidR="00C55A1F" w14:paraId="21E16A0B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2CC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Kedluben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9E1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77B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50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97C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06F6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86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3,7</w:t>
            </w:r>
          </w:p>
        </w:tc>
      </w:tr>
      <w:tr w:rsidR="00C55A1F" w14:paraId="58FB18F1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E942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Květák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6AD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4FC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24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F760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6E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C36E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3,3</w:t>
            </w:r>
          </w:p>
        </w:tc>
      </w:tr>
      <w:tr w:rsidR="00C55A1F" w14:paraId="0682A956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C86B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Mrkev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5C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3DD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C4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B8B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CF1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06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3,7</w:t>
            </w:r>
          </w:p>
        </w:tc>
      </w:tr>
      <w:tr w:rsidR="00C55A1F" w14:paraId="724327D8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F187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Okurky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A51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C73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4A9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DB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327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E815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4,2</w:t>
            </w:r>
          </w:p>
        </w:tc>
      </w:tr>
      <w:tr w:rsidR="00C55A1F" w14:paraId="50B8BFFF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8ED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Rajče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BFC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D77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D1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33C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1,8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509C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444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2,9</w:t>
            </w:r>
          </w:p>
        </w:tc>
      </w:tr>
      <w:tr w:rsidR="00C55A1F" w14:paraId="4C8E332E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FC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Řepa salátová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075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505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30D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7239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A68A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79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4,2</w:t>
            </w:r>
          </w:p>
        </w:tc>
      </w:tr>
      <w:tr w:rsidR="00C55A1F" w14:paraId="4D723CFA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581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Špenát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03F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C94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217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DF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26F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92B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5,8</w:t>
            </w:r>
          </w:p>
        </w:tc>
      </w:tr>
      <w:tr w:rsidR="00C55A1F" w14:paraId="780C5F21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322A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Zelí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4BF3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893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D18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2693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9BC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50D2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2,7</w:t>
            </w:r>
          </w:p>
        </w:tc>
      </w:tr>
      <w:tr w:rsidR="00C55A1F" w14:paraId="24BEEB93" w14:textId="77777777">
        <w:trPr>
          <w:cantSplit/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2D6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Ostatní zelenina (průměr)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6A4E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25E0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DFA9" w14:textId="77777777" w:rsidR="00C55A1F" w:rsidRDefault="00CA3F04">
            <w:pPr>
              <w:widowControl w:val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35B4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608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A01" w14:textId="77777777" w:rsidR="00C55A1F" w:rsidRDefault="00CA3F04">
            <w:pPr>
              <w:widowControl w:val="0"/>
              <w:ind w:firstLineChars="100" w:firstLine="221"/>
              <w:contextualSpacing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4,0</w:t>
            </w:r>
          </w:p>
        </w:tc>
      </w:tr>
    </w:tbl>
    <w:p w14:paraId="4B603D9E" w14:textId="77777777" w:rsidR="00C55A1F" w:rsidRDefault="00C55A1F">
      <w:pPr>
        <w:rPr>
          <w:szCs w:val="22"/>
        </w:rPr>
      </w:pPr>
    </w:p>
    <w:p w14:paraId="4628C0B9" w14:textId="77777777" w:rsidR="00C55A1F" w:rsidRDefault="00CA3F04">
      <w:pPr>
        <w:keepNext/>
        <w:autoSpaceDE w:val="0"/>
        <w:autoSpaceDN w:val="0"/>
        <w:spacing w:after="120"/>
        <w:rPr>
          <w:b/>
          <w:szCs w:val="22"/>
        </w:rPr>
      </w:pPr>
      <w:r>
        <w:rPr>
          <w:b/>
          <w:szCs w:val="22"/>
        </w:rPr>
        <w:t>Vysvětlivky:</w:t>
      </w:r>
    </w:p>
    <w:p w14:paraId="24764962" w14:textId="77777777" w:rsidR="00C55A1F" w:rsidRDefault="00CA3F04">
      <w:pPr>
        <w:keepNext/>
        <w:widowControl w:val="0"/>
        <w:ind w:left="284" w:hanging="284"/>
        <w:contextualSpacing/>
        <w:rPr>
          <w:b/>
          <w:szCs w:val="22"/>
        </w:rPr>
      </w:pPr>
      <w:r>
        <w:rPr>
          <w:b/>
          <w:szCs w:val="22"/>
          <w:vertAlign w:val="superscript"/>
        </w:rPr>
        <w:t>1)</w:t>
      </w:r>
      <w:r>
        <w:rPr>
          <w:b/>
          <w:szCs w:val="22"/>
        </w:rPr>
        <w:tab/>
        <w:t>Hodnota „celkem“ vyjadřuje odběr živin v hlavním produktu (zrno, semeno, hlízy, bulvy) a vedlejším produktu (sláma, nať, chrást), v přepočtu na jednu tunu hlavního produktu.</w:t>
      </w:r>
    </w:p>
    <w:p w14:paraId="68E9F5B6" w14:textId="77777777" w:rsidR="00C55A1F" w:rsidRDefault="00CA3F04">
      <w:pPr>
        <w:keepNext/>
        <w:widowControl w:val="0"/>
        <w:ind w:left="284" w:hanging="284"/>
        <w:contextualSpacing/>
        <w:rPr>
          <w:b/>
          <w:szCs w:val="22"/>
        </w:rPr>
      </w:pPr>
      <w:r>
        <w:rPr>
          <w:b/>
          <w:szCs w:val="22"/>
          <w:vertAlign w:val="superscript"/>
        </w:rPr>
        <w:t>2)</w:t>
      </w:r>
      <w:r>
        <w:rPr>
          <w:b/>
          <w:szCs w:val="22"/>
        </w:rPr>
        <w:tab/>
        <w:t>Odběr živin vyjádřený v prvcích (N, P, K) v přepočtu na jednu tunu produktu při uvedeném standartním obsahu sušiny, u víceletých pícnin sklizených na píci v přepočtu na seno.</w:t>
      </w:r>
    </w:p>
    <w:p w14:paraId="72844166" w14:textId="77777777" w:rsidR="00C55A1F" w:rsidRDefault="00CA3F04">
      <w:pPr>
        <w:widowControl w:val="0"/>
        <w:ind w:left="284" w:hanging="284"/>
        <w:contextualSpacing/>
        <w:rPr>
          <w:b/>
          <w:szCs w:val="22"/>
        </w:rPr>
      </w:pPr>
      <w:r>
        <w:rPr>
          <w:b/>
          <w:szCs w:val="22"/>
          <w:vertAlign w:val="superscript"/>
        </w:rPr>
        <w:t>3)</w:t>
      </w:r>
      <w:r>
        <w:rPr>
          <w:b/>
          <w:szCs w:val="22"/>
        </w:rPr>
        <w:tab/>
        <w:t xml:space="preserve">U luskovin a jetelovin, včetně jejich směsí s jinými plodinami, se s ohledem na přívod dusíku symbiotickou fixací potřeba hnojení dusíkem nestanoví podle celkové potřeby dusíku porostu. </w:t>
      </w:r>
    </w:p>
    <w:p w14:paraId="56CDD0AD" w14:textId="77777777" w:rsidR="00C55A1F" w:rsidRDefault="00C55A1F"/>
    <w:p w14:paraId="30CB68F8" w14:textId="77777777" w:rsidR="00C55A1F" w:rsidRDefault="00C55A1F">
      <w:pPr>
        <w:spacing w:before="60"/>
        <w:rPr>
          <w:sz w:val="16"/>
          <w:szCs w:val="16"/>
        </w:rPr>
      </w:pPr>
    </w:p>
    <w:p w14:paraId="0686D00F" w14:textId="77777777" w:rsidR="00C55A1F" w:rsidRDefault="00CA3F0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CE87A61" w14:textId="77777777" w:rsidR="00C55A1F" w:rsidRDefault="00C55A1F">
      <w:pPr>
        <w:spacing w:before="60"/>
        <w:rPr>
          <w:sz w:val="16"/>
          <w:szCs w:val="16"/>
        </w:rPr>
        <w:sectPr w:rsidR="00C55A1F">
          <w:footerReference w:type="default" r:id="rId15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DABDE82" w14:textId="77777777" w:rsidR="00C55A1F" w:rsidRDefault="00CA3F04">
      <w:pPr>
        <w:pStyle w:val="Nadpis1"/>
        <w:ind w:firstLine="0"/>
      </w:pPr>
      <w:r>
        <w:lastRenderedPageBreak/>
        <w:t>Vysvětlivky</w:t>
      </w:r>
    </w:p>
    <w:p w14:paraId="45842A6C" w14:textId="77777777" w:rsidR="00C55A1F" w:rsidRDefault="00C55A1F">
      <w:pPr>
        <w:rPr>
          <w:szCs w:val="22"/>
        </w:rPr>
      </w:pPr>
    </w:p>
    <w:sectPr w:rsidR="00C55A1F">
      <w:headerReference w:type="even" r:id="rId16"/>
      <w:headerReference w:type="default" r:id="rId17"/>
      <w:footerReference w:type="default" r:id="rId18"/>
      <w:headerReference w:type="first" r:id="rId1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028C0" w14:textId="77777777" w:rsidR="008E318B" w:rsidRDefault="008E318B">
      <w:r>
        <w:separator/>
      </w:r>
    </w:p>
  </w:endnote>
  <w:endnote w:type="continuationSeparator" w:id="0">
    <w:p w14:paraId="2D42EB3D" w14:textId="77777777" w:rsidR="008E318B" w:rsidRDefault="008E318B">
      <w:r>
        <w:continuationSeparator/>
      </w:r>
    </w:p>
  </w:endnote>
  <w:endnote w:id="1">
    <w:p w14:paraId="6B3F24A9" w14:textId="77777777" w:rsidR="0041213B" w:rsidRDefault="0041213B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Formulář RfC je tvořen třemi částmi, A - Věcné zadání, B – Nabídka řešení, C - Potvrzení realizace požadavku. První část (Věcné zadání) je předložena poskytovateli/dodavateli jako pobídka k předložení nabídky řešení. Druhou část, tj. část B použije dodavatel řešení k vypracování nabídky, kterou předloží MZe. Třetí část (Potvrzení realizace požadavku) se po vyplnění přiloží k první a druhé části a předloží se ke schválení osobám uvedeným v části C RfC. Poskytovateli/dodavateli se poté vyplněný formulář RfC předkládá v příloze objednávky na realizaci změnového požadavku. Pouze tato podepsaná objednávka je pokynem pro dodavatele/poskytovatele k realizaci změny.</w:t>
      </w:r>
    </w:p>
  </w:endnote>
  <w:endnote w:id="2">
    <w:p w14:paraId="706E583C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543BE4EA" w14:textId="77777777" w:rsidR="0041213B" w:rsidRDefault="0041213B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Předmět změny – stručná informace, název požadavku</w:t>
      </w:r>
    </w:p>
  </w:endnote>
  <w:endnote w:id="4">
    <w:p w14:paraId="18C9CD3C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10D343AD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Priorita – vyjadřuje důležitost zapracování požadavku. z pohledu časového. Vyplní se v případě volby kategorie „Normální změna“.</w:t>
      </w:r>
    </w:p>
  </w:endnote>
  <w:endnote w:id="6">
    <w:p w14:paraId="13D80543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Zkratka – zkratka aplikace (viz „kód služby“ v katalogu služeb)</w:t>
      </w:r>
    </w:p>
  </w:endnote>
  <w:endnote w:id="7">
    <w:p w14:paraId="614EA4C5" w14:textId="77777777" w:rsidR="0041213B" w:rsidRDefault="0041213B">
      <w:pPr>
        <w:ind w:left="142" w:hanging="142"/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2113F3B5" w14:textId="77777777" w:rsidR="0041213B" w:rsidRDefault="0041213B">
      <w:r>
        <w:endnoteRef/>
      </w:r>
      <w:r>
        <w:t xml:space="preserve"> </w:t>
      </w:r>
      <w:r>
        <w:rPr>
          <w:sz w:val="18"/>
          <w:szCs w:val="18"/>
        </w:rPr>
        <w:t>Vyplní Change koordinátor. s Provozním garantem. Uvedený seznam dokumentace je pouze příkladem.</w:t>
      </w:r>
    </w:p>
  </w:endnote>
  <w:endnote w:id="9">
    <w:p w14:paraId="15792DF0" w14:textId="77777777" w:rsidR="0041213B" w:rsidRDefault="0041213B">
      <w: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 a podpory technologíí (OPPT).</w:t>
      </w:r>
    </w:p>
  </w:endnote>
  <w:endnote w:id="10">
    <w:p w14:paraId="64E41917" w14:textId="77777777" w:rsidR="0041213B" w:rsidRDefault="0041213B">
      <w:r>
        <w:endnoteRef/>
      </w:r>
      <w:r>
        <w:t xml:space="preserve"> </w:t>
      </w:r>
      <w:r>
        <w:rPr>
          <w:sz w:val="18"/>
          <w:szCs w:val="18"/>
        </w:rPr>
        <w:t xml:space="preserve">Rozsah požadované dokumentace uveďte </w:t>
      </w:r>
      <w:r>
        <w:rPr>
          <w:color w:val="000000"/>
          <w:sz w:val="18"/>
          <w:szCs w:val="18"/>
          <w:lang w:eastAsia="cs-CZ"/>
        </w:rPr>
        <w:t>do tabulky.</w:t>
      </w:r>
    </w:p>
  </w:endnote>
  <w:endnote w:id="11">
    <w:p w14:paraId="1DA37D72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2">
    <w:p w14:paraId="24103C15" w14:textId="77777777" w:rsidR="0041213B" w:rsidRDefault="0041213B">
      <w:pPr>
        <w:rPr>
          <w:sz w:val="16"/>
          <w:szCs w:val="16"/>
        </w:rPr>
      </w:pPr>
      <w:r>
        <w:rPr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3">
    <w:p w14:paraId="1DDDB7EA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14">
    <w:p w14:paraId="5DE54E05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5">
    <w:p w14:paraId="40EEF0A1" w14:textId="77777777" w:rsidR="0041213B" w:rsidRDefault="0041213B">
      <w:pPr>
        <w:rPr>
          <w:sz w:val="16"/>
          <w:szCs w:val="16"/>
        </w:rPr>
      </w:pPr>
      <w:r>
        <w:rPr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bude součástí akceptačního řízení, nebude-li v části C RfC v bodu 1 „Specifikace plnění“ stanoveno jinak.</w:t>
      </w:r>
    </w:p>
  </w:endnote>
  <w:endnote w:id="16">
    <w:p w14:paraId="29923006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Uvede se datum zahájení a ukončení realizace, příp. další etapy.</w:t>
      </w:r>
    </w:p>
  </w:endnote>
  <w:endnote w:id="17">
    <w:p w14:paraId="6849205B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Role se vyplní pouze v relevantních případech, např. u požadavku na infrastrukturu.</w:t>
      </w:r>
    </w:p>
  </w:endnote>
  <w:endnote w:id="18">
    <w:p w14:paraId="586B3C84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9">
    <w:p w14:paraId="24FD7EA7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0">
    <w:p w14:paraId="2BF09952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Uvede se datum zahájení a ukončení realizace, příp. další etapy.</w:t>
      </w:r>
    </w:p>
  </w:endnote>
  <w:endnote w:id="21">
    <w:p w14:paraId="4836B1A9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Role se vyplní pouze v relevantních případech, např. u požadavku na infrastrukturu.</w:t>
      </w:r>
    </w:p>
  </w:endnote>
  <w:endnote w:id="22">
    <w:p w14:paraId="754A762F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3">
    <w:p w14:paraId="44A4E874" w14:textId="77777777" w:rsidR="0041213B" w:rsidRDefault="0041213B">
      <w:pPr>
        <w:rPr>
          <w:sz w:val="18"/>
          <w:szCs w:val="18"/>
        </w:rPr>
      </w:pPr>
      <w:r>
        <w:rPr>
          <w:sz w:val="18"/>
          <w:szCs w:val="18"/>
        </w:rPr>
        <w:endnoteRef/>
      </w:r>
      <w:r>
        <w:rPr>
          <w:sz w:val="18"/>
          <w:szCs w:val="18"/>
        </w:rPr>
        <w:t xml:space="preserve"> RfC se zpravidla předkládá k posouzení Bezpečnostnímu garantovi, Provoznímu garantovi, Architektovi, a to podle předpokládaných dopadů změnového požadavku na bezpečnost, provoz, příp. architekturu. Change koordinátor rozhodne, od koho vyžádat posouzení dle konkrétního případu změnového požadavku. </w:t>
      </w:r>
    </w:p>
  </w:endnote>
  <w:endnote w:id="24">
    <w:p w14:paraId="05767BE4" w14:textId="77777777" w:rsidR="0041213B" w:rsidRDefault="0041213B">
      <w:pPr>
        <w:rPr>
          <w:sz w:val="18"/>
          <w:szCs w:val="18"/>
        </w:rPr>
      </w:pPr>
      <w:r>
        <w:endnoteRef/>
      </w:r>
      <w:r>
        <w:t xml:space="preserve"> </w:t>
      </w:r>
      <w:r>
        <w:rPr>
          <w:sz w:val="18"/>
          <w:szCs w:val="18"/>
        </w:rPr>
        <w:t>Doplní se podpis nebo se uvede odkaz na mailovou zprávu, v které bylo posouzení doručeno.</w:t>
      </w:r>
    </w:p>
    <w:p w14:paraId="2D7B93D3" w14:textId="77777777" w:rsidR="0041213B" w:rsidRDefault="0041213B">
      <w:pPr>
        <w:rPr>
          <w:sz w:val="18"/>
          <w:szCs w:val="18"/>
        </w:rPr>
      </w:pPr>
    </w:p>
    <w:p w14:paraId="78E2CFC1" w14:textId="77777777" w:rsidR="0041213B" w:rsidRDefault="00412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82C8" w14:textId="050F9938" w:rsidR="0041213B" w:rsidRDefault="0041213B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r>
      <w:t>Veřejné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E5B9F">
      <w:rPr>
        <w:noProof/>
        <w:sz w:val="16"/>
        <w:szCs w:val="16"/>
      </w:rPr>
      <w:t>10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CF35" w14:textId="393711A8" w:rsidR="0041213B" w:rsidRDefault="0041213B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r>
      <w:t>Veřejné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E5B9F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1F0C" w14:textId="63F6E6A2" w:rsidR="0041213B" w:rsidRDefault="0041213B">
    <w:pPr>
      <w:pStyle w:val="Zpat"/>
    </w:pPr>
    <w:fldSimple w:instr=" DOCVARIABLE  dms_cj  \* MERGEFORMAT ">
      <w:r w:rsidRPr="00161E99">
        <w:rPr>
          <w:bCs/>
        </w:rPr>
        <w:t>MZE-51188/2021-11152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3FD13A" w14:textId="77777777" w:rsidR="0041213B" w:rsidRDefault="00412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1DC83" w14:textId="77777777" w:rsidR="008E318B" w:rsidRDefault="008E318B">
      <w:r>
        <w:separator/>
      </w:r>
    </w:p>
  </w:footnote>
  <w:footnote w:type="continuationSeparator" w:id="0">
    <w:p w14:paraId="210D4082" w14:textId="77777777" w:rsidR="008E318B" w:rsidRDefault="008E318B">
      <w:r>
        <w:continuationSeparator/>
      </w:r>
    </w:p>
  </w:footnote>
  <w:footnote w:id="1">
    <w:p w14:paraId="49F6FE27" w14:textId="77777777" w:rsidR="0041213B" w:rsidRDefault="0041213B">
      <w:pPr>
        <w:pStyle w:val="Zkladntext"/>
        <w:spacing w:after="20"/>
        <w:rPr>
          <w:sz w:val="18"/>
          <w:szCs w:val="18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 xml:space="preserve"> Uveďte, zda vznikají servisní účty a budou řízené PIMem nebo v něm budou jen evidované.</w:t>
      </w:r>
    </w:p>
  </w:footnote>
  <w:footnote w:id="2">
    <w:p w14:paraId="2380FA1B" w14:textId="77777777" w:rsidR="0041213B" w:rsidRDefault="0041213B">
      <w:pPr>
        <w:pStyle w:val="Zkladntext"/>
        <w:spacing w:after="20"/>
        <w:rPr>
          <w:sz w:val="18"/>
          <w:szCs w:val="18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 xml:space="preserve"> Uveďte, zda a jakým způsobem se mění/vytváří napojení na SIEM.</w:t>
      </w:r>
    </w:p>
  </w:footnote>
  <w:footnote w:id="3">
    <w:p w14:paraId="2607B2C7" w14:textId="77777777" w:rsidR="0041213B" w:rsidRDefault="0041213B">
      <w:pPr>
        <w:pStyle w:val="Zkladntext"/>
        <w:spacing w:after="20"/>
        <w:rPr>
          <w:sz w:val="18"/>
          <w:szCs w:val="18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 xml:space="preserve"> Uveďte, zda má RfC vliv na napojení na Management zranitelností (Vulnerability scanner).</w:t>
      </w:r>
    </w:p>
  </w:footnote>
  <w:footnote w:id="4">
    <w:p w14:paraId="10625563" w14:textId="77777777" w:rsidR="0041213B" w:rsidRDefault="0041213B">
      <w: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2679" w14:textId="77777777" w:rsidR="0041213B" w:rsidRDefault="0041213B">
    <w:r>
      <w:pict w14:anchorId="010FA7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21c2510-6cb6-4dd1-9b25-cca5c5869fad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17DB" w14:textId="77777777" w:rsidR="0041213B" w:rsidRDefault="0041213B">
    <w:r>
      <w:pict w14:anchorId="509D3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3e4a5f-c222-4995-8dfd-df237988fe06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74EB" w14:textId="77777777" w:rsidR="0041213B" w:rsidRDefault="0041213B">
    <w:r>
      <w:pict w14:anchorId="3AEF2A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fe48a92-bd1a-4c47-b607-087f3ff8153d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AA20" w14:textId="77777777" w:rsidR="0041213B" w:rsidRDefault="0041213B">
    <w:r>
      <w:pict w14:anchorId="043D7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bb9c3f4-1330-4676-b734-b58ebc5a76b0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7997" w14:textId="77777777" w:rsidR="0041213B" w:rsidRDefault="0041213B">
    <w:r>
      <w:pict w14:anchorId="46151E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e3d0b32-a35f-45b3-a713-cb786b86c6d5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EFE8" w14:textId="77777777" w:rsidR="0041213B" w:rsidRDefault="0041213B">
    <w:r>
      <w:pict w14:anchorId="332FC0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0c3393d-bf97-4a04-8d2f-b0c6da6755f2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C419"/>
    <w:multiLevelType w:val="multilevel"/>
    <w:tmpl w:val="94F862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4A676E3"/>
    <w:multiLevelType w:val="multilevel"/>
    <w:tmpl w:val="753AB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C554F9"/>
    <w:multiLevelType w:val="multilevel"/>
    <w:tmpl w:val="FF9A5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FF70"/>
    <w:multiLevelType w:val="multilevel"/>
    <w:tmpl w:val="931625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B0A35C5"/>
    <w:multiLevelType w:val="multilevel"/>
    <w:tmpl w:val="6D3289E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0D557D"/>
    <w:multiLevelType w:val="multilevel"/>
    <w:tmpl w:val="8AECEE1A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08A57CC"/>
    <w:multiLevelType w:val="multilevel"/>
    <w:tmpl w:val="DD94F2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0C634B7"/>
    <w:multiLevelType w:val="multilevel"/>
    <w:tmpl w:val="ECC4C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1183"/>
    <w:multiLevelType w:val="multilevel"/>
    <w:tmpl w:val="4A7863BC"/>
    <w:lvl w:ilvl="0">
      <w:start w:val="1"/>
      <w:numFmt w:val="upperRoman"/>
      <w:lvlText w:val="%1."/>
      <w:lvlJc w:val="right"/>
      <w:pPr>
        <w:ind w:left="2130" w:hanging="72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38B7857"/>
    <w:multiLevelType w:val="multilevel"/>
    <w:tmpl w:val="B7EA1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1BD0"/>
    <w:multiLevelType w:val="multilevel"/>
    <w:tmpl w:val="B92ECF1E"/>
    <w:lvl w:ilvl="0">
      <w:start w:val="1"/>
      <w:numFmt w:val="decimal"/>
      <w:pStyle w:val="Textpozmn"/>
      <w:lvlText w:val="%1.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A0559AC"/>
    <w:multiLevelType w:val="multilevel"/>
    <w:tmpl w:val="4BFEDD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583A18"/>
    <w:multiLevelType w:val="multilevel"/>
    <w:tmpl w:val="2D14A1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1D596952"/>
    <w:multiLevelType w:val="multilevel"/>
    <w:tmpl w:val="A29490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1E291978"/>
    <w:multiLevelType w:val="multilevel"/>
    <w:tmpl w:val="002626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1EB8363C"/>
    <w:multiLevelType w:val="multilevel"/>
    <w:tmpl w:val="8BB07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62078"/>
    <w:multiLevelType w:val="multilevel"/>
    <w:tmpl w:val="11068F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B9282C"/>
    <w:multiLevelType w:val="multilevel"/>
    <w:tmpl w:val="D94A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21434"/>
    <w:multiLevelType w:val="multilevel"/>
    <w:tmpl w:val="22A472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596269F"/>
    <w:multiLevelType w:val="multilevel"/>
    <w:tmpl w:val="B70E40EE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1C224"/>
    <w:multiLevelType w:val="multilevel"/>
    <w:tmpl w:val="3F588D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31AA7C5B"/>
    <w:multiLevelType w:val="multilevel"/>
    <w:tmpl w:val="75886F1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AD40B"/>
    <w:multiLevelType w:val="multilevel"/>
    <w:tmpl w:val="0C0800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33684A7F"/>
    <w:multiLevelType w:val="multilevel"/>
    <w:tmpl w:val="ED6E1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63F53"/>
    <w:multiLevelType w:val="multilevel"/>
    <w:tmpl w:val="328230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362C6FCD"/>
    <w:multiLevelType w:val="multilevel"/>
    <w:tmpl w:val="DF869FA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7226428"/>
    <w:multiLevelType w:val="multilevel"/>
    <w:tmpl w:val="6E2E44C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C7A0D"/>
    <w:multiLevelType w:val="multilevel"/>
    <w:tmpl w:val="DB1E9786"/>
    <w:lvl w:ilvl="0">
      <w:start w:val="1"/>
      <w:numFmt w:val="upperRoman"/>
      <w:lvlText w:val="%1."/>
      <w:lvlJc w:val="right"/>
      <w:pPr>
        <w:ind w:left="2130" w:hanging="72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3AF627B6"/>
    <w:multiLevelType w:val="multilevel"/>
    <w:tmpl w:val="996A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9" w15:restartNumberingAfterBreak="0">
    <w:nsid w:val="3D55504E"/>
    <w:multiLevelType w:val="multilevel"/>
    <w:tmpl w:val="C36A30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3DFA6C09"/>
    <w:multiLevelType w:val="multilevel"/>
    <w:tmpl w:val="2BDC0FD8"/>
    <w:lvl w:ilvl="0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42BA0FB8"/>
    <w:multiLevelType w:val="multilevel"/>
    <w:tmpl w:val="53600A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FB54E0"/>
    <w:multiLevelType w:val="multilevel"/>
    <w:tmpl w:val="D9AC3C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FF50C"/>
    <w:multiLevelType w:val="multilevel"/>
    <w:tmpl w:val="14985D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4FA2157E"/>
    <w:multiLevelType w:val="multilevel"/>
    <w:tmpl w:val="2AD227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592D63B2"/>
    <w:multiLevelType w:val="multilevel"/>
    <w:tmpl w:val="8612E7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01B54E"/>
    <w:multiLevelType w:val="multilevel"/>
    <w:tmpl w:val="6DD03E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5C2E1B18"/>
    <w:multiLevelType w:val="multilevel"/>
    <w:tmpl w:val="3086F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D72F0"/>
    <w:multiLevelType w:val="multilevel"/>
    <w:tmpl w:val="A12A4CB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1BDED"/>
    <w:multiLevelType w:val="multilevel"/>
    <w:tmpl w:val="3FC622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6F5D164E"/>
    <w:multiLevelType w:val="multilevel"/>
    <w:tmpl w:val="D4229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CB87C"/>
    <w:multiLevelType w:val="multilevel"/>
    <w:tmpl w:val="1B002F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 w15:restartNumberingAfterBreak="0">
    <w:nsid w:val="75521209"/>
    <w:multiLevelType w:val="multilevel"/>
    <w:tmpl w:val="381E539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65966"/>
    <w:multiLevelType w:val="multilevel"/>
    <w:tmpl w:val="629C602C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2ACDF2"/>
    <w:multiLevelType w:val="multilevel"/>
    <w:tmpl w:val="12A6EC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5" w15:restartNumberingAfterBreak="0">
    <w:nsid w:val="7DB31C51"/>
    <w:multiLevelType w:val="multilevel"/>
    <w:tmpl w:val="F9003F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1233466"/>
    <w:docVar w:name="dms_carovy_kod_cj" w:val="MZE-51188/2021-11152"/>
    <w:docVar w:name="dms_cj" w:val="MZE-51188/2021-11152"/>
    <w:docVar w:name="dms_datum" w:val="2. 9. 2021"/>
    <w:docVar w:name="dms_datum_textem" w:val="2. září 2021"/>
    <w:docVar w:name="dms_datum_vzniku" w:val="2. 9. 2021 17:07:5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2"/>
    <w:docVar w:name="dms_utvar_nazev" w:val="Oddělení provozu"/>
    <w:docVar w:name="dms_utvar_nazev_adresa" w:val="11152 - Oddělení provozu_x000d__x000a_Těšnov 65/17_x000d__x000a_Nové Město_x000d__x000a_110 00 Praha 1"/>
    <w:docVar w:name="dms_utvar_nazev_do_dopisu" w:val="Oddělení provozu"/>
    <w:docVar w:name="dms_vec" w:val="Z32147-RFC-PRAISII-HR-001-PZ506-EPH – vytvoření modulu pro příjem a správu dat evidence použití hnojiv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C55A1F"/>
    <w:rsid w:val="00161E99"/>
    <w:rsid w:val="0041213B"/>
    <w:rsid w:val="005B0E50"/>
    <w:rsid w:val="008E318B"/>
    <w:rsid w:val="009E5B9F"/>
    <w:rsid w:val="00C55A1F"/>
    <w:rsid w:val="00CA3F04"/>
    <w:rsid w:val="00F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</o:shapelayout>
  </w:shapeDefaults>
  <w:decimalSymbol w:val=","/>
  <w:listSeparator w:val=";"/>
  <w14:docId w14:val="2B838296"/>
  <w15:docId w15:val="{EA1895F0-C3F4-475B-8A04-5553766F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qFormat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qFormat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qFormat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Zvraznn">
    <w:name w:val="Zvýraznění"/>
    <w:basedOn w:val="Standardnpsmoodstavce"/>
    <w:uiPriority w:val="20"/>
    <w:rPr>
      <w:i/>
      <w:iCs/>
    </w:rPr>
  </w:style>
  <w:style w:type="paragraph" w:customStyle="1" w:styleId="Bezmezer1">
    <w:name w:val="Bez mezer1"/>
    <w:link w:val="BezmezerChar"/>
    <w:uiPriority w:val="1"/>
    <w:qFormat/>
    <w:rPr>
      <w:rFonts w:ascii="Gill Sans MT" w:hAnsi="Gill Sans MT"/>
      <w:sz w:val="21"/>
      <w:szCs w:val="21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1566" w:hanging="432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20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26"/>
      </w:numPr>
      <w:spacing w:after="120" w:line="280" w:lineRule="exact"/>
    </w:pPr>
    <w:rPr>
      <w:rFonts w:eastAsia="Times New Roman" w:cs="Times New Roman"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26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Prosttext">
    <w:name w:val="Plain Text"/>
    <w:basedOn w:val="Normln"/>
    <w:uiPriority w:val="99"/>
    <w:unhideWhenUsed/>
    <w:pPr>
      <w:jc w:val="left"/>
    </w:pPr>
    <w:rPr>
      <w:rFonts w:ascii="Calibri" w:eastAsia="Gill Sans MT" w:hAnsi="Calibri" w:cs="Times New Roman"/>
      <w:szCs w:val="21"/>
    </w:rPr>
  </w:style>
  <w:style w:type="character" w:customStyle="1" w:styleId="ProsttextChar">
    <w:name w:val="Prostý text Char"/>
    <w:basedOn w:val="Standardnpsmoodstavce"/>
    <w:uiPriority w:val="99"/>
    <w:rPr>
      <w:rFonts w:ascii="Calibri" w:eastAsia="Gill Sans MT" w:hAnsi="Calibr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uiPriority w:val="9"/>
    <w:pPr>
      <w:keepNext/>
      <w:keepLines/>
      <w:numPr>
        <w:ilvl w:val="1"/>
        <w:numId w:val="19"/>
      </w:numPr>
      <w:spacing w:before="480" w:after="240" w:line="276" w:lineRule="auto"/>
      <w:ind w:left="432" w:hanging="432"/>
      <w:outlineLvl w:val="0"/>
    </w:pPr>
    <w:rPr>
      <w:rFonts w:ascii="Calibri Light" w:eastAsia="Times New Roman" w:hAnsi="Calibri Light" w:cs="Times New Roman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pPr>
      <w:keepNext/>
      <w:keepLines/>
      <w:spacing w:before="120" w:after="120" w:line="276" w:lineRule="auto"/>
      <w:ind w:left="576" w:hanging="576"/>
      <w:outlineLvl w:val="1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pPr>
      <w:keepNext/>
      <w:keepLines/>
      <w:spacing w:before="200" w:line="276" w:lineRule="auto"/>
      <w:ind w:left="170" w:hanging="170"/>
      <w:outlineLvl w:val="2"/>
    </w:pPr>
    <w:rPr>
      <w:rFonts w:ascii="Calibri Light" w:eastAsia="Times New Roman" w:hAnsi="Calibri Light" w:cs="Times New Roman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pPr>
      <w:keepNext/>
      <w:keepLines/>
      <w:spacing w:before="200" w:line="276" w:lineRule="auto"/>
      <w:ind w:left="864" w:hanging="864"/>
      <w:outlineLvl w:val="3"/>
    </w:pPr>
    <w:rPr>
      <w:rFonts w:ascii="Calibri Light" w:eastAsia="Times New Roman" w:hAnsi="Calibri Light" w:cs="Times New Roman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pPr>
      <w:keepNext/>
      <w:keepLines/>
      <w:spacing w:before="40" w:line="276" w:lineRule="auto"/>
      <w:ind w:left="1008" w:hanging="1008"/>
      <w:outlineLvl w:val="4"/>
    </w:pPr>
    <w:rPr>
      <w:rFonts w:ascii="Calibri Light" w:eastAsia="Times New Roman" w:hAnsi="Calibri Light" w:cs="Times New Roman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pPr>
      <w:keepNext/>
      <w:keepLines/>
      <w:spacing w:before="40" w:line="276" w:lineRule="auto"/>
      <w:ind w:left="1152" w:hanging="1152"/>
      <w:outlineLvl w:val="5"/>
    </w:pPr>
    <w:rPr>
      <w:rFonts w:ascii="Calibri Light" w:eastAsia="Times New Roman" w:hAnsi="Calibri Light" w:cs="Times New Roman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pPr>
      <w:keepNext/>
      <w:keepLines/>
      <w:spacing w:before="40" w:line="276" w:lineRule="auto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pPr>
      <w:keepNext/>
      <w:keepLines/>
      <w:spacing w:before="40" w:line="276" w:lineRule="auto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pPr>
      <w:keepNext/>
      <w:keepLines/>
      <w:spacing w:before="40" w:line="276" w:lineRule="auto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cs-CZ"/>
    </w:rPr>
  </w:style>
  <w:style w:type="paragraph" w:customStyle="1" w:styleId="Styl2">
    <w:name w:val="Styl2"/>
    <w:basedOn w:val="Nadpis2"/>
    <w:link w:val="Styl2Char"/>
    <w:qFormat/>
    <w:pPr>
      <w:keepLines/>
      <w:spacing w:before="120" w:after="60"/>
      <w:ind w:left="720" w:hanging="720"/>
      <w:contextualSpacing/>
      <w:jc w:val="left"/>
    </w:pPr>
    <w:rPr>
      <w:rFonts w:ascii="Calibri" w:eastAsia="Times New Roman" w:hAnsi="Calibri" w:cs="Times New Roman"/>
      <w:b/>
      <w:i w:val="0"/>
      <w:sz w:val="24"/>
    </w:rPr>
  </w:style>
  <w:style w:type="character" w:customStyle="1" w:styleId="Styl2Char">
    <w:name w:val="Styl2 Char"/>
    <w:basedOn w:val="Standardnpsmoodstavce"/>
    <w:link w:val="Styl2"/>
    <w:rPr>
      <w:rFonts w:ascii="Calibri" w:hAnsi="Calibri"/>
      <w:b/>
      <w:sz w:val="24"/>
      <w:szCs w:val="24"/>
      <w:lang w:eastAsia="en-US"/>
    </w:rPr>
  </w:style>
  <w:style w:type="paragraph" w:customStyle="1" w:styleId="l5">
    <w:name w:val="l5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paragraph" w:styleId="Zkladntextodsazen">
    <w:name w:val="Body Text Indent"/>
    <w:basedOn w:val="Normln"/>
    <w:uiPriority w:val="99"/>
    <w:unhideWhenUsed/>
    <w:pPr>
      <w:spacing w:after="120"/>
      <w:ind w:left="283"/>
      <w:jc w:val="left"/>
    </w:pPr>
    <w:rPr>
      <w:rFonts w:ascii="Calibri" w:eastAsia="Times New Roman" w:hAnsi="Calibri" w:cs="Times New Roman"/>
      <w:szCs w:val="21"/>
    </w:rPr>
  </w:style>
  <w:style w:type="character" w:customStyle="1" w:styleId="ZkladntextodsazenChar">
    <w:name w:val="Základní text odsazený Char"/>
    <w:basedOn w:val="Standardnpsmoodstavce"/>
    <w:uiPriority w:val="99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basedOn w:val="Standardnpsmoodstavce"/>
    <w:rPr>
      <w:sz w:val="24"/>
    </w:rPr>
  </w:style>
  <w:style w:type="paragraph" w:customStyle="1" w:styleId="Textpsmene">
    <w:name w:val="Text písmene"/>
    <w:basedOn w:val="Normln"/>
    <w:pPr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stavceChar">
    <w:name w:val="Text odstavce Char"/>
    <w:basedOn w:val="Standardnpsmoodstavce"/>
    <w:link w:val="Textodstavce"/>
    <w:rPr>
      <w:sz w:val="24"/>
    </w:rPr>
  </w:style>
  <w:style w:type="paragraph" w:customStyle="1" w:styleId="Textodstavce">
    <w:name w:val="Text odstavce"/>
    <w:basedOn w:val="Normln"/>
    <w:link w:val="TextodstavceChar"/>
    <w:p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4">
    <w:name w:val="l4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br">
    <w:name w:val="nobr"/>
    <w:basedOn w:val="Standardnpsmoodstavce"/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Odrky2">
    <w:name w:val="Odrážky 2"/>
    <w:basedOn w:val="Normln"/>
    <w:pPr>
      <w:numPr>
        <w:numId w:val="31"/>
      </w:numPr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mcntmsonormal1">
    <w:name w:val="mcntmsonormal1"/>
    <w:basedOn w:val="Normln"/>
    <w:pPr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1">
    <w:name w:val="mcntmsolistparagraph1"/>
    <w:basedOn w:val="Normln"/>
    <w:pPr>
      <w:ind w:left="720"/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mcntmsolistparagraph2">
    <w:name w:val="mcntmsolistparagraph2"/>
    <w:basedOn w:val="Normln"/>
    <w:pPr>
      <w:ind w:left="720"/>
      <w:jc w:val="left"/>
    </w:pPr>
    <w:rPr>
      <w:rFonts w:ascii="Calibri" w:eastAsiaTheme="minorHAnsi" w:hAnsi="Calibri" w:cs="Calibri"/>
      <w:szCs w:val="22"/>
      <w:lang w:eastAsia="cs-CZ"/>
    </w:rPr>
  </w:style>
  <w:style w:type="paragraph" w:customStyle="1" w:styleId="Nadp3">
    <w:name w:val="Nadp 3"/>
    <w:basedOn w:val="Nadpis2"/>
    <w:link w:val="Nadp3Char"/>
    <w:qFormat/>
    <w:pPr>
      <w:keepLines/>
      <w:spacing w:before="120" w:after="60"/>
      <w:ind w:left="720" w:hanging="720"/>
      <w:contextualSpacing/>
      <w:jc w:val="left"/>
    </w:pPr>
    <w:rPr>
      <w:b/>
      <w:i w:val="0"/>
      <w:szCs w:val="22"/>
    </w:rPr>
  </w:style>
  <w:style w:type="character" w:customStyle="1" w:styleId="Nadp3Char">
    <w:name w:val="Nadp 3 Char"/>
    <w:basedOn w:val="Nadpis2Char"/>
    <w:link w:val="Nadp3"/>
    <w:rPr>
      <w:rFonts w:ascii="Arial" w:eastAsia="Arial" w:hAnsi="Arial" w:cs="Arial"/>
      <w:b/>
      <w:i w:val="0"/>
      <w:sz w:val="22"/>
      <w:szCs w:val="22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Novelizanbod">
    <w:name w:val="Novelizační bod"/>
    <w:basedOn w:val="Normln"/>
    <w:next w:val="Normln"/>
    <w:pPr>
      <w:keepNext/>
      <w:keepLines/>
      <w:tabs>
        <w:tab w:val="num" w:pos="567"/>
        <w:tab w:val="left" w:pos="851"/>
      </w:tabs>
      <w:spacing w:before="480" w:after="120"/>
      <w:ind w:left="567" w:hanging="567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Textpozmn">
    <w:name w:val="Text pozm.n."/>
    <w:basedOn w:val="Normln"/>
    <w:next w:val="Normln"/>
    <w:pPr>
      <w:numPr>
        <w:numId w:val="11"/>
      </w:numPr>
      <w:tabs>
        <w:tab w:val="left" w:pos="851"/>
      </w:tabs>
      <w:spacing w:after="120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Odstavecseseznamem1">
    <w:name w:val="Odstavec se seznamem1"/>
    <w:basedOn w:val="Normln"/>
    <w:pPr>
      <w:ind w:left="720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msonormal0">
    <w:name w:val="msonormal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p">
    <w:name w:val="p"/>
    <w:basedOn w:val="Normln"/>
    <w:pPr>
      <w:ind w:left="45" w:right="45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bc">
    <w:name w:val="sbc"/>
    <w:basedOn w:val="Normln"/>
    <w:pPr>
      <w:autoSpaceDE w:val="0"/>
      <w:autoSpaceDN w:val="0"/>
      <w:ind w:left="567" w:right="567"/>
      <w:jc w:val="center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nsstitul">
    <w:name w:val="nsstitul"/>
    <w:basedOn w:val="Normln"/>
    <w:pPr>
      <w:shd w:val="clear" w:color="auto" w:fill="C0C0C0"/>
      <w:spacing w:before="200" w:after="400"/>
      <w:jc w:val="left"/>
    </w:pPr>
    <w:rPr>
      <w:rFonts w:ascii="Verdana" w:eastAsia="Times New Roman" w:hAnsi="Verdana" w:cs="Times New Roman"/>
      <w:b/>
      <w:bCs/>
      <w:sz w:val="36"/>
      <w:szCs w:val="36"/>
      <w:lang w:eastAsia="cs-CZ"/>
    </w:rPr>
  </w:style>
  <w:style w:type="paragraph" w:customStyle="1" w:styleId="nssrocnik">
    <w:name w:val="nssrocnik"/>
    <w:basedOn w:val="Normln"/>
    <w:pPr>
      <w:shd w:val="clear" w:color="auto" w:fill="C0C0C0"/>
      <w:spacing w:before="200" w:after="400"/>
      <w:jc w:val="left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nssref">
    <w:name w:val="nssref"/>
    <w:basedOn w:val="Normln"/>
    <w:pPr>
      <w:jc w:val="center"/>
    </w:pPr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jpv">
    <w:name w:val="jpv"/>
    <w:basedOn w:val="Normln"/>
    <w:pPr>
      <w:spacing w:after="60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lvln">
    <w:name w:val="lvln"/>
    <w:basedOn w:val="Standardnpsmoodstavce"/>
    <w:rPr>
      <w:rFonts w:ascii="Verdana" w:hAnsi="Verdana" w:hint="default"/>
      <w:b/>
      <w:bCs/>
      <w:sz w:val="18"/>
      <w:szCs w:val="18"/>
    </w:rPr>
  </w:style>
  <w:style w:type="character" w:customStyle="1" w:styleId="lvl0">
    <w:name w:val="lvl0"/>
    <w:basedOn w:val="Standardnpsmoodstavce"/>
    <w:rPr>
      <w:rFonts w:ascii="Verdana" w:hAnsi="Verdana" w:hint="default"/>
      <w:b/>
      <w:bCs/>
      <w:sz w:val="16"/>
      <w:szCs w:val="16"/>
    </w:rPr>
  </w:style>
  <w:style w:type="character" w:customStyle="1" w:styleId="lvl1">
    <w:name w:val="lvl1"/>
    <w:basedOn w:val="Standardnpsmoodstavce"/>
    <w:rPr>
      <w:rFonts w:ascii="Verdana" w:hAnsi="Verdana" w:hint="default"/>
      <w:b/>
      <w:bCs/>
      <w:caps/>
      <w:sz w:val="16"/>
      <w:szCs w:val="16"/>
    </w:rPr>
  </w:style>
  <w:style w:type="character" w:customStyle="1" w:styleId="lvl2">
    <w:name w:val="lvl2"/>
    <w:basedOn w:val="Standardnpsmoodstavce"/>
    <w:rPr>
      <w:rFonts w:ascii="Verdana" w:hAnsi="Verdana" w:hint="default"/>
      <w:b/>
      <w:bCs/>
      <w:caps/>
      <w:sz w:val="16"/>
      <w:szCs w:val="16"/>
    </w:rPr>
  </w:style>
  <w:style w:type="character" w:customStyle="1" w:styleId="lvl3">
    <w:name w:val="lvl3"/>
    <w:basedOn w:val="Standardnpsmoodstavce"/>
    <w:rPr>
      <w:rFonts w:ascii="Verdana" w:hAnsi="Verdana" w:hint="default"/>
      <w:b w:val="0"/>
      <w:bCs w:val="0"/>
      <w:sz w:val="16"/>
      <w:szCs w:val="16"/>
    </w:rPr>
  </w:style>
  <w:style w:type="character" w:customStyle="1" w:styleId="lvl4">
    <w:name w:val="lvl4"/>
    <w:basedOn w:val="Standardnpsmoodstavce"/>
    <w:rPr>
      <w:rFonts w:ascii="Verdana" w:hAnsi="Verdana" w:hint="default"/>
      <w:b w:val="0"/>
      <w:bCs w:val="0"/>
      <w:i/>
      <w:iCs/>
      <w:sz w:val="16"/>
      <w:szCs w:val="16"/>
    </w:rPr>
  </w:style>
  <w:style w:type="character" w:customStyle="1" w:styleId="lvl5">
    <w:name w:val="lvl5"/>
    <w:basedOn w:val="Standardnpsmoodstavce"/>
    <w:rPr>
      <w:rFonts w:ascii="Verdana" w:hAnsi="Verdana" w:hint="default"/>
      <w:b w:val="0"/>
      <w:bCs w:val="0"/>
      <w:sz w:val="16"/>
      <w:szCs w:val="16"/>
    </w:rPr>
  </w:style>
  <w:style w:type="character" w:customStyle="1" w:styleId="lvlp">
    <w:name w:val="lvlp"/>
    <w:basedOn w:val="Standardnpsmoodstavce"/>
    <w:rPr>
      <w:rFonts w:ascii="Verdana" w:hAnsi="Verdana" w:hint="default"/>
      <w:b/>
      <w:bCs/>
      <w:sz w:val="16"/>
      <w:szCs w:val="16"/>
    </w:rPr>
  </w:style>
  <w:style w:type="character" w:customStyle="1" w:styleId="lvlh">
    <w:name w:val="lvlh"/>
    <w:basedOn w:val="Standardnpsmoodstavce"/>
    <w:rPr>
      <w:rFonts w:ascii="Verdana" w:hAnsi="Verdana" w:hint="default"/>
      <w:b w:val="0"/>
      <w:bCs w:val="0"/>
      <w:sz w:val="16"/>
      <w:szCs w:val="16"/>
    </w:rPr>
  </w:style>
  <w:style w:type="character" w:customStyle="1" w:styleId="lvlx">
    <w:name w:val="lvlx"/>
    <w:basedOn w:val="Standardnpsmoodstavce"/>
    <w:rPr>
      <w:rFonts w:ascii="Verdana" w:hAnsi="Verdana" w:hint="default"/>
      <w:b w:val="0"/>
      <w:bCs w:val="0"/>
      <w:sz w:val="16"/>
      <w:szCs w:val="16"/>
    </w:rPr>
  </w:style>
  <w:style w:type="character" w:customStyle="1" w:styleId="chng">
    <w:name w:val="chng"/>
    <w:basedOn w:val="Standardnpsmoodstavce"/>
    <w:rPr>
      <w:b w:val="0"/>
      <w:bCs w:val="0"/>
      <w:color w:val="FF0000"/>
      <w:sz w:val="18"/>
      <w:szCs w:val="18"/>
    </w:rPr>
  </w:style>
  <w:style w:type="character" w:customStyle="1" w:styleId="chngfut">
    <w:name w:val="chng_fut"/>
    <w:basedOn w:val="Standardnpsmoodstavce"/>
    <w:rPr>
      <w:b w:val="0"/>
      <w:bCs w:val="0"/>
      <w:color w:val="008000"/>
      <w:sz w:val="18"/>
      <w:szCs w:val="18"/>
    </w:rPr>
  </w:style>
  <w:style w:type="character" w:customStyle="1" w:styleId="fthit">
    <w:name w:val="fthit"/>
    <w:basedOn w:val="Standardnpsmoodstavce"/>
    <w:rPr>
      <w:b w:val="0"/>
      <w:bCs w:val="0"/>
      <w:color w:val="FFFF00"/>
      <w:sz w:val="18"/>
      <w:szCs w:val="18"/>
    </w:rPr>
  </w:style>
  <w:style w:type="character" w:customStyle="1" w:styleId="p1name">
    <w:name w:val="p1name"/>
    <w:basedOn w:val="Standardnpsmoodstavce"/>
  </w:style>
  <w:style w:type="character" w:customStyle="1" w:styleId="pnname">
    <w:name w:val="pnname"/>
    <w:basedOn w:val="Standardnpsmoodstavce"/>
  </w:style>
  <w:style w:type="character" w:customStyle="1" w:styleId="ftnname">
    <w:name w:val="ftnname"/>
    <w:basedOn w:val="Standardnpsmoodstavce"/>
  </w:style>
  <w:style w:type="character" w:customStyle="1" w:styleId="jvecname">
    <w:name w:val="jvecname"/>
    <w:basedOn w:val="Standardnpsmoodstavce"/>
    <w:rPr>
      <w:b/>
      <w:bCs/>
    </w:rPr>
  </w:style>
  <w:style w:type="numbering" w:customStyle="1" w:styleId="Bezseznamu2">
    <w:name w:val="Bez seznamu2"/>
    <w:next w:val="Bezseznamu"/>
    <w:uiPriority w:val="99"/>
    <w:semiHidden/>
    <w:unhideWhenUsed/>
  </w:style>
  <w:style w:type="paragraph" w:customStyle="1" w:styleId="lnek">
    <w:name w:val="Článek"/>
    <w:basedOn w:val="Normln"/>
    <w:next w:val="Textodstavce"/>
    <w:pPr>
      <w:keepNext/>
      <w:keepLines/>
      <w:spacing w:before="240"/>
      <w:jc w:val="center"/>
      <w:outlineLvl w:val="5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vrh">
    <w:name w:val="Návrh"/>
    <w:basedOn w:val="Normln"/>
    <w:next w:val="Normln"/>
    <w:pPr>
      <w:keepNext/>
      <w:keepLines/>
      <w:spacing w:after="240"/>
      <w:jc w:val="center"/>
      <w:outlineLvl w:val="0"/>
    </w:pPr>
    <w:rPr>
      <w:rFonts w:ascii="Times New Roman" w:eastAsia="Times New Roman" w:hAnsi="Times New Roman" w:cs="Times New Roman"/>
      <w:spacing w:val="40"/>
      <w:sz w:val="24"/>
      <w:szCs w:val="20"/>
      <w:lang w:eastAsia="cs-CZ"/>
    </w:rPr>
  </w:style>
  <w:style w:type="paragraph" w:customStyle="1" w:styleId="p2">
    <w:name w:val="p2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center">
    <w:name w:val="center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left-ind">
    <w:name w:val="left-ind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upd">
    <w:name w:val="upd"/>
    <w:basedOn w:val="Standardnpsmoodstavce"/>
  </w:style>
  <w:style w:type="paragraph" w:customStyle="1" w:styleId="empty-p">
    <w:name w:val="empty-p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left">
    <w:name w:val="left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right">
    <w:name w:val="right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NDREJ.SILHACEK@MZE.CZ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MICHAELA.BUDNAKOVA@MZ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4480</Words>
  <Characters>26433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Hynková Dana</cp:lastModifiedBy>
  <cp:revision>2</cp:revision>
  <cp:lastPrinted>2021-09-08T13:52:00Z</cp:lastPrinted>
  <dcterms:created xsi:type="dcterms:W3CDTF">2021-09-22T07:23:00Z</dcterms:created>
  <dcterms:modified xsi:type="dcterms:W3CDTF">2021-09-22T07:23:00Z</dcterms:modified>
</cp:coreProperties>
</file>