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245"/>
        <w:gridCol w:w="3817"/>
        <w:gridCol w:w="714"/>
      </w:tblGrid>
      <w:tr w:rsidR="00994304" w:rsidRPr="009E523D" w14:paraId="197E69AF" w14:textId="77777777" w:rsidTr="00864AF1">
        <w:trPr>
          <w:gridAfter w:val="1"/>
          <w:wAfter w:w="714" w:type="dxa"/>
        </w:trPr>
        <w:tc>
          <w:tcPr>
            <w:tcW w:w="9062" w:type="dxa"/>
            <w:gridSpan w:val="2"/>
          </w:tcPr>
          <w:p w14:paraId="60864127" w14:textId="45A5613B" w:rsidR="00994304" w:rsidRPr="009E523D" w:rsidRDefault="009E523D" w:rsidP="009E52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6844">
              <w:rPr>
                <w:rFonts w:ascii="Times New Roman" w:hAnsi="Times New Roman" w:cs="Times New Roman"/>
                <w:b/>
                <w:bCs/>
              </w:rPr>
              <w:t xml:space="preserve">DODATEK Č. </w:t>
            </w:r>
            <w:r w:rsidR="00F274CC">
              <w:rPr>
                <w:rFonts w:ascii="Times New Roman" w:hAnsi="Times New Roman" w:cs="Times New Roman"/>
                <w:b/>
                <w:bCs/>
              </w:rPr>
              <w:t>2</w:t>
            </w:r>
            <w:r w:rsidRPr="008E6844">
              <w:rPr>
                <w:rFonts w:ascii="Times New Roman" w:hAnsi="Times New Roman" w:cs="Times New Roman"/>
                <w:b/>
                <w:bCs/>
              </w:rPr>
              <w:t xml:space="preserve"> K LICENČNÍ SMLOUVĚ ZE DNE 14. 2. 2020</w:t>
            </w:r>
          </w:p>
        </w:tc>
      </w:tr>
      <w:tr w:rsidR="00666E7D" w:rsidRPr="00994304" w14:paraId="76864918" w14:textId="77777777" w:rsidTr="00864AF1">
        <w:trPr>
          <w:gridAfter w:val="1"/>
          <w:wAfter w:w="714" w:type="dxa"/>
        </w:trPr>
        <w:tc>
          <w:tcPr>
            <w:tcW w:w="9062" w:type="dxa"/>
            <w:gridSpan w:val="2"/>
          </w:tcPr>
          <w:p w14:paraId="74839209" w14:textId="5AF09BD0" w:rsidR="00666E7D" w:rsidRPr="00666E7D" w:rsidRDefault="00666E7D" w:rsidP="009E5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(dále jen „</w:t>
            </w:r>
            <w:r>
              <w:rPr>
                <w:rFonts w:ascii="Times New Roman" w:hAnsi="Times New Roman" w:cs="Times New Roman"/>
                <w:b/>
                <w:bCs/>
              </w:rPr>
              <w:t>Dodatek</w:t>
            </w:r>
            <w:r>
              <w:rPr>
                <w:rFonts w:ascii="Times New Roman" w:hAnsi="Times New Roman" w:cs="Times New Roman"/>
              </w:rPr>
              <w:t>“)</w:t>
            </w:r>
          </w:p>
        </w:tc>
      </w:tr>
      <w:tr w:rsidR="00666E7D" w:rsidRPr="00994304" w14:paraId="6FE14A17" w14:textId="77777777" w:rsidTr="00864AF1">
        <w:trPr>
          <w:gridAfter w:val="1"/>
          <w:wAfter w:w="714" w:type="dxa"/>
        </w:trPr>
        <w:tc>
          <w:tcPr>
            <w:tcW w:w="9062" w:type="dxa"/>
            <w:gridSpan w:val="2"/>
          </w:tcPr>
          <w:p w14:paraId="32B1F3C3" w14:textId="77777777" w:rsidR="00666E7D" w:rsidRDefault="00666E7D" w:rsidP="009E5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304" w:rsidRPr="00994304" w14:paraId="70BE5084" w14:textId="77777777" w:rsidTr="00864AF1">
        <w:trPr>
          <w:gridAfter w:val="1"/>
          <w:wAfter w:w="714" w:type="dxa"/>
        </w:trPr>
        <w:tc>
          <w:tcPr>
            <w:tcW w:w="9062" w:type="dxa"/>
            <w:gridSpan w:val="2"/>
          </w:tcPr>
          <w:p w14:paraId="21A9235C" w14:textId="2DC13F55" w:rsidR="00994304" w:rsidRPr="00994304" w:rsidRDefault="009E523D" w:rsidP="009E5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uzavřený níže uvedeného dne</w:t>
            </w:r>
            <w:r w:rsidR="008E684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měsíce a roku </w:t>
            </w:r>
          </w:p>
        </w:tc>
      </w:tr>
      <w:tr w:rsidR="00994304" w:rsidRPr="00994304" w14:paraId="0B281CB2" w14:textId="77777777" w:rsidTr="00864AF1">
        <w:trPr>
          <w:gridAfter w:val="1"/>
          <w:wAfter w:w="714" w:type="dxa"/>
        </w:trPr>
        <w:tc>
          <w:tcPr>
            <w:tcW w:w="9062" w:type="dxa"/>
            <w:gridSpan w:val="2"/>
          </w:tcPr>
          <w:p w14:paraId="5023DED3" w14:textId="77777777" w:rsidR="00994304" w:rsidRPr="00994304" w:rsidRDefault="00994304">
            <w:pPr>
              <w:rPr>
                <w:rFonts w:ascii="Times New Roman" w:hAnsi="Times New Roman" w:cs="Times New Roman"/>
              </w:rPr>
            </w:pPr>
          </w:p>
        </w:tc>
      </w:tr>
      <w:tr w:rsidR="00994304" w:rsidRPr="00994304" w14:paraId="163F966E" w14:textId="77777777" w:rsidTr="00864AF1">
        <w:trPr>
          <w:gridAfter w:val="1"/>
          <w:wAfter w:w="714" w:type="dxa"/>
        </w:trPr>
        <w:tc>
          <w:tcPr>
            <w:tcW w:w="9062" w:type="dxa"/>
            <w:gridSpan w:val="2"/>
          </w:tcPr>
          <w:p w14:paraId="1CE19C8D" w14:textId="6F0B506C" w:rsidR="00994304" w:rsidRPr="00994304" w:rsidRDefault="009E523D" w:rsidP="009E5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mezi následujícímu smluvními stranami</w:t>
            </w:r>
          </w:p>
        </w:tc>
      </w:tr>
      <w:tr w:rsidR="00994304" w:rsidRPr="00994304" w14:paraId="2005B4B6" w14:textId="77777777" w:rsidTr="00864AF1">
        <w:trPr>
          <w:gridAfter w:val="1"/>
          <w:wAfter w:w="714" w:type="dxa"/>
        </w:trPr>
        <w:tc>
          <w:tcPr>
            <w:tcW w:w="9062" w:type="dxa"/>
            <w:gridSpan w:val="2"/>
          </w:tcPr>
          <w:p w14:paraId="207ABF32" w14:textId="77777777" w:rsidR="00994304" w:rsidRPr="00994304" w:rsidRDefault="00994304">
            <w:pPr>
              <w:rPr>
                <w:rFonts w:ascii="Times New Roman" w:hAnsi="Times New Roman" w:cs="Times New Roman"/>
              </w:rPr>
            </w:pPr>
          </w:p>
        </w:tc>
      </w:tr>
      <w:tr w:rsidR="009E523D" w:rsidRPr="00994304" w14:paraId="57A0E000" w14:textId="77777777" w:rsidTr="00864AF1">
        <w:trPr>
          <w:gridAfter w:val="1"/>
          <w:wAfter w:w="714" w:type="dxa"/>
        </w:trPr>
        <w:tc>
          <w:tcPr>
            <w:tcW w:w="9062" w:type="dxa"/>
            <w:gridSpan w:val="2"/>
          </w:tcPr>
          <w:p w14:paraId="4C275BA2" w14:textId="595D6D63" w:rsidR="009E523D" w:rsidRPr="009E523D" w:rsidRDefault="009E523D">
            <w:pPr>
              <w:rPr>
                <w:rFonts w:ascii="Times New Roman" w:hAnsi="Times New Roman" w:cs="Times New Roman"/>
                <w:b/>
                <w:bCs/>
              </w:rPr>
            </w:pPr>
            <w:r w:rsidRPr="009E523D">
              <w:rPr>
                <w:rFonts w:ascii="Times New Roman" w:hAnsi="Times New Roman" w:cs="Times New Roman"/>
                <w:b/>
                <w:bCs/>
              </w:rPr>
              <w:t>Ústav makromolekulární chemie AV</w:t>
            </w:r>
            <w:r w:rsidR="002C4155">
              <w:rPr>
                <w:rFonts w:ascii="Times New Roman" w:hAnsi="Times New Roman" w:cs="Times New Roman"/>
                <w:b/>
                <w:bCs/>
              </w:rPr>
              <w:t xml:space="preserve"> Č</w:t>
            </w:r>
            <w:r w:rsidRPr="009E523D">
              <w:rPr>
                <w:rFonts w:ascii="Times New Roman" w:hAnsi="Times New Roman" w:cs="Times New Roman"/>
                <w:b/>
                <w:bCs/>
              </w:rPr>
              <w:t xml:space="preserve">R, </w:t>
            </w:r>
            <w:proofErr w:type="spellStart"/>
            <w:r w:rsidRPr="009E523D">
              <w:rPr>
                <w:rFonts w:ascii="Times New Roman" w:hAnsi="Times New Roman" w:cs="Times New Roman"/>
                <w:b/>
                <w:bCs/>
              </w:rPr>
              <w:t>v.v.i</w:t>
            </w:r>
            <w:proofErr w:type="spellEnd"/>
            <w:r w:rsidRPr="009E523D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399B95C9" w14:textId="77777777" w:rsidR="009E523D" w:rsidRDefault="009E5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sídlem Heyrovského nám. 2, 162 06 Praha 6</w:t>
            </w:r>
          </w:p>
          <w:p w14:paraId="07257F14" w14:textId="6B1DB18C" w:rsidR="009E523D" w:rsidRDefault="009E5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zastoupený </w:t>
            </w:r>
            <w:r w:rsidR="003E5716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>Ing. Jiřím Kotkem,</w:t>
            </w:r>
            <w:r w:rsidR="003E57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ředitelem</w:t>
            </w:r>
          </w:p>
          <w:p w14:paraId="46D61AAE" w14:textId="77777777" w:rsidR="009E523D" w:rsidRDefault="009E5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zapsaný v rejstříku vědeckých výzkumných institucích vedeném Ministerstvem školství, mládeže a tělovýchovy</w:t>
            </w:r>
          </w:p>
          <w:p w14:paraId="7E75BEC3" w14:textId="37D577D8" w:rsidR="009E523D" w:rsidRDefault="009E5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IČO: 613 89 013</w:t>
            </w:r>
          </w:p>
          <w:p w14:paraId="27BEA3DB" w14:textId="2DE88BEA" w:rsidR="009E523D" w:rsidRPr="00994304" w:rsidRDefault="009E5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 CZ61389013</w:t>
            </w:r>
          </w:p>
        </w:tc>
      </w:tr>
      <w:tr w:rsidR="009E523D" w:rsidRPr="00994304" w14:paraId="2F273872" w14:textId="77777777" w:rsidTr="00864AF1">
        <w:trPr>
          <w:gridAfter w:val="1"/>
          <w:wAfter w:w="714" w:type="dxa"/>
        </w:trPr>
        <w:tc>
          <w:tcPr>
            <w:tcW w:w="9062" w:type="dxa"/>
            <w:gridSpan w:val="2"/>
          </w:tcPr>
          <w:p w14:paraId="36DF4A03" w14:textId="1BCC2365" w:rsidR="009E523D" w:rsidRPr="009E523D" w:rsidRDefault="009E5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(dále jen „</w:t>
            </w:r>
            <w:r>
              <w:rPr>
                <w:rFonts w:ascii="Times New Roman" w:hAnsi="Times New Roman" w:cs="Times New Roman"/>
                <w:b/>
                <w:bCs/>
              </w:rPr>
              <w:t>Poskytovatel licence</w:t>
            </w:r>
            <w:r>
              <w:rPr>
                <w:rFonts w:ascii="Times New Roman" w:hAnsi="Times New Roman" w:cs="Times New Roman"/>
              </w:rPr>
              <w:t>“)</w:t>
            </w:r>
          </w:p>
        </w:tc>
      </w:tr>
      <w:tr w:rsidR="009E523D" w:rsidRPr="00994304" w14:paraId="0CA77DCA" w14:textId="77777777" w:rsidTr="00864AF1">
        <w:trPr>
          <w:gridAfter w:val="1"/>
          <w:wAfter w:w="714" w:type="dxa"/>
        </w:trPr>
        <w:tc>
          <w:tcPr>
            <w:tcW w:w="9062" w:type="dxa"/>
            <w:gridSpan w:val="2"/>
          </w:tcPr>
          <w:p w14:paraId="1A4964AA" w14:textId="77777777" w:rsidR="009E523D" w:rsidRPr="00994304" w:rsidRDefault="009E523D">
            <w:pPr>
              <w:rPr>
                <w:rFonts w:ascii="Times New Roman" w:hAnsi="Times New Roman" w:cs="Times New Roman"/>
              </w:rPr>
            </w:pPr>
          </w:p>
        </w:tc>
      </w:tr>
      <w:tr w:rsidR="009E523D" w:rsidRPr="00994304" w14:paraId="24EDD345" w14:textId="77777777" w:rsidTr="00864AF1">
        <w:trPr>
          <w:gridAfter w:val="1"/>
          <w:wAfter w:w="714" w:type="dxa"/>
        </w:trPr>
        <w:tc>
          <w:tcPr>
            <w:tcW w:w="9062" w:type="dxa"/>
            <w:gridSpan w:val="2"/>
          </w:tcPr>
          <w:p w14:paraId="6C3E1663" w14:textId="52CEC8EB" w:rsidR="009E523D" w:rsidRPr="00994304" w:rsidRDefault="009E523D" w:rsidP="009E5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9E523D" w:rsidRPr="00994304" w14:paraId="15ABB470" w14:textId="77777777" w:rsidTr="00864AF1">
        <w:trPr>
          <w:gridAfter w:val="1"/>
          <w:wAfter w:w="714" w:type="dxa"/>
        </w:trPr>
        <w:tc>
          <w:tcPr>
            <w:tcW w:w="9062" w:type="dxa"/>
            <w:gridSpan w:val="2"/>
          </w:tcPr>
          <w:p w14:paraId="4C027768" w14:textId="77777777" w:rsidR="009E523D" w:rsidRPr="00994304" w:rsidRDefault="009E523D">
            <w:pPr>
              <w:rPr>
                <w:rFonts w:ascii="Times New Roman" w:hAnsi="Times New Roman" w:cs="Times New Roman"/>
              </w:rPr>
            </w:pPr>
          </w:p>
        </w:tc>
      </w:tr>
      <w:tr w:rsidR="009E523D" w:rsidRPr="00994304" w14:paraId="78F1445F" w14:textId="77777777" w:rsidTr="00864AF1">
        <w:trPr>
          <w:gridAfter w:val="1"/>
          <w:wAfter w:w="714" w:type="dxa"/>
        </w:trPr>
        <w:tc>
          <w:tcPr>
            <w:tcW w:w="9062" w:type="dxa"/>
            <w:gridSpan w:val="2"/>
          </w:tcPr>
          <w:p w14:paraId="39E7A1F3" w14:textId="77777777" w:rsidR="009E523D" w:rsidRPr="009E523D" w:rsidRDefault="009E523D">
            <w:pPr>
              <w:rPr>
                <w:rFonts w:ascii="Times New Roman" w:hAnsi="Times New Roman" w:cs="Times New Roman"/>
                <w:b/>
                <w:bCs/>
              </w:rPr>
            </w:pPr>
            <w:r w:rsidRPr="009E523D">
              <w:rPr>
                <w:rFonts w:ascii="Times New Roman" w:hAnsi="Times New Roman" w:cs="Times New Roman"/>
                <w:b/>
                <w:bCs/>
              </w:rPr>
              <w:t xml:space="preserve">VH </w:t>
            </w:r>
            <w:proofErr w:type="spellStart"/>
            <w:r w:rsidRPr="009E523D">
              <w:rPr>
                <w:rFonts w:ascii="Times New Roman" w:hAnsi="Times New Roman" w:cs="Times New Roman"/>
                <w:b/>
                <w:bCs/>
              </w:rPr>
              <w:t>Pharma</w:t>
            </w:r>
            <w:proofErr w:type="spellEnd"/>
            <w:r w:rsidRPr="009E523D">
              <w:rPr>
                <w:rFonts w:ascii="Times New Roman" w:hAnsi="Times New Roman" w:cs="Times New Roman"/>
                <w:b/>
                <w:bCs/>
              </w:rPr>
              <w:t xml:space="preserve"> a.s.</w:t>
            </w:r>
          </w:p>
          <w:p w14:paraId="27C69504" w14:textId="77777777" w:rsidR="009E523D" w:rsidRDefault="009E5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 sídlem </w:t>
            </w:r>
            <w:r w:rsidRPr="009E523D">
              <w:rPr>
                <w:rFonts w:ascii="Times New Roman" w:hAnsi="Times New Roman" w:cs="Times New Roman"/>
              </w:rPr>
              <w:t>Jakubská 647/2, Staré Město, 110 00 Praha 1</w:t>
            </w:r>
          </w:p>
          <w:p w14:paraId="71D61888" w14:textId="543A7B3F" w:rsidR="009E523D" w:rsidRDefault="009E523D" w:rsidP="009E523D">
            <w:pPr>
              <w:tabs>
                <w:tab w:val="right" w:pos="884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zapsaná v obchodním rejstř</w:t>
            </w:r>
            <w:r w:rsidR="002C6678">
              <w:rPr>
                <w:rFonts w:ascii="Times New Roman" w:hAnsi="Times New Roman" w:cs="Times New Roman"/>
              </w:rPr>
              <w:t>í</w:t>
            </w:r>
            <w:r>
              <w:rPr>
                <w:rFonts w:ascii="Times New Roman" w:hAnsi="Times New Roman" w:cs="Times New Roman"/>
              </w:rPr>
              <w:t xml:space="preserve">ku vedeném Městským soudem v Praze pod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. zn. </w:t>
            </w:r>
            <w:r w:rsidRPr="009E523D">
              <w:rPr>
                <w:rFonts w:ascii="Times New Roman" w:hAnsi="Times New Roman" w:cs="Times New Roman"/>
              </w:rPr>
              <w:t>B 17224</w:t>
            </w:r>
          </w:p>
          <w:p w14:paraId="7D45A7A7" w14:textId="39F338D1" w:rsidR="009E523D" w:rsidRDefault="009E523D" w:rsidP="009E523D">
            <w:pPr>
              <w:tabs>
                <w:tab w:val="right" w:pos="884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zastoupená</w:t>
            </w:r>
            <w:r w:rsidR="00EC18F1">
              <w:rPr>
                <w:rFonts w:ascii="Times New Roman" w:hAnsi="Times New Roman" w:cs="Times New Roman"/>
              </w:rPr>
              <w:t xml:space="preserve"> Ing.</w:t>
            </w:r>
            <w:r>
              <w:rPr>
                <w:rFonts w:ascii="Times New Roman" w:hAnsi="Times New Roman" w:cs="Times New Roman"/>
              </w:rPr>
              <w:t xml:space="preserve"> Bohumilem Hánou, </w:t>
            </w:r>
            <w:r w:rsidR="00EC18F1">
              <w:rPr>
                <w:rFonts w:ascii="Times New Roman" w:hAnsi="Times New Roman" w:cs="Times New Roman"/>
              </w:rPr>
              <w:t>předsedou představenstva</w:t>
            </w:r>
          </w:p>
          <w:p w14:paraId="4514FDD6" w14:textId="207ED794" w:rsidR="009E523D" w:rsidRDefault="009E523D" w:rsidP="009E523D">
            <w:pPr>
              <w:tabs>
                <w:tab w:val="right" w:pos="884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IČO: </w:t>
            </w:r>
            <w:r w:rsidRPr="009E523D">
              <w:rPr>
                <w:rFonts w:ascii="Times New Roman" w:hAnsi="Times New Roman" w:cs="Times New Roman"/>
              </w:rPr>
              <w:t>280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523D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523D">
              <w:rPr>
                <w:rFonts w:ascii="Times New Roman" w:hAnsi="Times New Roman" w:cs="Times New Roman"/>
              </w:rPr>
              <w:t>529</w:t>
            </w:r>
          </w:p>
          <w:p w14:paraId="3C829740" w14:textId="1D958B41" w:rsidR="009E523D" w:rsidRPr="00994304" w:rsidRDefault="009E523D" w:rsidP="009E523D">
            <w:pPr>
              <w:tabs>
                <w:tab w:val="right" w:pos="884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 CZ</w:t>
            </w:r>
            <w:r w:rsidRPr="009E523D">
              <w:rPr>
                <w:rFonts w:ascii="Times New Roman" w:hAnsi="Times New Roman" w:cs="Times New Roman"/>
              </w:rPr>
              <w:t>28089529</w:t>
            </w:r>
          </w:p>
        </w:tc>
      </w:tr>
      <w:tr w:rsidR="00994304" w:rsidRPr="00994304" w14:paraId="11085ED9" w14:textId="77777777" w:rsidTr="00864AF1">
        <w:trPr>
          <w:gridAfter w:val="1"/>
          <w:wAfter w:w="714" w:type="dxa"/>
        </w:trPr>
        <w:tc>
          <w:tcPr>
            <w:tcW w:w="9062" w:type="dxa"/>
            <w:gridSpan w:val="2"/>
          </w:tcPr>
          <w:p w14:paraId="15F271E7" w14:textId="2493B174" w:rsidR="009E523D" w:rsidRPr="009E523D" w:rsidRDefault="009E5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(dále jen „</w:t>
            </w:r>
            <w:r>
              <w:rPr>
                <w:rFonts w:ascii="Times New Roman" w:hAnsi="Times New Roman" w:cs="Times New Roman"/>
                <w:b/>
                <w:bCs/>
              </w:rPr>
              <w:t>Nabyvatel licence</w:t>
            </w:r>
            <w:r w:rsidRPr="009E523D">
              <w:rPr>
                <w:rFonts w:ascii="Times New Roman" w:hAnsi="Times New Roman" w:cs="Times New Roman"/>
              </w:rPr>
              <w:t>“)</w:t>
            </w:r>
          </w:p>
        </w:tc>
      </w:tr>
      <w:tr w:rsidR="00994304" w:rsidRPr="00994304" w14:paraId="5F18B684" w14:textId="77777777" w:rsidTr="00864AF1">
        <w:trPr>
          <w:gridAfter w:val="1"/>
          <w:wAfter w:w="714" w:type="dxa"/>
        </w:trPr>
        <w:tc>
          <w:tcPr>
            <w:tcW w:w="9062" w:type="dxa"/>
            <w:gridSpan w:val="2"/>
          </w:tcPr>
          <w:p w14:paraId="092B5997" w14:textId="77777777" w:rsidR="00994304" w:rsidRPr="00994304" w:rsidRDefault="00994304">
            <w:pPr>
              <w:rPr>
                <w:rFonts w:ascii="Times New Roman" w:hAnsi="Times New Roman" w:cs="Times New Roman"/>
              </w:rPr>
            </w:pPr>
          </w:p>
        </w:tc>
      </w:tr>
      <w:tr w:rsidR="009E523D" w:rsidRPr="00994304" w14:paraId="6CEE19D7" w14:textId="77777777" w:rsidTr="00864AF1">
        <w:trPr>
          <w:gridAfter w:val="1"/>
          <w:wAfter w:w="714" w:type="dxa"/>
        </w:trPr>
        <w:tc>
          <w:tcPr>
            <w:tcW w:w="9062" w:type="dxa"/>
            <w:gridSpan w:val="2"/>
          </w:tcPr>
          <w:p w14:paraId="05280FAD" w14:textId="48B95AB0" w:rsidR="009E523D" w:rsidRPr="009E523D" w:rsidRDefault="009E5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(Poskytovatel licence a Nabyvatel licence dále společně jen jako „</w:t>
            </w:r>
            <w:r>
              <w:rPr>
                <w:rFonts w:ascii="Times New Roman" w:hAnsi="Times New Roman" w:cs="Times New Roman"/>
                <w:b/>
                <w:bCs/>
              </w:rPr>
              <w:t>Strany</w:t>
            </w:r>
            <w:r>
              <w:rPr>
                <w:rFonts w:ascii="Times New Roman" w:hAnsi="Times New Roman" w:cs="Times New Roman"/>
              </w:rPr>
              <w:t>“ a jednotlivě jako „</w:t>
            </w:r>
            <w:r>
              <w:rPr>
                <w:rFonts w:ascii="Times New Roman" w:hAnsi="Times New Roman" w:cs="Times New Roman"/>
                <w:b/>
                <w:bCs/>
              </w:rPr>
              <w:t>Strana</w:t>
            </w:r>
            <w:r w:rsidRPr="009E523D">
              <w:rPr>
                <w:rFonts w:ascii="Times New Roman" w:hAnsi="Times New Roman" w:cs="Times New Roman"/>
              </w:rPr>
              <w:t>“)</w:t>
            </w:r>
          </w:p>
        </w:tc>
      </w:tr>
      <w:tr w:rsidR="009E523D" w:rsidRPr="00994304" w14:paraId="45E09C31" w14:textId="77777777" w:rsidTr="00864AF1">
        <w:trPr>
          <w:gridAfter w:val="1"/>
          <w:wAfter w:w="714" w:type="dxa"/>
        </w:trPr>
        <w:tc>
          <w:tcPr>
            <w:tcW w:w="9062" w:type="dxa"/>
            <w:gridSpan w:val="2"/>
          </w:tcPr>
          <w:p w14:paraId="4098ED9E" w14:textId="77777777" w:rsidR="009E523D" w:rsidRPr="00994304" w:rsidRDefault="009E523D">
            <w:pPr>
              <w:rPr>
                <w:rFonts w:ascii="Times New Roman" w:hAnsi="Times New Roman" w:cs="Times New Roman"/>
              </w:rPr>
            </w:pPr>
          </w:p>
        </w:tc>
      </w:tr>
      <w:tr w:rsidR="009E523D" w:rsidRPr="009E523D" w14:paraId="7C819433" w14:textId="77777777" w:rsidTr="00864AF1">
        <w:trPr>
          <w:gridAfter w:val="1"/>
          <w:wAfter w:w="714" w:type="dxa"/>
        </w:trPr>
        <w:tc>
          <w:tcPr>
            <w:tcW w:w="9062" w:type="dxa"/>
            <w:gridSpan w:val="2"/>
          </w:tcPr>
          <w:p w14:paraId="22CBC7BA" w14:textId="77777777" w:rsidR="00222DB1" w:rsidRDefault="00222DB1" w:rsidP="009E523D">
            <w:pPr>
              <w:jc w:val="center"/>
              <w:rPr>
                <w:rFonts w:ascii="Times New Roman" w:hAnsi="Times New Roman" w:cs="Times New Roman"/>
                <w:b/>
                <w:bCs/>
                <w:spacing w:val="28"/>
              </w:rPr>
            </w:pPr>
          </w:p>
          <w:p w14:paraId="4000508F" w14:textId="77777777" w:rsidR="00222DB1" w:rsidRDefault="00222DB1" w:rsidP="009E523D">
            <w:pPr>
              <w:jc w:val="center"/>
              <w:rPr>
                <w:rFonts w:ascii="Times New Roman" w:hAnsi="Times New Roman" w:cs="Times New Roman"/>
                <w:b/>
                <w:bCs/>
                <w:spacing w:val="28"/>
              </w:rPr>
            </w:pPr>
          </w:p>
          <w:p w14:paraId="39D0A289" w14:textId="77777777" w:rsidR="00222DB1" w:rsidRDefault="00222DB1" w:rsidP="009E523D">
            <w:pPr>
              <w:jc w:val="center"/>
              <w:rPr>
                <w:rFonts w:ascii="Times New Roman" w:hAnsi="Times New Roman" w:cs="Times New Roman"/>
                <w:b/>
                <w:bCs/>
                <w:spacing w:val="28"/>
              </w:rPr>
            </w:pPr>
          </w:p>
          <w:p w14:paraId="35A35AE1" w14:textId="77777777" w:rsidR="00222DB1" w:rsidRDefault="00222DB1" w:rsidP="009E523D">
            <w:pPr>
              <w:jc w:val="center"/>
              <w:rPr>
                <w:rFonts w:ascii="Times New Roman" w:hAnsi="Times New Roman" w:cs="Times New Roman"/>
                <w:b/>
                <w:bCs/>
                <w:spacing w:val="28"/>
              </w:rPr>
            </w:pPr>
          </w:p>
          <w:p w14:paraId="3F13EFC9" w14:textId="77777777" w:rsidR="00222DB1" w:rsidRDefault="00222DB1" w:rsidP="009E523D">
            <w:pPr>
              <w:jc w:val="center"/>
              <w:rPr>
                <w:rFonts w:ascii="Times New Roman" w:hAnsi="Times New Roman" w:cs="Times New Roman"/>
                <w:b/>
                <w:bCs/>
                <w:spacing w:val="28"/>
              </w:rPr>
            </w:pPr>
          </w:p>
          <w:p w14:paraId="69F2C5BF" w14:textId="77777777" w:rsidR="00222DB1" w:rsidRDefault="00222DB1" w:rsidP="009E523D">
            <w:pPr>
              <w:jc w:val="center"/>
              <w:rPr>
                <w:rFonts w:ascii="Times New Roman" w:hAnsi="Times New Roman" w:cs="Times New Roman"/>
                <w:b/>
                <w:bCs/>
                <w:spacing w:val="28"/>
              </w:rPr>
            </w:pPr>
          </w:p>
          <w:p w14:paraId="0AC1FB5D" w14:textId="77777777" w:rsidR="00222DB1" w:rsidRDefault="00222DB1" w:rsidP="009E523D">
            <w:pPr>
              <w:jc w:val="center"/>
              <w:rPr>
                <w:rFonts w:ascii="Times New Roman" w:hAnsi="Times New Roman" w:cs="Times New Roman"/>
                <w:b/>
                <w:bCs/>
                <w:spacing w:val="28"/>
              </w:rPr>
            </w:pPr>
          </w:p>
          <w:p w14:paraId="5359FF9E" w14:textId="77777777" w:rsidR="00222DB1" w:rsidRDefault="00222DB1" w:rsidP="009E523D">
            <w:pPr>
              <w:jc w:val="center"/>
              <w:rPr>
                <w:rFonts w:ascii="Times New Roman" w:hAnsi="Times New Roman" w:cs="Times New Roman"/>
                <w:b/>
                <w:bCs/>
                <w:spacing w:val="28"/>
              </w:rPr>
            </w:pPr>
          </w:p>
          <w:p w14:paraId="315A4E59" w14:textId="4ED4C36D" w:rsidR="009E523D" w:rsidRDefault="00F274CC" w:rsidP="009E523D">
            <w:pPr>
              <w:jc w:val="center"/>
              <w:rPr>
                <w:rFonts w:ascii="Times New Roman" w:hAnsi="Times New Roman" w:cs="Times New Roman"/>
                <w:b/>
                <w:bCs/>
                <w:spacing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28"/>
              </w:rPr>
              <w:t>I.</w:t>
            </w:r>
          </w:p>
          <w:p w14:paraId="7079C297" w14:textId="77777777" w:rsidR="00F274CC" w:rsidRDefault="00F274CC" w:rsidP="009E523D">
            <w:pPr>
              <w:jc w:val="center"/>
              <w:rPr>
                <w:rFonts w:ascii="Times New Roman" w:hAnsi="Times New Roman" w:cs="Times New Roman"/>
                <w:b/>
                <w:bCs/>
                <w:spacing w:val="28"/>
              </w:rPr>
            </w:pPr>
          </w:p>
          <w:p w14:paraId="289B49BD" w14:textId="70A827BC" w:rsidR="00F274CC" w:rsidRDefault="00F274CC" w:rsidP="00F274CC">
            <w:pPr>
              <w:jc w:val="both"/>
              <w:rPr>
                <w:rFonts w:ascii="Times New Roman" w:hAnsi="Times New Roman" w:cs="Times New Roman"/>
                <w:b/>
                <w:bCs/>
                <w:spacing w:val="28"/>
              </w:rPr>
            </w:pPr>
          </w:p>
          <w:p w14:paraId="149DAF97" w14:textId="72F1E0E5" w:rsidR="00F274CC" w:rsidRDefault="00F274CC" w:rsidP="00F274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28"/>
              </w:rPr>
              <w:t>Smluvní strany se dohodly, že</w:t>
            </w:r>
            <w:r w:rsidR="00C153E2">
              <w:rPr>
                <w:rFonts w:ascii="Times New Roman" w:hAnsi="Times New Roman" w:cs="Times New Roman"/>
                <w:b/>
                <w:bCs/>
                <w:spacing w:val="28"/>
              </w:rPr>
              <w:t xml:space="preserve"> bod </w:t>
            </w:r>
            <w:r w:rsidR="00222DB1">
              <w:rPr>
                <w:rFonts w:ascii="Times New Roman" w:hAnsi="Times New Roman" w:cs="Times New Roman"/>
                <w:b/>
                <w:bCs/>
                <w:spacing w:val="28"/>
              </w:rPr>
              <w:t>A.</w:t>
            </w:r>
            <w:r>
              <w:rPr>
                <w:rFonts w:ascii="Times New Roman" w:hAnsi="Times New Roman" w:cs="Times New Roman"/>
                <w:b/>
                <w:bCs/>
                <w:spacing w:val="28"/>
              </w:rPr>
              <w:t xml:space="preserve"> PREAMBULE Dodatku č. 1 ze dn</w:t>
            </w:r>
            <w:r w:rsidR="00C153E2">
              <w:rPr>
                <w:rFonts w:ascii="Times New Roman" w:hAnsi="Times New Roman" w:cs="Times New Roman"/>
                <w:b/>
                <w:bCs/>
                <w:spacing w:val="28"/>
              </w:rPr>
              <w:t xml:space="preserve">e 18. 8. 2021 </w:t>
            </w:r>
            <w:r>
              <w:rPr>
                <w:rFonts w:ascii="Times New Roman" w:hAnsi="Times New Roman" w:cs="Times New Roman"/>
                <w:b/>
                <w:bCs/>
                <w:spacing w:val="28"/>
              </w:rPr>
              <w:t>k výše uvedené smlouvě nově zní následně:</w:t>
            </w:r>
          </w:p>
          <w:p w14:paraId="57E80E83" w14:textId="66D055F1" w:rsidR="00F274CC" w:rsidRPr="00666E7D" w:rsidRDefault="00F274CC" w:rsidP="00F274CC">
            <w:pPr>
              <w:rPr>
                <w:rFonts w:ascii="Times New Roman" w:hAnsi="Times New Roman" w:cs="Times New Roman"/>
                <w:b/>
                <w:bCs/>
                <w:spacing w:val="28"/>
              </w:rPr>
            </w:pPr>
          </w:p>
        </w:tc>
      </w:tr>
      <w:tr w:rsidR="009E523D" w:rsidRPr="00994304" w14:paraId="20F2A2B9" w14:textId="77777777" w:rsidTr="00864AF1">
        <w:trPr>
          <w:gridAfter w:val="1"/>
          <w:wAfter w:w="714" w:type="dxa"/>
        </w:trPr>
        <w:tc>
          <w:tcPr>
            <w:tcW w:w="9062" w:type="dxa"/>
            <w:gridSpan w:val="2"/>
          </w:tcPr>
          <w:p w14:paraId="63892F90" w14:textId="57D34B66" w:rsidR="009E523D" w:rsidRPr="00994304" w:rsidRDefault="00F27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  <w:tr w:rsidR="00994304" w:rsidRPr="00994304" w14:paraId="05090E5F" w14:textId="77777777" w:rsidTr="00864AF1">
        <w:trPr>
          <w:gridAfter w:val="1"/>
          <w:wAfter w:w="714" w:type="dxa"/>
        </w:trPr>
        <w:tc>
          <w:tcPr>
            <w:tcW w:w="9062" w:type="dxa"/>
            <w:gridSpan w:val="2"/>
          </w:tcPr>
          <w:p w14:paraId="521EDCCA" w14:textId="5943888B" w:rsidR="00994304" w:rsidRPr="00222DB1" w:rsidRDefault="00666E7D" w:rsidP="00222DB1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222DB1">
              <w:rPr>
                <w:rFonts w:ascii="Times New Roman" w:hAnsi="Times New Roman" w:cs="Times New Roman"/>
              </w:rPr>
              <w:t>Strany uzavřely dne 14. 2. 2020 licenční smlouvu (dále jen „</w:t>
            </w:r>
            <w:r w:rsidRPr="00222DB1">
              <w:rPr>
                <w:rFonts w:ascii="Times New Roman" w:hAnsi="Times New Roman" w:cs="Times New Roman"/>
                <w:b/>
                <w:bCs/>
              </w:rPr>
              <w:t>Smlouva</w:t>
            </w:r>
            <w:r w:rsidRPr="00222DB1">
              <w:rPr>
                <w:rFonts w:ascii="Times New Roman" w:hAnsi="Times New Roman" w:cs="Times New Roman"/>
              </w:rPr>
              <w:t>“), na jejímž základě Poskytovatel licence poskytuje Nabyvateli licence licenci spočívající ve výhradním právu na využití užitného vzoru č. 32226</w:t>
            </w:r>
            <w:r w:rsidR="00E66446">
              <w:rPr>
                <w:rFonts w:ascii="Times New Roman" w:hAnsi="Times New Roman" w:cs="Times New Roman"/>
              </w:rPr>
              <w:t>,</w:t>
            </w:r>
            <w:r w:rsidR="00F274CC" w:rsidRPr="00222DB1">
              <w:rPr>
                <w:rFonts w:ascii="Times New Roman" w:hAnsi="Times New Roman" w:cs="Times New Roman"/>
              </w:rPr>
              <w:t xml:space="preserve"> patentu č. </w:t>
            </w:r>
            <w:proofErr w:type="gramStart"/>
            <w:r w:rsidR="00F274CC" w:rsidRPr="00222DB1">
              <w:rPr>
                <w:rFonts w:ascii="Times New Roman" w:hAnsi="Times New Roman" w:cs="Times New Roman"/>
              </w:rPr>
              <w:t>308047</w:t>
            </w:r>
            <w:r w:rsidR="00E66446">
              <w:rPr>
                <w:rFonts w:ascii="Times New Roman" w:hAnsi="Times New Roman" w:cs="Times New Roman"/>
              </w:rPr>
              <w:t xml:space="preserve">  (</w:t>
            </w:r>
            <w:proofErr w:type="gramEnd"/>
            <w:r w:rsidR="00E66446">
              <w:rPr>
                <w:rFonts w:ascii="Times New Roman" w:hAnsi="Times New Roman" w:cs="Times New Roman"/>
              </w:rPr>
              <w:t xml:space="preserve">včetně </w:t>
            </w:r>
            <w:proofErr w:type="spellStart"/>
            <w:r w:rsidR="00E66446">
              <w:rPr>
                <w:rFonts w:ascii="Times New Roman" w:hAnsi="Times New Roman" w:cs="Times New Roman"/>
              </w:rPr>
              <w:t>know</w:t>
            </w:r>
            <w:proofErr w:type="spellEnd"/>
            <w:r w:rsidR="00E664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66446">
              <w:rPr>
                <w:rFonts w:ascii="Times New Roman" w:hAnsi="Times New Roman" w:cs="Times New Roman"/>
              </w:rPr>
              <w:t>how</w:t>
            </w:r>
            <w:proofErr w:type="spellEnd"/>
            <w:r w:rsidR="00E66446">
              <w:rPr>
                <w:rFonts w:ascii="Times New Roman" w:hAnsi="Times New Roman" w:cs="Times New Roman"/>
              </w:rPr>
              <w:t xml:space="preserve">) </w:t>
            </w:r>
            <w:r w:rsidRPr="00222DB1">
              <w:rPr>
                <w:rFonts w:ascii="Times New Roman" w:hAnsi="Times New Roman" w:cs="Times New Roman"/>
              </w:rPr>
              <w:t xml:space="preserve">pod názvem „Tekutý krycí přípravek pro ošetření ran“, a to v rozsahu popsaném ve </w:t>
            </w:r>
            <w:r w:rsidR="008E6844" w:rsidRPr="00222DB1">
              <w:rPr>
                <w:rFonts w:ascii="Times New Roman" w:hAnsi="Times New Roman" w:cs="Times New Roman"/>
              </w:rPr>
              <w:t>S</w:t>
            </w:r>
            <w:r w:rsidRPr="00222DB1">
              <w:rPr>
                <w:rFonts w:ascii="Times New Roman" w:hAnsi="Times New Roman" w:cs="Times New Roman"/>
              </w:rPr>
              <w:t xml:space="preserve">mlouvě, a Nabyvatel licence se zavázal hradit Poskytovateli licenční poplatky sjednané v čl. V Smlouvy. </w:t>
            </w:r>
          </w:p>
        </w:tc>
      </w:tr>
      <w:tr w:rsidR="00666E7D" w:rsidRPr="00994304" w14:paraId="6D250DA8" w14:textId="77777777" w:rsidTr="00864AF1">
        <w:trPr>
          <w:gridAfter w:val="1"/>
          <w:wAfter w:w="714" w:type="dxa"/>
        </w:trPr>
        <w:tc>
          <w:tcPr>
            <w:tcW w:w="9062" w:type="dxa"/>
            <w:gridSpan w:val="2"/>
          </w:tcPr>
          <w:p w14:paraId="14932CA9" w14:textId="73DAB70A" w:rsidR="00666E7D" w:rsidRDefault="00666E7D" w:rsidP="00F274CC">
            <w:pPr>
              <w:pStyle w:val="Odstavecseseznamem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6E7D" w:rsidRPr="00994304" w14:paraId="13353E18" w14:textId="77777777" w:rsidTr="00864AF1">
        <w:trPr>
          <w:gridAfter w:val="1"/>
          <w:wAfter w:w="714" w:type="dxa"/>
        </w:trPr>
        <w:tc>
          <w:tcPr>
            <w:tcW w:w="9062" w:type="dxa"/>
            <w:gridSpan w:val="2"/>
          </w:tcPr>
          <w:p w14:paraId="2F816CBC" w14:textId="1D2DD119" w:rsidR="00666E7D" w:rsidRPr="00222DB1" w:rsidRDefault="00222DB1" w:rsidP="00222DB1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222DB1">
              <w:rPr>
                <w:rFonts w:ascii="Times New Roman" w:hAnsi="Times New Roman" w:cs="Times New Roman"/>
              </w:rPr>
              <w:t>Ostatní ujednání Smlouvy včetně Dodatku č. 1 zůstávají tímto Dodatkem nedotčena.</w:t>
            </w:r>
          </w:p>
        </w:tc>
      </w:tr>
      <w:tr w:rsidR="00666E7D" w:rsidRPr="00994304" w14:paraId="21D751A9" w14:textId="77777777" w:rsidTr="00864AF1">
        <w:trPr>
          <w:gridAfter w:val="1"/>
          <w:wAfter w:w="714" w:type="dxa"/>
        </w:trPr>
        <w:tc>
          <w:tcPr>
            <w:tcW w:w="9062" w:type="dxa"/>
            <w:gridSpan w:val="2"/>
          </w:tcPr>
          <w:p w14:paraId="1B40D926" w14:textId="77777777" w:rsidR="00666E7D" w:rsidRPr="00994304" w:rsidRDefault="00666E7D">
            <w:pPr>
              <w:rPr>
                <w:rFonts w:ascii="Times New Roman" w:hAnsi="Times New Roman" w:cs="Times New Roman"/>
              </w:rPr>
            </w:pPr>
          </w:p>
        </w:tc>
      </w:tr>
      <w:tr w:rsidR="00666E7D" w:rsidRPr="00994304" w14:paraId="6DB929D6" w14:textId="77777777" w:rsidTr="00864AF1">
        <w:trPr>
          <w:gridAfter w:val="1"/>
          <w:wAfter w:w="714" w:type="dxa"/>
        </w:trPr>
        <w:tc>
          <w:tcPr>
            <w:tcW w:w="9062" w:type="dxa"/>
            <w:gridSpan w:val="2"/>
          </w:tcPr>
          <w:p w14:paraId="40C8AD9D" w14:textId="66D5A01B" w:rsidR="00666E7D" w:rsidRPr="00666E7D" w:rsidRDefault="00222DB1" w:rsidP="00222DB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II. </w:t>
            </w:r>
          </w:p>
        </w:tc>
      </w:tr>
      <w:tr w:rsidR="00222DB1" w:rsidRPr="00994304" w14:paraId="170E83A1" w14:textId="77777777" w:rsidTr="00882453">
        <w:trPr>
          <w:gridAfter w:val="1"/>
          <w:wAfter w:w="714" w:type="dxa"/>
        </w:trPr>
        <w:tc>
          <w:tcPr>
            <w:tcW w:w="9062" w:type="dxa"/>
            <w:gridSpan w:val="2"/>
          </w:tcPr>
          <w:p w14:paraId="549FF1DD" w14:textId="77777777" w:rsidR="00222DB1" w:rsidRPr="00994304" w:rsidRDefault="00222DB1" w:rsidP="0088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Závěrečná ustanovení</w:t>
            </w:r>
          </w:p>
        </w:tc>
      </w:tr>
      <w:tr w:rsidR="00222DB1" w:rsidRPr="00994304" w14:paraId="7DE36D2F" w14:textId="77777777" w:rsidTr="00882453">
        <w:trPr>
          <w:gridAfter w:val="1"/>
          <w:wAfter w:w="714" w:type="dxa"/>
        </w:trPr>
        <w:tc>
          <w:tcPr>
            <w:tcW w:w="9062" w:type="dxa"/>
            <w:gridSpan w:val="2"/>
          </w:tcPr>
          <w:p w14:paraId="22DC70E3" w14:textId="77777777" w:rsidR="00222DB1" w:rsidRPr="00994304" w:rsidRDefault="00222DB1" w:rsidP="00882453">
            <w:pPr>
              <w:pStyle w:val="Odstavecseseznamem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  <w:r w:rsidRPr="002C4155">
              <w:rPr>
                <w:rFonts w:ascii="Times New Roman" w:hAnsi="Times New Roman" w:cs="Times New Roman"/>
              </w:rPr>
              <w:t>Tento Dodatek se vyhotovuje ve dvou stejnopisech v českém jazyce. Každá Strana obdrží jedno vyhotovení Dodatku.</w:t>
            </w:r>
          </w:p>
        </w:tc>
      </w:tr>
      <w:tr w:rsidR="00222DB1" w:rsidRPr="00994304" w14:paraId="7A2E0A71" w14:textId="77777777" w:rsidTr="00882453">
        <w:trPr>
          <w:gridAfter w:val="1"/>
          <w:wAfter w:w="714" w:type="dxa"/>
        </w:trPr>
        <w:tc>
          <w:tcPr>
            <w:tcW w:w="9062" w:type="dxa"/>
            <w:gridSpan w:val="2"/>
          </w:tcPr>
          <w:p w14:paraId="18E0912C" w14:textId="77777777" w:rsidR="00222DB1" w:rsidRPr="002C4155" w:rsidRDefault="00222DB1" w:rsidP="00882453">
            <w:pPr>
              <w:pStyle w:val="Odstavecseseznamem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  <w:r w:rsidRPr="002C4155">
              <w:rPr>
                <w:rFonts w:ascii="Times New Roman" w:hAnsi="Times New Roman" w:cs="Times New Roman"/>
              </w:rPr>
              <w:t>Bude-li jedno nebo více ustanovení tohoto Dodatku neplatné, neúčinné nebo nevymahatelné, nebude mít za následek neplatnost, neúčinnost ani nevymahatelnost celého tohoto Dodatku. V takovém případě Strany nahradí takovéto neplatné, neúčinné nebo nevymahatelné ustanovení novým, které se bude tomuto ustanovení z hlediska věcného obsahu nejvíce blížit.</w:t>
            </w:r>
          </w:p>
        </w:tc>
      </w:tr>
      <w:tr w:rsidR="00222DB1" w:rsidRPr="00994304" w14:paraId="0233FF95" w14:textId="77777777" w:rsidTr="00882453">
        <w:trPr>
          <w:gridAfter w:val="1"/>
          <w:wAfter w:w="714" w:type="dxa"/>
        </w:trPr>
        <w:tc>
          <w:tcPr>
            <w:tcW w:w="9062" w:type="dxa"/>
            <w:gridSpan w:val="2"/>
          </w:tcPr>
          <w:p w14:paraId="53537980" w14:textId="77777777" w:rsidR="00222DB1" w:rsidRDefault="00222DB1" w:rsidP="00882453">
            <w:pPr>
              <w:pStyle w:val="Odstavecseseznamem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  <w:r w:rsidRPr="002C4155">
              <w:rPr>
                <w:rFonts w:ascii="Times New Roman" w:hAnsi="Times New Roman" w:cs="Times New Roman"/>
              </w:rPr>
              <w:t>Strany prohlašují, že si přečetly podmínky obsažené v tomto Dodatku a porozuměly jim. Na důkaz své skutečné a pravé vůle přijmout závazky založené tímto Dodatkem zde připojují své podpisy.</w:t>
            </w:r>
          </w:p>
          <w:p w14:paraId="4469056E" w14:textId="77777777" w:rsidR="00222DB1" w:rsidRDefault="00222DB1" w:rsidP="00882453">
            <w:pPr>
              <w:pStyle w:val="Odstavecseseznamem"/>
              <w:jc w:val="both"/>
              <w:rPr>
                <w:rFonts w:ascii="Times New Roman" w:hAnsi="Times New Roman" w:cs="Times New Roman"/>
              </w:rPr>
            </w:pPr>
          </w:p>
          <w:p w14:paraId="0C023650" w14:textId="77777777" w:rsidR="00222DB1" w:rsidRDefault="00222DB1" w:rsidP="00882453">
            <w:pPr>
              <w:pStyle w:val="Odstavecseseznamem"/>
              <w:jc w:val="both"/>
              <w:rPr>
                <w:rFonts w:ascii="Times New Roman" w:hAnsi="Times New Roman" w:cs="Times New Roman"/>
              </w:rPr>
            </w:pPr>
          </w:p>
          <w:p w14:paraId="4BEA5D60" w14:textId="77777777" w:rsidR="00222DB1" w:rsidRDefault="00222DB1" w:rsidP="00882453">
            <w:pPr>
              <w:pStyle w:val="Odstavecseseznamem"/>
              <w:jc w:val="both"/>
              <w:rPr>
                <w:rFonts w:ascii="Times New Roman" w:hAnsi="Times New Roman" w:cs="Times New Roman"/>
              </w:rPr>
            </w:pPr>
          </w:p>
          <w:p w14:paraId="790CFC32" w14:textId="77777777" w:rsidR="00222DB1" w:rsidRPr="002C4155" w:rsidRDefault="00222DB1" w:rsidP="00882453">
            <w:pPr>
              <w:pStyle w:val="Odstavecseseznamem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6E7D" w:rsidRPr="00994304" w14:paraId="3AD21B15" w14:textId="77777777" w:rsidTr="00864AF1">
        <w:trPr>
          <w:gridAfter w:val="1"/>
          <w:wAfter w:w="714" w:type="dxa"/>
        </w:trPr>
        <w:tc>
          <w:tcPr>
            <w:tcW w:w="9062" w:type="dxa"/>
            <w:gridSpan w:val="2"/>
          </w:tcPr>
          <w:p w14:paraId="1E584169" w14:textId="28B3516E" w:rsidR="00666E7D" w:rsidRPr="00F274CC" w:rsidRDefault="00666E7D" w:rsidP="00F274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6371" w:rsidRPr="00994304" w14:paraId="5F1D7E49" w14:textId="77777777" w:rsidTr="00864AF1">
        <w:trPr>
          <w:gridAfter w:val="1"/>
          <w:wAfter w:w="714" w:type="dxa"/>
        </w:trPr>
        <w:tc>
          <w:tcPr>
            <w:tcW w:w="9062" w:type="dxa"/>
            <w:gridSpan w:val="2"/>
          </w:tcPr>
          <w:p w14:paraId="3EFF3192" w14:textId="0247C19B" w:rsidR="00D86371" w:rsidRPr="008E6844" w:rsidRDefault="00D86371" w:rsidP="00D86371">
            <w:pPr>
              <w:ind w:left="7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4155" w:rsidRPr="00994304" w14:paraId="38CA49C0" w14:textId="77777777" w:rsidTr="00864AF1">
        <w:trPr>
          <w:gridAfter w:val="1"/>
          <w:wAfter w:w="714" w:type="dxa"/>
        </w:trPr>
        <w:tc>
          <w:tcPr>
            <w:tcW w:w="9062" w:type="dxa"/>
            <w:gridSpan w:val="2"/>
          </w:tcPr>
          <w:p w14:paraId="01446B05" w14:textId="233170FA" w:rsidR="002C4155" w:rsidRPr="00222DB1" w:rsidRDefault="002C4155" w:rsidP="00222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4155" w:rsidRPr="00994304" w14:paraId="63F88429" w14:textId="77777777" w:rsidTr="00864AF1">
        <w:trPr>
          <w:gridAfter w:val="1"/>
          <w:wAfter w:w="714" w:type="dxa"/>
        </w:trPr>
        <w:tc>
          <w:tcPr>
            <w:tcW w:w="9062" w:type="dxa"/>
            <w:gridSpan w:val="2"/>
          </w:tcPr>
          <w:p w14:paraId="0D0A6CB1" w14:textId="77777777" w:rsidR="002C4155" w:rsidRPr="00994304" w:rsidRDefault="002C4155" w:rsidP="002C4155">
            <w:pPr>
              <w:rPr>
                <w:rFonts w:ascii="Times New Roman" w:hAnsi="Times New Roman" w:cs="Times New Roman"/>
              </w:rPr>
            </w:pPr>
          </w:p>
        </w:tc>
      </w:tr>
      <w:tr w:rsidR="002C4155" w:rsidRPr="00994304" w14:paraId="0ED6BA6C" w14:textId="77777777" w:rsidTr="00864AF1">
        <w:trPr>
          <w:gridAfter w:val="1"/>
          <w:wAfter w:w="714" w:type="dxa"/>
        </w:trPr>
        <w:tc>
          <w:tcPr>
            <w:tcW w:w="9062" w:type="dxa"/>
            <w:gridSpan w:val="2"/>
          </w:tcPr>
          <w:p w14:paraId="180B916D" w14:textId="53D1F8DE" w:rsidR="002C4155" w:rsidRPr="00645E44" w:rsidRDefault="00645E44" w:rsidP="00645E44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45E44">
              <w:rPr>
                <w:rFonts w:ascii="Times New Roman" w:hAnsi="Times New Roman" w:cs="Times New Roman"/>
              </w:rPr>
              <w:lastRenderedPageBreak/>
              <w:t>Tento dodatek nabývá platnosti dnem podpisu smluvních stran a účinnosti dnem zveřejnění v registru smluv dle zákona čl. 340/2015 Sb., zákon o registru smluv. Poskytovatel licence se zavazuje dodatek v registru zveřejnit</w:t>
            </w:r>
            <w:r w:rsidR="00D1042B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  <w:r w:rsidRPr="00645E4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30609" w:rsidRPr="00994304" w14:paraId="03D4545B" w14:textId="77777777" w:rsidTr="00864AF1">
        <w:trPr>
          <w:gridAfter w:val="1"/>
          <w:wAfter w:w="714" w:type="dxa"/>
        </w:trPr>
        <w:tc>
          <w:tcPr>
            <w:tcW w:w="9062" w:type="dxa"/>
            <w:gridSpan w:val="2"/>
          </w:tcPr>
          <w:p w14:paraId="4D31A002" w14:textId="77777777" w:rsidR="00130609" w:rsidRPr="00994304" w:rsidRDefault="00130609" w:rsidP="002C4155">
            <w:pPr>
              <w:rPr>
                <w:rFonts w:ascii="Times New Roman" w:hAnsi="Times New Roman" w:cs="Times New Roman"/>
              </w:rPr>
            </w:pPr>
          </w:p>
        </w:tc>
      </w:tr>
      <w:tr w:rsidR="00130609" w:rsidRPr="00994304" w14:paraId="63E9B6A3" w14:textId="77777777" w:rsidTr="00864AF1">
        <w:trPr>
          <w:gridAfter w:val="1"/>
          <w:wAfter w:w="714" w:type="dxa"/>
        </w:trPr>
        <w:tc>
          <w:tcPr>
            <w:tcW w:w="9062" w:type="dxa"/>
            <w:gridSpan w:val="2"/>
          </w:tcPr>
          <w:p w14:paraId="07D3D046" w14:textId="77777777" w:rsidR="00130609" w:rsidRPr="00994304" w:rsidRDefault="00130609" w:rsidP="002C4155">
            <w:pPr>
              <w:rPr>
                <w:rFonts w:ascii="Times New Roman" w:hAnsi="Times New Roman" w:cs="Times New Roman"/>
              </w:rPr>
            </w:pPr>
          </w:p>
        </w:tc>
      </w:tr>
      <w:tr w:rsidR="002C4155" w:rsidRPr="00994304" w14:paraId="427195E2" w14:textId="77777777" w:rsidTr="00864AF1">
        <w:tc>
          <w:tcPr>
            <w:tcW w:w="5245" w:type="dxa"/>
          </w:tcPr>
          <w:p w14:paraId="38E52BC7" w14:textId="690FFBB5" w:rsidR="002C4155" w:rsidRPr="002C4155" w:rsidRDefault="002C4155" w:rsidP="002C4155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Poskytovatel licence:</w:t>
            </w:r>
          </w:p>
        </w:tc>
        <w:tc>
          <w:tcPr>
            <w:tcW w:w="4531" w:type="dxa"/>
            <w:gridSpan w:val="2"/>
          </w:tcPr>
          <w:p w14:paraId="4ACD5639" w14:textId="5043903D" w:rsidR="002C4155" w:rsidRDefault="002C4155" w:rsidP="002C4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Nabyvatel licence:</w:t>
            </w:r>
          </w:p>
        </w:tc>
      </w:tr>
      <w:tr w:rsidR="002C4155" w:rsidRPr="00994304" w14:paraId="239FED17" w14:textId="77777777" w:rsidTr="00864AF1">
        <w:tc>
          <w:tcPr>
            <w:tcW w:w="5245" w:type="dxa"/>
          </w:tcPr>
          <w:p w14:paraId="183D954D" w14:textId="1823F0B1" w:rsidR="002C4155" w:rsidRPr="00994304" w:rsidRDefault="002C4155" w:rsidP="002C4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 ______________ </w:t>
            </w:r>
            <w:proofErr w:type="gramStart"/>
            <w:r>
              <w:rPr>
                <w:rFonts w:ascii="Times New Roman" w:hAnsi="Times New Roman" w:cs="Times New Roman"/>
              </w:rPr>
              <w:t>dne  _</w:t>
            </w:r>
            <w:proofErr w:type="gramEnd"/>
            <w:r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4531" w:type="dxa"/>
            <w:gridSpan w:val="2"/>
          </w:tcPr>
          <w:p w14:paraId="021CBD89" w14:textId="75C3B0AF" w:rsidR="002C4155" w:rsidRPr="00994304" w:rsidRDefault="002C4155" w:rsidP="002C4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 ______________ </w:t>
            </w:r>
            <w:proofErr w:type="gramStart"/>
            <w:r>
              <w:rPr>
                <w:rFonts w:ascii="Times New Roman" w:hAnsi="Times New Roman" w:cs="Times New Roman"/>
              </w:rPr>
              <w:t>dne  _</w:t>
            </w:r>
            <w:proofErr w:type="gramEnd"/>
            <w:r>
              <w:rPr>
                <w:rFonts w:ascii="Times New Roman" w:hAnsi="Times New Roman" w:cs="Times New Roman"/>
              </w:rPr>
              <w:t>_____________</w:t>
            </w:r>
          </w:p>
        </w:tc>
      </w:tr>
      <w:tr w:rsidR="002C4155" w:rsidRPr="00994304" w14:paraId="07FFE76C" w14:textId="77777777" w:rsidTr="00864AF1">
        <w:tc>
          <w:tcPr>
            <w:tcW w:w="5245" w:type="dxa"/>
          </w:tcPr>
          <w:p w14:paraId="4BC67B01" w14:textId="77777777" w:rsidR="002C4155" w:rsidRPr="002C4155" w:rsidRDefault="002C4155" w:rsidP="002C41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C309002" w14:textId="77777777" w:rsidR="002C4155" w:rsidRPr="002C4155" w:rsidRDefault="002C4155" w:rsidP="002C41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033F581" w14:textId="77777777" w:rsidR="00546C08" w:rsidRDefault="00546C08" w:rsidP="00546C0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E333FB9" w14:textId="77777777" w:rsidR="00546C08" w:rsidRDefault="00546C08" w:rsidP="00546C0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FDE71E2" w14:textId="51B2FE3C" w:rsidR="00546C08" w:rsidRDefault="00864AF1" w:rsidP="00546C08">
            <w:pPr>
              <w:rPr>
                <w:rFonts w:ascii="Times New Roman" w:hAnsi="Times New Roman" w:cs="Times New Roman"/>
                <w:b/>
                <w:bCs/>
              </w:rPr>
            </w:pPr>
            <w:r w:rsidRPr="002C4155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2C4155">
              <w:rPr>
                <w:rFonts w:ascii="Times New Roman" w:hAnsi="Times New Roman" w:cs="Times New Roman"/>
              </w:rPr>
              <w:t>_________________</w:t>
            </w:r>
          </w:p>
          <w:p w14:paraId="10A935E6" w14:textId="4733234F" w:rsidR="002C4155" w:rsidRPr="00680A46" w:rsidRDefault="002C4155" w:rsidP="00546C08">
            <w:pPr>
              <w:rPr>
                <w:rFonts w:ascii="Times New Roman" w:hAnsi="Times New Roman" w:cs="Times New Roman"/>
              </w:rPr>
            </w:pPr>
            <w:r w:rsidRPr="002C4155">
              <w:rPr>
                <w:rFonts w:ascii="Times New Roman" w:hAnsi="Times New Roman" w:cs="Times New Roman"/>
                <w:b/>
                <w:bCs/>
              </w:rPr>
              <w:t>Ústav makromolekulární chemie AV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Č</w:t>
            </w:r>
            <w:r w:rsidRPr="002C4155">
              <w:rPr>
                <w:rFonts w:ascii="Times New Roman" w:hAnsi="Times New Roman" w:cs="Times New Roman"/>
                <w:b/>
                <w:bCs/>
              </w:rPr>
              <w:t>R, v.</w:t>
            </w:r>
            <w:r w:rsidR="00546C0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C4155">
              <w:rPr>
                <w:rFonts w:ascii="Times New Roman" w:hAnsi="Times New Roman" w:cs="Times New Roman"/>
                <w:b/>
                <w:bCs/>
              </w:rPr>
              <w:t>v.</w:t>
            </w:r>
            <w:r w:rsidR="00546C0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C4155">
              <w:rPr>
                <w:rFonts w:ascii="Times New Roman" w:hAnsi="Times New Roman" w:cs="Times New Roman"/>
                <w:b/>
                <w:bCs/>
              </w:rPr>
              <w:t>i.</w:t>
            </w:r>
          </w:p>
          <w:p w14:paraId="2AA1EECD" w14:textId="411C8AA8" w:rsidR="002C4155" w:rsidRPr="002C4155" w:rsidRDefault="003E5716" w:rsidP="002C41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r w:rsidR="002C4155">
              <w:rPr>
                <w:rFonts w:ascii="Times New Roman" w:hAnsi="Times New Roman" w:cs="Times New Roman"/>
              </w:rPr>
              <w:t>Ing. Jiří Kotek, ředitel</w:t>
            </w:r>
          </w:p>
        </w:tc>
        <w:tc>
          <w:tcPr>
            <w:tcW w:w="4531" w:type="dxa"/>
            <w:gridSpan w:val="2"/>
          </w:tcPr>
          <w:p w14:paraId="6C822AB9" w14:textId="77777777" w:rsidR="002C4155" w:rsidRDefault="002C4155" w:rsidP="002C4155">
            <w:pPr>
              <w:jc w:val="center"/>
              <w:rPr>
                <w:rFonts w:ascii="Times New Roman" w:hAnsi="Times New Roman" w:cs="Times New Roman"/>
              </w:rPr>
            </w:pPr>
          </w:p>
          <w:p w14:paraId="262B15F7" w14:textId="77777777" w:rsidR="002C4155" w:rsidRDefault="002C4155" w:rsidP="002C4155">
            <w:pPr>
              <w:jc w:val="center"/>
              <w:rPr>
                <w:rFonts w:ascii="Times New Roman" w:hAnsi="Times New Roman" w:cs="Times New Roman"/>
              </w:rPr>
            </w:pPr>
          </w:p>
          <w:p w14:paraId="5054C766" w14:textId="77777777" w:rsidR="002C4155" w:rsidRDefault="002C4155" w:rsidP="002C4155">
            <w:pPr>
              <w:jc w:val="center"/>
              <w:rPr>
                <w:rFonts w:ascii="Times New Roman" w:hAnsi="Times New Roman" w:cs="Times New Roman"/>
              </w:rPr>
            </w:pPr>
          </w:p>
          <w:p w14:paraId="4298AB41" w14:textId="77777777" w:rsidR="002C4155" w:rsidRDefault="002C4155" w:rsidP="002C4155">
            <w:pPr>
              <w:jc w:val="center"/>
              <w:rPr>
                <w:rFonts w:ascii="Times New Roman" w:hAnsi="Times New Roman" w:cs="Times New Roman"/>
              </w:rPr>
            </w:pPr>
          </w:p>
          <w:p w14:paraId="1CC55780" w14:textId="77777777" w:rsidR="002C4155" w:rsidRPr="002C4155" w:rsidRDefault="002C4155" w:rsidP="002C4155">
            <w:pPr>
              <w:jc w:val="center"/>
              <w:rPr>
                <w:rFonts w:ascii="Times New Roman" w:hAnsi="Times New Roman" w:cs="Times New Roman"/>
              </w:rPr>
            </w:pPr>
            <w:r w:rsidRPr="002C4155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2C4155">
              <w:rPr>
                <w:rFonts w:ascii="Times New Roman" w:hAnsi="Times New Roman" w:cs="Times New Roman"/>
              </w:rPr>
              <w:t>___________</w:t>
            </w:r>
          </w:p>
          <w:p w14:paraId="1404BE33" w14:textId="5F343D51" w:rsidR="002C4155" w:rsidRPr="009E523D" w:rsidRDefault="002C4155" w:rsidP="002C41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23D">
              <w:rPr>
                <w:rFonts w:ascii="Times New Roman" w:hAnsi="Times New Roman" w:cs="Times New Roman"/>
                <w:b/>
                <w:bCs/>
              </w:rPr>
              <w:t xml:space="preserve">VH </w:t>
            </w:r>
            <w:proofErr w:type="spellStart"/>
            <w:r w:rsidRPr="009E523D">
              <w:rPr>
                <w:rFonts w:ascii="Times New Roman" w:hAnsi="Times New Roman" w:cs="Times New Roman"/>
                <w:b/>
                <w:bCs/>
              </w:rPr>
              <w:t>Pharma</w:t>
            </w:r>
            <w:proofErr w:type="spellEnd"/>
            <w:r w:rsidRPr="009E523D">
              <w:rPr>
                <w:rFonts w:ascii="Times New Roman" w:hAnsi="Times New Roman" w:cs="Times New Roman"/>
                <w:b/>
                <w:bCs/>
              </w:rPr>
              <w:t xml:space="preserve"> a.s.</w:t>
            </w:r>
          </w:p>
          <w:p w14:paraId="2152FEA6" w14:textId="4062CF48" w:rsidR="002C4155" w:rsidRDefault="00EC18F1" w:rsidP="002C4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</w:t>
            </w:r>
            <w:r w:rsidR="002C4155">
              <w:rPr>
                <w:rFonts w:ascii="Times New Roman" w:hAnsi="Times New Roman" w:cs="Times New Roman"/>
              </w:rPr>
              <w:t xml:space="preserve">Bohumil Hána, </w:t>
            </w:r>
            <w:r>
              <w:rPr>
                <w:rFonts w:ascii="Times New Roman" w:hAnsi="Times New Roman" w:cs="Times New Roman"/>
              </w:rPr>
              <w:t>předseda představenstva</w:t>
            </w:r>
          </w:p>
        </w:tc>
      </w:tr>
    </w:tbl>
    <w:p w14:paraId="2E6F280B" w14:textId="77777777" w:rsidR="00994304" w:rsidRDefault="00994304"/>
    <w:sectPr w:rsidR="0099430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07FC6" w14:textId="77777777" w:rsidR="00A83DF6" w:rsidRDefault="00A83DF6" w:rsidP="002C4155">
      <w:r>
        <w:separator/>
      </w:r>
    </w:p>
  </w:endnote>
  <w:endnote w:type="continuationSeparator" w:id="0">
    <w:p w14:paraId="276D1AC9" w14:textId="77777777" w:rsidR="00A83DF6" w:rsidRDefault="00A83DF6" w:rsidP="002C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196076013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47140495" w14:textId="430D24D9" w:rsidR="002C4155" w:rsidRDefault="002C4155" w:rsidP="00A4504B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7AAC826A" w14:textId="77777777" w:rsidR="002C4155" w:rsidRDefault="002C415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  <w:rFonts w:ascii="Times New Roman" w:hAnsi="Times New Roman" w:cs="Times New Roman"/>
      </w:rPr>
      <w:id w:val="94034015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2B648F96" w14:textId="4371198D" w:rsidR="002C4155" w:rsidRPr="002C4155" w:rsidRDefault="002C4155" w:rsidP="00A4504B">
        <w:pPr>
          <w:pStyle w:val="Zpat"/>
          <w:framePr w:wrap="none" w:vAnchor="text" w:hAnchor="margin" w:xAlign="center" w:y="1"/>
          <w:rPr>
            <w:rStyle w:val="slostrnky"/>
            <w:rFonts w:ascii="Times New Roman" w:hAnsi="Times New Roman" w:cs="Times New Roman"/>
          </w:rPr>
        </w:pPr>
        <w:r w:rsidRPr="002C4155">
          <w:rPr>
            <w:rStyle w:val="slostrnky"/>
            <w:rFonts w:ascii="Times New Roman" w:hAnsi="Times New Roman" w:cs="Times New Roman"/>
          </w:rPr>
          <w:fldChar w:fldCharType="begin"/>
        </w:r>
        <w:r w:rsidRPr="002C4155">
          <w:rPr>
            <w:rStyle w:val="slostrnky"/>
            <w:rFonts w:ascii="Times New Roman" w:hAnsi="Times New Roman" w:cs="Times New Roman"/>
          </w:rPr>
          <w:instrText xml:space="preserve"> PAGE </w:instrText>
        </w:r>
        <w:r w:rsidRPr="002C4155">
          <w:rPr>
            <w:rStyle w:val="slostrnky"/>
            <w:rFonts w:ascii="Times New Roman" w:hAnsi="Times New Roman" w:cs="Times New Roman"/>
          </w:rPr>
          <w:fldChar w:fldCharType="separate"/>
        </w:r>
        <w:r w:rsidRPr="002C4155">
          <w:rPr>
            <w:rStyle w:val="slostrnky"/>
            <w:rFonts w:ascii="Times New Roman" w:hAnsi="Times New Roman" w:cs="Times New Roman"/>
            <w:noProof/>
          </w:rPr>
          <w:t>1</w:t>
        </w:r>
        <w:r w:rsidRPr="002C4155">
          <w:rPr>
            <w:rStyle w:val="slostrnky"/>
            <w:rFonts w:ascii="Times New Roman" w:hAnsi="Times New Roman" w:cs="Times New Roman"/>
          </w:rPr>
          <w:fldChar w:fldCharType="end"/>
        </w:r>
      </w:p>
    </w:sdtContent>
  </w:sdt>
  <w:p w14:paraId="6C664B53" w14:textId="77777777" w:rsidR="002C4155" w:rsidRDefault="002C41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AF76D" w14:textId="77777777" w:rsidR="00A83DF6" w:rsidRDefault="00A83DF6" w:rsidP="002C4155">
      <w:r>
        <w:separator/>
      </w:r>
    </w:p>
  </w:footnote>
  <w:footnote w:type="continuationSeparator" w:id="0">
    <w:p w14:paraId="6B7BE80E" w14:textId="77777777" w:rsidR="00A83DF6" w:rsidRDefault="00A83DF6" w:rsidP="002C4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73FE"/>
    <w:multiLevelType w:val="hybridMultilevel"/>
    <w:tmpl w:val="A54A92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32287"/>
    <w:multiLevelType w:val="hybridMultilevel"/>
    <w:tmpl w:val="4B9E69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C3A97"/>
    <w:multiLevelType w:val="hybridMultilevel"/>
    <w:tmpl w:val="DAB4BAA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24B4"/>
    <w:multiLevelType w:val="multilevel"/>
    <w:tmpl w:val="502E7D9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FA01E4"/>
    <w:multiLevelType w:val="hybridMultilevel"/>
    <w:tmpl w:val="E390CE0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B0633"/>
    <w:multiLevelType w:val="hybridMultilevel"/>
    <w:tmpl w:val="A54A92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304"/>
    <w:rsid w:val="0006157E"/>
    <w:rsid w:val="000C30E0"/>
    <w:rsid w:val="000C7367"/>
    <w:rsid w:val="00120D35"/>
    <w:rsid w:val="00130609"/>
    <w:rsid w:val="00186994"/>
    <w:rsid w:val="00204233"/>
    <w:rsid w:val="00222DB1"/>
    <w:rsid w:val="00251571"/>
    <w:rsid w:val="002C4155"/>
    <w:rsid w:val="002C6678"/>
    <w:rsid w:val="00391988"/>
    <w:rsid w:val="003E5716"/>
    <w:rsid w:val="003E6FD1"/>
    <w:rsid w:val="00406364"/>
    <w:rsid w:val="004C6772"/>
    <w:rsid w:val="00546C08"/>
    <w:rsid w:val="00583FB1"/>
    <w:rsid w:val="00632823"/>
    <w:rsid w:val="00645E44"/>
    <w:rsid w:val="00666E7D"/>
    <w:rsid w:val="00680A46"/>
    <w:rsid w:val="006B2C51"/>
    <w:rsid w:val="00707D45"/>
    <w:rsid w:val="00800259"/>
    <w:rsid w:val="00814F6D"/>
    <w:rsid w:val="00857555"/>
    <w:rsid w:val="00864AF1"/>
    <w:rsid w:val="008C2128"/>
    <w:rsid w:val="008E6844"/>
    <w:rsid w:val="009536C5"/>
    <w:rsid w:val="00994304"/>
    <w:rsid w:val="00995221"/>
    <w:rsid w:val="009E523D"/>
    <w:rsid w:val="00A83DF6"/>
    <w:rsid w:val="00AD1431"/>
    <w:rsid w:val="00B24FA1"/>
    <w:rsid w:val="00BD5A30"/>
    <w:rsid w:val="00C153E2"/>
    <w:rsid w:val="00D1042B"/>
    <w:rsid w:val="00D86371"/>
    <w:rsid w:val="00E56DEA"/>
    <w:rsid w:val="00E61853"/>
    <w:rsid w:val="00E66446"/>
    <w:rsid w:val="00E76CA6"/>
    <w:rsid w:val="00EC18F1"/>
    <w:rsid w:val="00EC547D"/>
    <w:rsid w:val="00ED1BEA"/>
    <w:rsid w:val="00ED5303"/>
    <w:rsid w:val="00F274CC"/>
    <w:rsid w:val="00F2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69F18"/>
  <w15:chartTrackingRefBased/>
  <w15:docId w15:val="{79EC3160-A6F2-8A41-B3A0-4E021315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94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66E7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C41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41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41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4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4155"/>
    <w:rPr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2C41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4155"/>
  </w:style>
  <w:style w:type="character" w:styleId="slostrnky">
    <w:name w:val="page number"/>
    <w:basedOn w:val="Standardnpsmoodstavce"/>
    <w:uiPriority w:val="99"/>
    <w:semiHidden/>
    <w:unhideWhenUsed/>
    <w:rsid w:val="002C4155"/>
  </w:style>
  <w:style w:type="paragraph" w:styleId="Zhlav">
    <w:name w:val="header"/>
    <w:basedOn w:val="Normln"/>
    <w:link w:val="ZhlavChar"/>
    <w:uiPriority w:val="99"/>
    <w:unhideWhenUsed/>
    <w:rsid w:val="002C41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4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1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Koželuha</dc:creator>
  <cp:keywords/>
  <dc:description/>
  <cp:lastModifiedBy>Zdenka Sedlakova</cp:lastModifiedBy>
  <cp:revision>3</cp:revision>
  <cp:lastPrinted>2021-08-18T08:21:00Z</cp:lastPrinted>
  <dcterms:created xsi:type="dcterms:W3CDTF">2021-09-09T13:42:00Z</dcterms:created>
  <dcterms:modified xsi:type="dcterms:W3CDTF">2021-09-09T13:46:00Z</dcterms:modified>
</cp:coreProperties>
</file>