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739A8473" w:rsidR="00B3207B" w:rsidRPr="000D7E15" w:rsidRDefault="00B3207B" w:rsidP="00F022CA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F022CA">
              <w:rPr>
                <w:rFonts w:ascii="Calibri" w:hAnsi="Calibri"/>
                <w:sz w:val="28"/>
              </w:rPr>
              <w:t>12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3A7ACDBD" w:rsidR="00B3207B" w:rsidRPr="000D7E15" w:rsidRDefault="00B3207B" w:rsidP="00F135E3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F135E3">
              <w:rPr>
                <w:rFonts w:ascii="Calibri" w:hAnsi="Calibri"/>
              </w:rPr>
              <w:t>1.9</w:t>
            </w:r>
            <w:r w:rsidR="000D6721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4442B2B0" w:rsidR="00B3207B" w:rsidRDefault="00B3207B" w:rsidP="00F022CA">
            <w:pPr>
              <w:spacing w:after="120"/>
            </w:pPr>
            <w:r w:rsidRPr="000D6721">
              <w:rPr>
                <w:rFonts w:ascii="Calibri" w:hAnsi="Calibri"/>
                <w:b/>
              </w:rPr>
              <w:t xml:space="preserve">Rozpočet ZL </w:t>
            </w:r>
            <w:r w:rsidR="00F022CA">
              <w:rPr>
                <w:rFonts w:ascii="Calibri" w:hAnsi="Calibri"/>
                <w:b/>
              </w:rPr>
              <w:t>12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4341F34" w14:textId="598D916B" w:rsidR="00FF684E" w:rsidRDefault="00F022CA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Lištování oken na schodech.</w:t>
            </w:r>
          </w:p>
          <w:p w14:paraId="54FE18A5" w14:textId="77777777" w:rsidR="00AA11D1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</w:t>
            </w:r>
          </w:p>
          <w:p w14:paraId="481DFAD8" w14:textId="04B1DE4F" w:rsidR="00AA11D1" w:rsidRDefault="00AA11D1" w:rsidP="00AA11D1">
            <w:r w:rsidRPr="00784F3B">
              <w:t xml:space="preserve">Projektem nejsou </w:t>
            </w:r>
            <w:r>
              <w:t>defino</w:t>
            </w:r>
            <w:r w:rsidRPr="00784F3B">
              <w:t>vány žádné úpravy spar mezi okenními profily a ocelovou konstrukcí schodišť v interiéru. Pro estetické a funkční</w:t>
            </w:r>
            <w:r>
              <w:t xml:space="preserve"> </w:t>
            </w:r>
            <w:r w:rsidRPr="00784F3B">
              <w:t>dokončení detailu je navrženo osazení L poplastovaných krycích lišt</w:t>
            </w:r>
            <w:r>
              <w:t>.</w:t>
            </w:r>
          </w:p>
          <w:p w14:paraId="4BACDAB2" w14:textId="3304542C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</w:t>
            </w:r>
          </w:p>
          <w:p w14:paraId="08287325" w14:textId="56A26081" w:rsidR="00B3207B" w:rsidRPr="00B3207B" w:rsidRDefault="00B3207B" w:rsidP="00F135E3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73753BBF" w:rsidR="00B3207B" w:rsidRDefault="00AE7C57" w:rsidP="00B3207B">
            <w:pPr>
              <w:spacing w:after="120"/>
            </w:pPr>
            <w:r>
              <w:rPr>
                <w:rFonts w:ascii="Calibri" w:hAnsi="Calibri"/>
              </w:rPr>
              <w:t>3</w:t>
            </w: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6CFC859" w:rsidR="00B3207B" w:rsidRPr="00B3207B" w:rsidRDefault="00F905B7" w:rsidP="00B3207B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3453B7">
              <w:rPr>
                <w:rFonts w:ascii="Calibri" w:hAnsi="Calibri"/>
              </w:rPr>
            </w:r>
            <w:r w:rsidR="003453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7BCAEAAC" w14:textId="66C2C8A6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5998795F" w14:textId="040B143C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813FB0B" w14:textId="7192A624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1FCA86B" w14:textId="74D5D5BA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4A753E00" w14:textId="77777777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5727A572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lastRenderedPageBreak/>
              <w:t>Schvaluji:</w:t>
            </w:r>
          </w:p>
          <w:p w14:paraId="3CCFDFF2" w14:textId="6D36E466" w:rsidR="00AA11D1" w:rsidRDefault="00AA11D1" w:rsidP="00AA11D1">
            <w:r>
              <w:t>Navržené osazení lišt doporučuji, byly jako lemování výplní ve schodišti osazeny i v původní stavbě.</w:t>
            </w:r>
          </w:p>
          <w:p w14:paraId="04FC2756" w14:textId="77777777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587DCFE1" w14:textId="58E30299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</w:t>
            </w:r>
            <w:r w:rsidR="006B6A4C">
              <w:rPr>
                <w:rFonts w:ascii="Calibri" w:hAnsi="Calibri" w:cs="Arial"/>
              </w:rPr>
              <w:t xml:space="preserve">                               xxx</w:t>
            </w:r>
            <w:r>
              <w:rPr>
                <w:rFonts w:ascii="Calibri" w:hAnsi="Calibri" w:cs="Arial"/>
              </w:rPr>
              <w:t>, TDS</w:t>
            </w:r>
          </w:p>
          <w:p w14:paraId="3FF7B459" w14:textId="1CCEA33C" w:rsidR="009970CE" w:rsidRDefault="009970CE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526B718A" w14:textId="77777777" w:rsidR="003E349A" w:rsidRPr="00574723" w:rsidRDefault="00052D46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74723">
              <w:rPr>
                <w:rFonts w:ascii="Calibri" w:hAnsi="Calibri" w:cs="Arial"/>
                <w:color w:val="000000" w:themeColor="text1"/>
              </w:rPr>
              <w:t xml:space="preserve">S navrženým řešením souhlasím, jedná se o estetické i funkční doplnění systému. </w:t>
            </w:r>
          </w:p>
          <w:p w14:paraId="5FCCB84A" w14:textId="308DFE8F" w:rsidR="00052D46" w:rsidRPr="00574723" w:rsidRDefault="00052D46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74723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  <w:p w14:paraId="7C088158" w14:textId="094965A2" w:rsidR="00563A7A" w:rsidRPr="003E2027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574723">
              <w:rPr>
                <w:rFonts w:ascii="Calibri" w:hAnsi="Calibri" w:cs="Arial"/>
                <w:color w:val="000000" w:themeColor="text1"/>
              </w:rPr>
              <w:t>Jedná se o změnu dle čl. IV., odst. 6a) dle SoD ze dne 26. 10. 2020</w:t>
            </w:r>
          </w:p>
          <w:p w14:paraId="6B8FD30D" w14:textId="269686D5" w:rsidR="00B3207B" w:rsidRDefault="00052D46" w:rsidP="00052D46">
            <w:pPr>
              <w:tabs>
                <w:tab w:val="left" w:pos="528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</w:t>
            </w:r>
            <w:r w:rsidR="006B6A4C">
              <w:rPr>
                <w:rFonts w:ascii="Calibri" w:hAnsi="Calibri" w:cs="Arial"/>
              </w:rPr>
              <w:t>xxx</w:t>
            </w:r>
          </w:p>
          <w:p w14:paraId="0FA4C632" w14:textId="25FC1341" w:rsidR="00052D46" w:rsidRDefault="00052D46" w:rsidP="00052D46">
            <w:pPr>
              <w:tabs>
                <w:tab w:val="left" w:pos="5280"/>
              </w:tabs>
              <w:spacing w:after="120"/>
              <w:jc w:val="center"/>
              <w:rPr>
                <w:rFonts w:ascii="Calibri" w:hAnsi="Calibri" w:cs="Arial"/>
              </w:rPr>
            </w:pPr>
          </w:p>
          <w:p w14:paraId="527B6D25" w14:textId="77777777" w:rsidR="00C7232A" w:rsidRDefault="00C7232A" w:rsidP="00052D46">
            <w:pPr>
              <w:tabs>
                <w:tab w:val="left" w:pos="5280"/>
              </w:tabs>
              <w:spacing w:after="120"/>
              <w:jc w:val="center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3142D72" w14:textId="2710AC2F" w:rsidR="00563A7A" w:rsidRPr="002550FC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2550FC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Pr="002550FC">
              <w:rPr>
                <w:rFonts w:ascii="Calibri" w:hAnsi="Calibri" w:cs="Arial"/>
                <w:bCs/>
                <w:color w:val="FF0000"/>
              </w:rPr>
              <w:t xml:space="preserve"> </w:t>
            </w:r>
          </w:p>
          <w:p w14:paraId="0DB86D02" w14:textId="034184B9" w:rsidR="00B3207B" w:rsidRPr="00952DB7" w:rsidRDefault="00C7232A" w:rsidP="00C7232A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</w:t>
            </w:r>
            <w:r w:rsidR="006B6A4C">
              <w:rPr>
                <w:rFonts w:ascii="Calibri" w:hAnsi="Calibri" w:cs="Arial"/>
              </w:rPr>
              <w:t>xxx</w:t>
            </w:r>
            <w:r>
              <w:rPr>
                <w:rFonts w:ascii="Calibri" w:hAnsi="Calibri" w:cs="Arial"/>
              </w:rPr>
              <w:t xml:space="preserve"> </w:t>
            </w: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333DEF3A" w:rsidR="00B3207B" w:rsidRPr="0039285F" w:rsidRDefault="00B3207B" w:rsidP="00B3207B">
            <w:pPr>
              <w:spacing w:after="120"/>
              <w:rPr>
                <w:rFonts w:ascii="Calibri" w:hAnsi="Calibri"/>
              </w:rPr>
            </w:pPr>
            <w:r w:rsidRPr="0039285F">
              <w:rPr>
                <w:rFonts w:ascii="Calibri" w:hAnsi="Calibri"/>
              </w:rPr>
              <w:t xml:space="preserve">Rozpočet ZL č. </w:t>
            </w:r>
            <w:r w:rsidR="00F022CA" w:rsidRPr="0039285F">
              <w:rPr>
                <w:rFonts w:ascii="Calibri" w:hAnsi="Calibri"/>
              </w:rPr>
              <w:t>12</w:t>
            </w:r>
          </w:p>
          <w:p w14:paraId="7B388227" w14:textId="672B8C80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39285F">
              <w:rPr>
                <w:rFonts w:ascii="Calibri" w:hAnsi="Calibri"/>
              </w:rPr>
              <w:t xml:space="preserve">Změnový list č. </w:t>
            </w:r>
            <w:r w:rsidR="00F022CA" w:rsidRPr="0039285F">
              <w:rPr>
                <w:rFonts w:ascii="Calibri" w:hAnsi="Calibri"/>
              </w:rPr>
              <w:t>12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3990220B" w:rsidR="00B3207B" w:rsidRPr="000D7E15" w:rsidRDefault="00B3207B" w:rsidP="00F022CA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F022CA">
              <w:rPr>
                <w:rFonts w:ascii="Calibri" w:hAnsi="Calibri"/>
                <w:sz w:val="28"/>
              </w:rPr>
              <w:t>12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BE38E30" w:rsidR="00B3207B" w:rsidRPr="000D7E15" w:rsidRDefault="00F135E3" w:rsidP="00301C1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495FD5">
              <w:rPr>
                <w:rFonts w:ascii="Calibri" w:hAnsi="Calibri"/>
              </w:rPr>
              <w:t>.</w:t>
            </w:r>
            <w:r w:rsidR="00881CCC">
              <w:rPr>
                <w:rFonts w:ascii="Calibri" w:hAnsi="Calibri"/>
              </w:rPr>
              <w:t xml:space="preserve"> </w:t>
            </w:r>
            <w:r w:rsidR="00495FD5">
              <w:rPr>
                <w:rFonts w:ascii="Calibri" w:hAnsi="Calibri"/>
              </w:rPr>
              <w:t>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7EFD8364" w14:textId="3EC46B23" w:rsidR="00F022CA" w:rsidRDefault="00F022CA" w:rsidP="00F022CA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Lištování oken na schodech.</w:t>
            </w:r>
          </w:p>
          <w:p w14:paraId="71E85EED" w14:textId="77777777" w:rsidR="00F135E3" w:rsidRDefault="00F135E3" w:rsidP="0024741F">
            <w:pPr>
              <w:spacing w:after="120"/>
              <w:ind w:right="119"/>
              <w:rPr>
                <w:rFonts w:ascii="Calibri" w:hAnsi="Calibri" w:cs="Arial"/>
                <w:b/>
              </w:rPr>
            </w:pP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228B0E68" w14:textId="77777777" w:rsidR="00A879B3" w:rsidRDefault="00A879B3" w:rsidP="00A879B3">
            <w:r w:rsidRPr="00784F3B">
              <w:t xml:space="preserve">Projektem nejsou </w:t>
            </w:r>
            <w:r>
              <w:t>defino</w:t>
            </w:r>
            <w:r w:rsidRPr="00784F3B">
              <w:t>vány žádné úpravy spar mezi okenními profily a ocelovou konstrukcí schodišť v interiéru. Pro estetické a funkční</w:t>
            </w:r>
            <w:r>
              <w:t xml:space="preserve"> </w:t>
            </w:r>
            <w:r w:rsidRPr="00784F3B">
              <w:t>dokončení detailu je navrženo osazení L poplastovaných krycích lišt</w:t>
            </w:r>
            <w:r>
              <w:t>.</w:t>
            </w:r>
          </w:p>
          <w:p w14:paraId="730FA7B2" w14:textId="0EF189F7" w:rsidR="003F3301" w:rsidRPr="00B3207B" w:rsidRDefault="003F3301" w:rsidP="00FF684E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6A648AFA" w:rsidR="00B3207B" w:rsidRPr="000D7E15" w:rsidRDefault="00B3207B" w:rsidP="00F135E3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2E348FA8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A879B3" w:rsidRDefault="00B3207B" w:rsidP="00B3207B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A879B3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A879B3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A879B3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A879B3" w:rsidRDefault="00B3207B" w:rsidP="00B3207B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A879B3" w:rsidRDefault="00F3269A" w:rsidP="00B3207B">
            <w:pPr>
              <w:rPr>
                <w:rFonts w:ascii="Calibri" w:hAnsi="Calibri"/>
              </w:rPr>
            </w:pPr>
          </w:p>
          <w:p w14:paraId="128FC646" w14:textId="6492711A" w:rsidR="00B3207B" w:rsidRPr="00A879B3" w:rsidRDefault="00F022CA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A879B3">
              <w:rPr>
                <w:rFonts w:ascii="Calibri" w:hAnsi="Calibri" w:cs="Calibri"/>
                <w:b/>
              </w:rPr>
              <w:t>67.687</w:t>
            </w:r>
            <w:r w:rsidR="00F135E3" w:rsidRPr="00A879B3">
              <w:rPr>
                <w:rFonts w:ascii="Calibri" w:hAnsi="Calibri" w:cs="Calibri"/>
                <w:b/>
              </w:rPr>
              <w:t>,</w:t>
            </w:r>
            <w:r w:rsidR="00A879B3" w:rsidRPr="00A879B3">
              <w:rPr>
                <w:rFonts w:ascii="Calibri" w:hAnsi="Calibri" w:cs="Calibri"/>
                <w:b/>
              </w:rPr>
              <w:t>50</w:t>
            </w:r>
            <w:r w:rsidR="00495FD5" w:rsidRPr="00A879B3">
              <w:rPr>
                <w:rFonts w:ascii="Calibri" w:hAnsi="Calibri" w:cs="Calibri"/>
                <w:b/>
              </w:rPr>
              <w:t xml:space="preserve"> </w:t>
            </w:r>
            <w:r w:rsidR="00495FD5" w:rsidRPr="00A879B3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A879B3" w:rsidRDefault="00660B60" w:rsidP="004A3E77">
            <w:pPr>
              <w:spacing w:after="120"/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A879B3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4AEF972D" w:rsidR="00660B60" w:rsidRPr="00A879B3" w:rsidRDefault="00F022CA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A879B3">
              <w:rPr>
                <w:rFonts w:ascii="Calibri" w:hAnsi="Calibri" w:cs="Calibri"/>
                <w:b/>
              </w:rPr>
              <w:t>67.687</w:t>
            </w:r>
            <w:r w:rsidR="00F135E3" w:rsidRPr="00A879B3">
              <w:rPr>
                <w:rFonts w:ascii="Calibri" w:hAnsi="Calibri" w:cs="Calibri"/>
                <w:b/>
              </w:rPr>
              <w:t>,</w:t>
            </w:r>
            <w:r w:rsidR="00A879B3" w:rsidRPr="00A879B3">
              <w:rPr>
                <w:rFonts w:ascii="Calibri" w:hAnsi="Calibri" w:cs="Calibri"/>
                <w:b/>
              </w:rPr>
              <w:t>50</w:t>
            </w:r>
            <w:r w:rsidR="0024741F" w:rsidRPr="00A879B3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A879B3" w:rsidRDefault="00660B60" w:rsidP="004A3E77">
            <w:pPr>
              <w:spacing w:after="120"/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A879B3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A879B3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:rsidRPr="00A879B3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A879B3" w:rsidRDefault="00660B60" w:rsidP="00660B60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3201E85D" w14:textId="28E532DD" w:rsidR="00660B60" w:rsidRPr="00A879B3" w:rsidRDefault="00660B60" w:rsidP="00660B60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 xml:space="preserve">Datum: </w:t>
            </w:r>
            <w:r w:rsidR="00A879B3" w:rsidRPr="00A879B3">
              <w:rPr>
                <w:rFonts w:ascii="Calibri" w:hAnsi="Calibri"/>
              </w:rPr>
              <w:t xml:space="preserve">8. 9. 2021 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A879B3" w:rsidRDefault="00660B60" w:rsidP="00660B60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A879B3" w:rsidRDefault="00660B60" w:rsidP="00660B60">
            <w:pPr>
              <w:rPr>
                <w:rFonts w:ascii="Calibri" w:hAnsi="Calibri"/>
              </w:rPr>
            </w:pPr>
          </w:p>
          <w:p w14:paraId="0E3C185F" w14:textId="7B81429B" w:rsidR="00660B60" w:rsidRPr="00A879B3" w:rsidRDefault="00660B60" w:rsidP="00660B60">
            <w:pPr>
              <w:rPr>
                <w:rFonts w:ascii="Calibri" w:hAnsi="Calibri"/>
              </w:rPr>
            </w:pPr>
            <w:r w:rsidRPr="00A879B3">
              <w:rPr>
                <w:rFonts w:ascii="Calibri" w:hAnsi="Calibri"/>
              </w:rPr>
              <w:t xml:space="preserve">Datum: </w:t>
            </w:r>
            <w:r w:rsidR="00A879B3" w:rsidRPr="00A879B3">
              <w:rPr>
                <w:rFonts w:ascii="Calibri" w:hAnsi="Calibri"/>
              </w:rPr>
              <w:t xml:space="preserve">8. 9. 2021 </w:t>
            </w:r>
          </w:p>
        </w:tc>
      </w:tr>
    </w:tbl>
    <w:p w14:paraId="5244BB23" w14:textId="77777777" w:rsidR="00660B60" w:rsidRPr="00A879B3" w:rsidRDefault="00660B60" w:rsidP="00660B60">
      <w:pPr>
        <w:rPr>
          <w:rFonts w:ascii="Calibri" w:hAnsi="Calibri"/>
          <w:b/>
        </w:rPr>
      </w:pPr>
      <w:r w:rsidRPr="00A879B3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A879B3" w:rsidRDefault="00660B60" w:rsidP="00660B60">
      <w:pPr>
        <w:rPr>
          <w:rFonts w:ascii="Calibri" w:hAnsi="Calibri"/>
        </w:rPr>
      </w:pPr>
      <w:r w:rsidRPr="00A879B3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A879B3">
        <w:rPr>
          <w:rFonts w:ascii="Calibri" w:hAnsi="Calibri"/>
        </w:rPr>
        <w:t>Posoudil způsobilost/nezpůsobilost 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0A667" w14:textId="77777777" w:rsidR="003453B7" w:rsidRDefault="003453B7" w:rsidP="00660B60">
      <w:pPr>
        <w:spacing w:after="0" w:line="240" w:lineRule="auto"/>
      </w:pPr>
      <w:r>
        <w:separator/>
      </w:r>
    </w:p>
  </w:endnote>
  <w:endnote w:type="continuationSeparator" w:id="0">
    <w:p w14:paraId="22DAFB71" w14:textId="77777777" w:rsidR="003453B7" w:rsidRDefault="003453B7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804B" w14:textId="77777777" w:rsidR="003453B7" w:rsidRDefault="003453B7" w:rsidP="00660B60">
      <w:pPr>
        <w:spacing w:after="0" w:line="240" w:lineRule="auto"/>
      </w:pPr>
      <w:r>
        <w:separator/>
      </w:r>
    </w:p>
  </w:footnote>
  <w:footnote w:type="continuationSeparator" w:id="0">
    <w:p w14:paraId="4BE3CB24" w14:textId="77777777" w:rsidR="003453B7" w:rsidRDefault="003453B7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439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2511"/>
    <w:multiLevelType w:val="hybridMultilevel"/>
    <w:tmpl w:val="68D8AF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4076EB"/>
    <w:multiLevelType w:val="hybridMultilevel"/>
    <w:tmpl w:val="21CCFB60"/>
    <w:lvl w:ilvl="0" w:tplc="A596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470E0"/>
    <w:rsid w:val="00052D46"/>
    <w:rsid w:val="000D6721"/>
    <w:rsid w:val="00134F64"/>
    <w:rsid w:val="00153625"/>
    <w:rsid w:val="00196D83"/>
    <w:rsid w:val="001A27B4"/>
    <w:rsid w:val="001C27AB"/>
    <w:rsid w:val="001D5968"/>
    <w:rsid w:val="00231077"/>
    <w:rsid w:val="0024741F"/>
    <w:rsid w:val="00285C8C"/>
    <w:rsid w:val="00294557"/>
    <w:rsid w:val="002A1F21"/>
    <w:rsid w:val="002A23FD"/>
    <w:rsid w:val="00301C16"/>
    <w:rsid w:val="003162B0"/>
    <w:rsid w:val="00331D57"/>
    <w:rsid w:val="003453B7"/>
    <w:rsid w:val="003668D0"/>
    <w:rsid w:val="00367029"/>
    <w:rsid w:val="00375E7C"/>
    <w:rsid w:val="0039285F"/>
    <w:rsid w:val="003E349A"/>
    <w:rsid w:val="003F3301"/>
    <w:rsid w:val="00440349"/>
    <w:rsid w:val="004568EB"/>
    <w:rsid w:val="00492423"/>
    <w:rsid w:val="00495FD5"/>
    <w:rsid w:val="004A3E77"/>
    <w:rsid w:val="004D0D24"/>
    <w:rsid w:val="00502667"/>
    <w:rsid w:val="00502715"/>
    <w:rsid w:val="00563A7A"/>
    <w:rsid w:val="00574723"/>
    <w:rsid w:val="005B771B"/>
    <w:rsid w:val="006510A4"/>
    <w:rsid w:val="00657ABC"/>
    <w:rsid w:val="00660B60"/>
    <w:rsid w:val="006B3E6C"/>
    <w:rsid w:val="006B6A4C"/>
    <w:rsid w:val="006D31F1"/>
    <w:rsid w:val="006F6431"/>
    <w:rsid w:val="00721D63"/>
    <w:rsid w:val="007579CC"/>
    <w:rsid w:val="007752C2"/>
    <w:rsid w:val="00834B46"/>
    <w:rsid w:val="00870EBC"/>
    <w:rsid w:val="00881CCC"/>
    <w:rsid w:val="008F00F4"/>
    <w:rsid w:val="00922A06"/>
    <w:rsid w:val="00942C89"/>
    <w:rsid w:val="009970CE"/>
    <w:rsid w:val="009C0818"/>
    <w:rsid w:val="009C73D8"/>
    <w:rsid w:val="00A0148C"/>
    <w:rsid w:val="00A043C7"/>
    <w:rsid w:val="00A12755"/>
    <w:rsid w:val="00A1308A"/>
    <w:rsid w:val="00A37829"/>
    <w:rsid w:val="00A62817"/>
    <w:rsid w:val="00A71663"/>
    <w:rsid w:val="00A879B3"/>
    <w:rsid w:val="00A95F20"/>
    <w:rsid w:val="00AA11D1"/>
    <w:rsid w:val="00AA1436"/>
    <w:rsid w:val="00AE7C57"/>
    <w:rsid w:val="00B3207B"/>
    <w:rsid w:val="00BA4731"/>
    <w:rsid w:val="00BD672D"/>
    <w:rsid w:val="00BF38AD"/>
    <w:rsid w:val="00C42177"/>
    <w:rsid w:val="00C7232A"/>
    <w:rsid w:val="00CA30F7"/>
    <w:rsid w:val="00CB19A7"/>
    <w:rsid w:val="00D535ED"/>
    <w:rsid w:val="00EA7BD3"/>
    <w:rsid w:val="00EE1CB3"/>
    <w:rsid w:val="00F022CA"/>
    <w:rsid w:val="00F0595F"/>
    <w:rsid w:val="00F135E3"/>
    <w:rsid w:val="00F27C21"/>
    <w:rsid w:val="00F3269A"/>
    <w:rsid w:val="00F37585"/>
    <w:rsid w:val="00F44CCB"/>
    <w:rsid w:val="00F55735"/>
    <w:rsid w:val="00F905B7"/>
    <w:rsid w:val="00F96437"/>
    <w:rsid w:val="00FB3E45"/>
    <w:rsid w:val="00FD078F"/>
    <w:rsid w:val="00FE54AE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AB6525BF-BD8E-4F8D-B66E-25FEC06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Odstavecseseznamem">
    <w:name w:val="List Paragraph"/>
    <w:basedOn w:val="Normln"/>
    <w:uiPriority w:val="34"/>
    <w:qFormat/>
    <w:rsid w:val="00EE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75E7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Michaela - Energy Benefit Centre a.s.</dc:creator>
  <cp:lastModifiedBy>Krejčiříková Jaroslava</cp:lastModifiedBy>
  <cp:revision>2</cp:revision>
  <dcterms:created xsi:type="dcterms:W3CDTF">2021-09-22T06:18:00Z</dcterms:created>
  <dcterms:modified xsi:type="dcterms:W3CDTF">2021-09-22T06:18:00Z</dcterms:modified>
</cp:coreProperties>
</file>