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7D19EB8E" w:rsidR="00B3207B" w:rsidRPr="000D7E15" w:rsidRDefault="00B3207B" w:rsidP="00F135E3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F135E3">
              <w:rPr>
                <w:rFonts w:ascii="Calibri" w:hAnsi="Calibri"/>
                <w:sz w:val="28"/>
              </w:rPr>
              <w:t>6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A7ACDBD" w:rsidR="00B3207B" w:rsidRPr="000D7E15" w:rsidRDefault="00B3207B" w:rsidP="00F135E3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135E3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1BCE57C5" w:rsidR="00B3207B" w:rsidRDefault="00B3207B" w:rsidP="00F135E3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F135E3">
              <w:rPr>
                <w:rFonts w:ascii="Calibri" w:hAnsi="Calibri"/>
                <w:b/>
              </w:rPr>
              <w:t>6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040A0462" w:rsidR="00FF684E" w:rsidRDefault="00F135E3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skladeb balkonů.</w:t>
            </w:r>
          </w:p>
          <w:p w14:paraId="6019CB1E" w14:textId="77777777" w:rsidR="0037681D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</w:t>
            </w:r>
          </w:p>
          <w:p w14:paraId="4BACDAB2" w14:textId="79DEB130" w:rsidR="00B3207B" w:rsidRDefault="0037681D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6F79F1">
              <w:t>Projektem je navržena systémová skladba PCI na podlahy balkonů. Tato skladba již ale není kompletně obsažena ve VV, postrádá některé</w:t>
            </w:r>
            <w:r>
              <w:t xml:space="preserve"> </w:t>
            </w:r>
            <w:r w:rsidRPr="006F79F1">
              <w:t>důležité položky a úkony</w:t>
            </w:r>
            <w:r>
              <w:t xml:space="preserve">. (Konkrétní položky jsou vyčísleny v položkovém rozpočtu). </w:t>
            </w:r>
            <w:r w:rsidR="00B3207B"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08287325" w14:textId="56A26081" w:rsidR="00B3207B" w:rsidRPr="00B3207B" w:rsidRDefault="00B3207B" w:rsidP="00F135E3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1045D">
              <w:rPr>
                <w:rFonts w:ascii="Calibri" w:hAnsi="Calibri"/>
              </w:rPr>
            </w:r>
            <w:r w:rsidR="0011045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Default="00B3207B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6F406BD5" w14:textId="77777777" w:rsidR="0037681D" w:rsidRDefault="0037681D" w:rsidP="00B3207B">
            <w:pPr>
              <w:spacing w:after="120"/>
              <w:rPr>
                <w:rFonts w:ascii="Calibri" w:hAnsi="Calibri" w:cs="Arial"/>
                <w:b/>
                <w:color w:val="000000" w:themeColor="text1"/>
              </w:rPr>
            </w:pPr>
          </w:p>
          <w:p w14:paraId="77925984" w14:textId="77777777" w:rsidR="0037681D" w:rsidRDefault="0037681D" w:rsidP="0037681D">
            <w:r>
              <w:t xml:space="preserve">Projektem je specifikována certifikovaná systémová skladba PCI. </w:t>
            </w:r>
          </w:p>
          <w:p w14:paraId="448116DD" w14:textId="77777777" w:rsidR="0037681D" w:rsidRDefault="0037681D" w:rsidP="0037681D">
            <w:r>
              <w:t xml:space="preserve">Zhotovitel uplatnil nárok na úhradu některých položek systémové skladby, které nejsou dle jeho názoru obsaženy ve smluvním položkovém výkazu výměr. V něm není skladba popsána souhrnnou položkou, jsou tam jednotlivé úkony zatříděny pod větší počet samostatných položek. V tomto případě žádám o detailní stanovisko projektanta/rozpočtáře ke konkrétnímu návrhu změnového rozpočtu, předloženého MSU, které bude potvrzovat, že všechny zhotovitelem uplatňované položky skutečně chybí. </w:t>
            </w:r>
          </w:p>
          <w:p w14:paraId="1575ABB7" w14:textId="77777777" w:rsidR="0037681D" w:rsidRPr="005B495B" w:rsidRDefault="0037681D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425C609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3A6E80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2283644B" w14:textId="25AB5236" w:rsidR="00B43F23" w:rsidRPr="00BA532A" w:rsidRDefault="003728DC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 xml:space="preserve">V projektové dokumentaci byla navržena systémová skladba PCI. Tato skladba byla popsána jako skladba F05 - skladba podlahy balkonu. Řešení podlahy na balkonech bylo popsáno jak v D.1.1 - TZ, tak ve výpisech skladeb. </w:t>
            </w:r>
          </w:p>
          <w:p w14:paraId="14B414D4" w14:textId="77777777" w:rsidR="006F061D" w:rsidRPr="00BA532A" w:rsidRDefault="00B43F23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 xml:space="preserve">Jednotlivé vrstvy skladby jsou v rozpočtu uvedeny, při provádění stavby </w:t>
            </w:r>
            <w:r w:rsidR="006F061D" w:rsidRPr="00BA532A">
              <w:rPr>
                <w:rFonts w:ascii="Calibri" w:hAnsi="Calibri" w:cs="Arial"/>
                <w:color w:val="000000" w:themeColor="text1"/>
              </w:rPr>
              <w:t xml:space="preserve">však </w:t>
            </w:r>
            <w:r w:rsidRPr="00BA532A">
              <w:rPr>
                <w:rFonts w:ascii="Calibri" w:hAnsi="Calibri" w:cs="Arial"/>
                <w:color w:val="000000" w:themeColor="text1"/>
              </w:rPr>
              <w:t xml:space="preserve">byla zjištěna absence těsnících a distančních pásků spár podlahy. </w:t>
            </w:r>
          </w:p>
          <w:p w14:paraId="387DA79A" w14:textId="405FAD51" w:rsidR="00B43F23" w:rsidRPr="00BA532A" w:rsidRDefault="00B43F23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>Vícepráce vznikly během provádění na základě odkrývání konstrukce</w:t>
            </w:r>
            <w:r w:rsidR="006F061D" w:rsidRPr="00BA532A">
              <w:rPr>
                <w:rFonts w:ascii="Calibri" w:hAnsi="Calibri" w:cs="Arial"/>
                <w:color w:val="000000" w:themeColor="text1"/>
              </w:rPr>
              <w:t xml:space="preserve"> a přesný rozsah nemohl být v projektové dokumentaci stanoven. </w:t>
            </w:r>
            <w:r w:rsidRPr="00BA532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3AC74CF1" w14:textId="77777777" w:rsidR="006F061D" w:rsidRPr="00BA532A" w:rsidRDefault="006F061D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>V rozpočtu chybí položka:</w:t>
            </w:r>
          </w:p>
          <w:p w14:paraId="6BF54D51" w14:textId="404700C2" w:rsidR="003728DC" w:rsidRPr="00BA532A" w:rsidRDefault="006F061D" w:rsidP="006F061D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 xml:space="preserve">Penetrace hloubková </w:t>
            </w:r>
          </w:p>
          <w:p w14:paraId="7EF4E651" w14:textId="09D98316" w:rsidR="006F061D" w:rsidRPr="00BA532A" w:rsidRDefault="006F061D" w:rsidP="006F061D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 xml:space="preserve">Spára podlaha – stěna </w:t>
            </w:r>
          </w:p>
          <w:p w14:paraId="7886A574" w14:textId="2ECF0B83" w:rsidR="006F061D" w:rsidRPr="00BA532A" w:rsidRDefault="006F061D" w:rsidP="006F061D">
            <w:pPr>
              <w:pStyle w:val="Odstavecseseznamem"/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 xml:space="preserve">Tyto položky mohly být ve VV předpokládány. Ostatní položky vznikly odkrýváním konstrukce při provádění a při realizaci je nutné tyto položky doplnit. </w:t>
            </w:r>
          </w:p>
          <w:p w14:paraId="40B5AD43" w14:textId="77777777" w:rsidR="006F061D" w:rsidRPr="00BA532A" w:rsidRDefault="006F061D" w:rsidP="006F061D">
            <w:pPr>
              <w:pStyle w:val="Odstavecseseznamem"/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7C088158" w14:textId="1E4DBA11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BA532A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6F061D" w:rsidRPr="00BA532A">
              <w:rPr>
                <w:rFonts w:ascii="Calibri" w:hAnsi="Calibri" w:cs="Arial"/>
                <w:color w:val="000000" w:themeColor="text1"/>
              </w:rPr>
              <w:t>d</w:t>
            </w:r>
            <w:r w:rsidRPr="00BA532A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6B8FD30D" w14:textId="27C4F964" w:rsidR="00B3207B" w:rsidRDefault="003728DC" w:rsidP="003728DC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</w:t>
            </w:r>
            <w:r w:rsidR="003A6E80">
              <w:rPr>
                <w:rFonts w:ascii="Calibri" w:hAnsi="Calibri" w:cs="Arial"/>
              </w:rPr>
              <w:t>xxx</w:t>
            </w: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6D57638D" w:rsidR="00B3207B" w:rsidRDefault="00B3207B" w:rsidP="00B3207B">
            <w:pPr>
              <w:spacing w:after="120"/>
              <w:jc w:val="center"/>
              <w:rPr>
                <w:rFonts w:ascii="Calibri" w:hAnsi="Calibri" w:cs="Arial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4C931C65" w14:textId="77777777" w:rsidR="009F09CC" w:rsidRPr="00952DB7" w:rsidRDefault="009F09CC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51CC21E6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Pr="002550FC">
              <w:rPr>
                <w:rFonts w:ascii="Calibri" w:hAnsi="Calibri" w:cs="Arial"/>
                <w:bCs/>
                <w:color w:val="FF0000"/>
              </w:rPr>
              <w:t xml:space="preserve"> </w:t>
            </w:r>
          </w:p>
          <w:p w14:paraId="773A9CCC" w14:textId="7F9C22E1" w:rsidR="00B3207B" w:rsidRDefault="009F09CC" w:rsidP="009F09CC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</w:t>
            </w:r>
            <w:r w:rsidR="003A6E80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 xml:space="preserve"> </w:t>
            </w: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4D5067EE" w:rsidR="00B3207B" w:rsidRPr="005D65C1" w:rsidRDefault="00B3207B" w:rsidP="00B3207B">
            <w:pPr>
              <w:spacing w:after="120"/>
              <w:rPr>
                <w:rFonts w:ascii="Calibri" w:hAnsi="Calibri"/>
              </w:rPr>
            </w:pPr>
            <w:r w:rsidRPr="005D65C1">
              <w:rPr>
                <w:rFonts w:ascii="Calibri" w:hAnsi="Calibri"/>
              </w:rPr>
              <w:t xml:space="preserve">Rozpočet ZL č. </w:t>
            </w:r>
            <w:r w:rsidR="00F135E3" w:rsidRPr="005D65C1">
              <w:rPr>
                <w:rFonts w:ascii="Calibri" w:hAnsi="Calibri"/>
              </w:rPr>
              <w:t>6</w:t>
            </w:r>
          </w:p>
          <w:p w14:paraId="7B388227" w14:textId="18BE4BAC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5D65C1">
              <w:rPr>
                <w:rFonts w:ascii="Calibri" w:hAnsi="Calibri"/>
              </w:rPr>
              <w:t xml:space="preserve">Změnový list č. </w:t>
            </w:r>
            <w:r w:rsidR="00F135E3" w:rsidRPr="005D65C1">
              <w:rPr>
                <w:rFonts w:ascii="Calibri" w:hAnsi="Calibri"/>
              </w:rPr>
              <w:t>6</w:t>
            </w:r>
          </w:p>
        </w:tc>
      </w:tr>
      <w:tr w:rsidR="003728DC" w14:paraId="1D31FE5F" w14:textId="77777777" w:rsidTr="00B3207B">
        <w:tc>
          <w:tcPr>
            <w:tcW w:w="9026" w:type="dxa"/>
            <w:gridSpan w:val="11"/>
          </w:tcPr>
          <w:p w14:paraId="7D756F0B" w14:textId="77777777" w:rsidR="003728DC" w:rsidRPr="000D7E15" w:rsidRDefault="003728DC" w:rsidP="00B3207B">
            <w:pPr>
              <w:spacing w:after="120"/>
              <w:rPr>
                <w:rFonts w:ascii="Calibri" w:hAnsi="Calibri"/>
              </w:rPr>
            </w:pPr>
          </w:p>
        </w:tc>
      </w:tr>
    </w:tbl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10E344C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F135E3">
              <w:rPr>
                <w:rFonts w:ascii="Calibri" w:hAnsi="Calibri"/>
                <w:sz w:val="28"/>
              </w:rPr>
              <w:t>6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87F0E24" w:rsidR="00B3207B" w:rsidRPr="000D7E15" w:rsidRDefault="00F135E3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D369469" w14:textId="77777777" w:rsidR="00F135E3" w:rsidRDefault="00F135E3" w:rsidP="00F135E3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skladeb balkonů.</w:t>
            </w:r>
          </w:p>
          <w:p w14:paraId="71E85EED" w14:textId="77777777" w:rsidR="00F135E3" w:rsidRDefault="00F135E3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</w:p>
          <w:p w14:paraId="3B73F25A" w14:textId="77777777" w:rsidR="00903386" w:rsidRDefault="0024741F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</w:p>
          <w:p w14:paraId="6A2536CB" w14:textId="77777777" w:rsidR="00903386" w:rsidRDefault="00903386" w:rsidP="00903386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6F79F1">
              <w:t>Projektem je navržena systémová skladba PCI na podlahy balkonů. Tato skladba již ale není kompletně obsažena ve VV, postrádá některé</w:t>
            </w:r>
            <w:r>
              <w:t xml:space="preserve"> </w:t>
            </w:r>
            <w:r w:rsidRPr="006F79F1">
              <w:t>důležité položky a úkony</w:t>
            </w:r>
            <w:r>
              <w:t xml:space="preserve">. (Konkrétní položky jsou vyčísleny v položkovém rozpočtu). </w:t>
            </w: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30FA7B2" w14:textId="15A7BF95" w:rsidR="003F3301" w:rsidRPr="00B3207B" w:rsidRDefault="0024741F" w:rsidP="00903386">
            <w:pPr>
              <w:spacing w:after="120"/>
              <w:ind w:right="119"/>
              <w:rPr>
                <w:rFonts w:cstheme="minorHAnsi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</w:t>
            </w: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A648AFA" w:rsidR="00B3207B" w:rsidRPr="000D7E15" w:rsidRDefault="00B3207B" w:rsidP="00F135E3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2E348FA8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9F09CC" w:rsidRDefault="00B3207B" w:rsidP="00B3207B">
            <w:pPr>
              <w:rPr>
                <w:rFonts w:ascii="Calibri" w:hAnsi="Calibri"/>
              </w:rPr>
            </w:pPr>
            <w:r w:rsidRPr="009F09CC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9F09CC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9F09CC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9F09CC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9F09CC" w:rsidRDefault="00B3207B" w:rsidP="00B3207B">
            <w:pPr>
              <w:rPr>
                <w:rFonts w:ascii="Calibri" w:hAnsi="Calibri"/>
              </w:rPr>
            </w:pPr>
            <w:r w:rsidRPr="009F09CC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9F09CC" w:rsidRDefault="00F3269A" w:rsidP="00B3207B">
            <w:pPr>
              <w:rPr>
                <w:rFonts w:ascii="Calibri" w:hAnsi="Calibri"/>
              </w:rPr>
            </w:pPr>
          </w:p>
          <w:p w14:paraId="128FC646" w14:textId="6A150CB1" w:rsidR="00B3207B" w:rsidRPr="009F09CC" w:rsidRDefault="00F135E3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9F09CC">
              <w:rPr>
                <w:rFonts w:ascii="Calibri" w:hAnsi="Calibri" w:cs="Calibri"/>
                <w:b/>
              </w:rPr>
              <w:t>136.078,</w:t>
            </w:r>
            <w:r w:rsidR="00903386">
              <w:rPr>
                <w:rFonts w:ascii="Calibri" w:hAnsi="Calibri" w:cs="Calibri"/>
                <w:b/>
              </w:rPr>
              <w:t>66</w:t>
            </w:r>
            <w:r w:rsidR="00495FD5" w:rsidRPr="009F09CC">
              <w:rPr>
                <w:rFonts w:ascii="Calibri" w:hAnsi="Calibri" w:cs="Calibri"/>
                <w:b/>
              </w:rPr>
              <w:t xml:space="preserve"> </w:t>
            </w:r>
            <w:r w:rsidR="00495FD5" w:rsidRPr="009F09CC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9F09CC" w:rsidRDefault="00660B60" w:rsidP="004A3E77">
            <w:pPr>
              <w:spacing w:after="120"/>
              <w:rPr>
                <w:rFonts w:ascii="Calibri" w:hAnsi="Calibri"/>
              </w:rPr>
            </w:pPr>
            <w:r w:rsidRPr="009F09CC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9F09C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73CE9606" w:rsidR="00660B60" w:rsidRPr="009F09CC" w:rsidRDefault="00F135E3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9F09CC">
              <w:rPr>
                <w:rFonts w:ascii="Calibri" w:hAnsi="Calibri" w:cs="Calibri"/>
                <w:b/>
              </w:rPr>
              <w:t>136.078,</w:t>
            </w:r>
            <w:r w:rsidR="00903386">
              <w:rPr>
                <w:rFonts w:ascii="Calibri" w:hAnsi="Calibri" w:cs="Calibri"/>
                <w:b/>
              </w:rPr>
              <w:t>66</w:t>
            </w:r>
            <w:r w:rsidR="0024741F" w:rsidRPr="009F09CC">
              <w:rPr>
                <w:rFonts w:ascii="Calibri" w:hAnsi="Calibri" w:cs="Calibri"/>
                <w:b/>
              </w:rPr>
              <w:t xml:space="preserve"> </w:t>
            </w:r>
            <w:r w:rsidR="0024741F" w:rsidRPr="009F09CC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9F09CC" w:rsidRDefault="00660B60" w:rsidP="004A3E77">
            <w:pPr>
              <w:spacing w:after="120"/>
              <w:rPr>
                <w:rFonts w:ascii="Calibri" w:hAnsi="Calibri"/>
              </w:rPr>
            </w:pPr>
            <w:r w:rsidRPr="009F09CC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9F09C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9F09CC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9F09CC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0A796528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9F09CC">
              <w:rPr>
                <w:rFonts w:ascii="Calibri" w:hAnsi="Calibri"/>
              </w:rPr>
              <w:t xml:space="preserve"> 8. 9. 2021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79EC4520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9F09CC">
              <w:rPr>
                <w:rFonts w:ascii="Calibri" w:hAnsi="Calibri"/>
              </w:rPr>
              <w:t xml:space="preserve"> 8. 9. 2021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34FAA" w14:textId="77777777" w:rsidR="0011045D" w:rsidRDefault="0011045D" w:rsidP="00660B60">
      <w:pPr>
        <w:spacing w:after="0" w:line="240" w:lineRule="auto"/>
      </w:pPr>
      <w:r>
        <w:separator/>
      </w:r>
    </w:p>
  </w:endnote>
  <w:endnote w:type="continuationSeparator" w:id="0">
    <w:p w14:paraId="63A7A094" w14:textId="77777777" w:rsidR="0011045D" w:rsidRDefault="0011045D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A90BC" w14:textId="77777777" w:rsidR="0011045D" w:rsidRDefault="0011045D" w:rsidP="00660B60">
      <w:pPr>
        <w:spacing w:after="0" w:line="240" w:lineRule="auto"/>
      </w:pPr>
      <w:r>
        <w:separator/>
      </w:r>
    </w:p>
  </w:footnote>
  <w:footnote w:type="continuationSeparator" w:id="0">
    <w:p w14:paraId="05D31755" w14:textId="77777777" w:rsidR="0011045D" w:rsidRDefault="0011045D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0C1"/>
    <w:multiLevelType w:val="hybridMultilevel"/>
    <w:tmpl w:val="D4EE64E0"/>
    <w:lvl w:ilvl="0" w:tplc="883E1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D6721"/>
    <w:rsid w:val="0011045D"/>
    <w:rsid w:val="00134F64"/>
    <w:rsid w:val="00153625"/>
    <w:rsid w:val="00196D83"/>
    <w:rsid w:val="001D5968"/>
    <w:rsid w:val="0024741F"/>
    <w:rsid w:val="00285C8C"/>
    <w:rsid w:val="00294557"/>
    <w:rsid w:val="002A1F21"/>
    <w:rsid w:val="002A23FD"/>
    <w:rsid w:val="003125C8"/>
    <w:rsid w:val="003162B0"/>
    <w:rsid w:val="00331D57"/>
    <w:rsid w:val="003668D0"/>
    <w:rsid w:val="00367029"/>
    <w:rsid w:val="003728DC"/>
    <w:rsid w:val="00375E7C"/>
    <w:rsid w:val="0037681D"/>
    <w:rsid w:val="003A6E80"/>
    <w:rsid w:val="003F3301"/>
    <w:rsid w:val="004312C4"/>
    <w:rsid w:val="00440349"/>
    <w:rsid w:val="00495FD5"/>
    <w:rsid w:val="004A3E77"/>
    <w:rsid w:val="004D0D24"/>
    <w:rsid w:val="00502715"/>
    <w:rsid w:val="00563A7A"/>
    <w:rsid w:val="005D3231"/>
    <w:rsid w:val="005D65C1"/>
    <w:rsid w:val="00657ABC"/>
    <w:rsid w:val="00660B60"/>
    <w:rsid w:val="006B3E6C"/>
    <w:rsid w:val="006D31F1"/>
    <w:rsid w:val="006F061D"/>
    <w:rsid w:val="006F6431"/>
    <w:rsid w:val="00721D63"/>
    <w:rsid w:val="007579CC"/>
    <w:rsid w:val="0078016C"/>
    <w:rsid w:val="00791D0A"/>
    <w:rsid w:val="00834B46"/>
    <w:rsid w:val="00870EBC"/>
    <w:rsid w:val="00881CCC"/>
    <w:rsid w:val="008F00F4"/>
    <w:rsid w:val="00903386"/>
    <w:rsid w:val="00922A06"/>
    <w:rsid w:val="00942C89"/>
    <w:rsid w:val="009970CE"/>
    <w:rsid w:val="009C0818"/>
    <w:rsid w:val="009C73D8"/>
    <w:rsid w:val="009F09CC"/>
    <w:rsid w:val="00A043C7"/>
    <w:rsid w:val="00A12755"/>
    <w:rsid w:val="00A1308A"/>
    <w:rsid w:val="00A37829"/>
    <w:rsid w:val="00A62817"/>
    <w:rsid w:val="00A71663"/>
    <w:rsid w:val="00A95F20"/>
    <w:rsid w:val="00AA48E0"/>
    <w:rsid w:val="00AE7C57"/>
    <w:rsid w:val="00B3207B"/>
    <w:rsid w:val="00B43F23"/>
    <w:rsid w:val="00BA532A"/>
    <w:rsid w:val="00BA6486"/>
    <w:rsid w:val="00BF38AD"/>
    <w:rsid w:val="00C20BFB"/>
    <w:rsid w:val="00C42177"/>
    <w:rsid w:val="00CA30F7"/>
    <w:rsid w:val="00CB19A7"/>
    <w:rsid w:val="00D535ED"/>
    <w:rsid w:val="00EA7BD3"/>
    <w:rsid w:val="00EE1CB3"/>
    <w:rsid w:val="00F0595F"/>
    <w:rsid w:val="00F135E3"/>
    <w:rsid w:val="00F27C21"/>
    <w:rsid w:val="00F3269A"/>
    <w:rsid w:val="00F44CCB"/>
    <w:rsid w:val="00F55735"/>
    <w:rsid w:val="00F905B7"/>
    <w:rsid w:val="00F96437"/>
    <w:rsid w:val="00FB3E45"/>
    <w:rsid w:val="00FD078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7EE9B343-3A1D-4821-BB70-EFDD46DC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2021-09-22T06:11:00Z</dcterms:created>
  <dcterms:modified xsi:type="dcterms:W3CDTF">2021-09-22T06:11:00Z</dcterms:modified>
</cp:coreProperties>
</file>