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5439" w14:textId="77777777" w:rsidR="008244D5" w:rsidRDefault="003E78F8">
      <w:pPr>
        <w:pStyle w:val="Zkladntext1"/>
        <w:spacing w:after="440" w:line="240" w:lineRule="auto"/>
        <w:ind w:firstLine="280"/>
        <w:jc w:val="both"/>
        <w:rPr>
          <w:sz w:val="19"/>
          <w:szCs w:val="19"/>
        </w:rPr>
      </w:pPr>
      <w:r>
        <w:rPr>
          <w:noProof/>
        </w:rPr>
        <mc:AlternateContent>
          <mc:Choice Requires="wps">
            <w:drawing>
              <wp:anchor distT="0" distB="0" distL="114300" distR="114300" simplePos="0" relativeHeight="125829378" behindDoc="0" locked="0" layoutInCell="1" allowOverlap="1" wp14:anchorId="490C2AC4" wp14:editId="72D18B60">
                <wp:simplePos x="0" y="0"/>
                <wp:positionH relativeFrom="page">
                  <wp:posOffset>3897630</wp:posOffset>
                </wp:positionH>
                <wp:positionV relativeFrom="paragraph">
                  <wp:posOffset>12700</wp:posOffset>
                </wp:positionV>
                <wp:extent cx="1456690" cy="16446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456690" cy="164465"/>
                        </a:xfrm>
                        <a:prstGeom prst="rect">
                          <a:avLst/>
                        </a:prstGeom>
                        <a:noFill/>
                      </wps:spPr>
                      <wps:txbx>
                        <w:txbxContent>
                          <w:p w14:paraId="73038C5B" w14:textId="77777777" w:rsidR="008244D5" w:rsidRDefault="003E78F8">
                            <w:pPr>
                              <w:pStyle w:val="Zkladntext1"/>
                              <w:spacing w:line="240" w:lineRule="auto"/>
                              <w:rPr>
                                <w:sz w:val="19"/>
                                <w:szCs w:val="19"/>
                              </w:rPr>
                            </w:pPr>
                            <w:r>
                              <w:rPr>
                                <w:sz w:val="19"/>
                                <w:szCs w:val="19"/>
                              </w:rPr>
                              <w:t>Číslo smlouvy poskytovatele:</w:t>
                            </w:r>
                          </w:p>
                        </w:txbxContent>
                      </wps:txbx>
                      <wps:bodyPr wrap="none" lIns="0" tIns="0" rIns="0" bIns="0"/>
                    </wps:wsp>
                  </a:graphicData>
                </a:graphic>
              </wp:anchor>
            </w:drawing>
          </mc:Choice>
          <mc:Fallback>
            <w:pict>
              <v:shapetype w14:anchorId="490C2AC4" id="_x0000_t202" coordsize="21600,21600" o:spt="202" path="m,l,21600r21600,l21600,xe">
                <v:stroke joinstyle="miter"/>
                <v:path gradientshapeok="t" o:connecttype="rect"/>
              </v:shapetype>
              <v:shape id="Shape 1" o:spid="_x0000_s1026" type="#_x0000_t202" style="position:absolute;left:0;text-align:left;margin-left:306.9pt;margin-top:1pt;width:114.7pt;height:12.9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" filled="f" stroked="f">
                <v:textbox inset="0,0,0,0">
                  <w:txbxContent>
                    <w:p w14:paraId="73038C5B" w14:textId="77777777" w:rsidR="008244D5" w:rsidRDefault="003E78F8">
                      <w:pPr>
                        <w:pStyle w:val="Zkladntext1"/>
                        <w:spacing w:line="240" w:lineRule="auto"/>
                        <w:rPr>
                          <w:sz w:val="19"/>
                          <w:szCs w:val="19"/>
                        </w:rPr>
                      </w:pPr>
                      <w:r>
                        <w:rPr>
                          <w:sz w:val="19"/>
                          <w:szCs w:val="19"/>
                        </w:rPr>
                        <w:t>Číslo smlouvy poskytovatele:</w:t>
                      </w:r>
                    </w:p>
                  </w:txbxContent>
                </v:textbox>
                <w10:wrap type="square" side="left" anchorx="page"/>
              </v:shape>
            </w:pict>
          </mc:Fallback>
        </mc:AlternateContent>
      </w:r>
      <w:r>
        <w:rPr>
          <w:sz w:val="19"/>
          <w:szCs w:val="19"/>
        </w:rPr>
        <w:t xml:space="preserve">Číslo smlouvy nabyvatele: </w:t>
      </w:r>
      <w:r>
        <w:rPr>
          <w:b/>
          <w:bCs/>
          <w:sz w:val="19"/>
          <w:szCs w:val="19"/>
        </w:rPr>
        <w:t>SML/9822/2021</w:t>
      </w:r>
    </w:p>
    <w:p w14:paraId="54350CF6" w14:textId="77777777" w:rsidR="008244D5" w:rsidRDefault="003E78F8">
      <w:pPr>
        <w:pStyle w:val="Nadpis20"/>
        <w:keepNext/>
        <w:keepLines/>
      </w:pPr>
      <w:bookmarkStart w:id="0" w:name="bookmark0"/>
      <w:bookmarkStart w:id="1" w:name="bookmark1"/>
      <w:bookmarkStart w:id="2" w:name="bookmark2"/>
      <w:r>
        <w:t>KUPNÍ SMLOUVA NA POŘÍZENÍ SPECIALIZOVANÉHO SOFTWARU</w:t>
      </w:r>
      <w:bookmarkEnd w:id="0"/>
      <w:bookmarkEnd w:id="1"/>
      <w:bookmarkEnd w:id="2"/>
    </w:p>
    <w:p w14:paraId="123F15AF" w14:textId="77777777" w:rsidR="008244D5" w:rsidRDefault="003E78F8">
      <w:pPr>
        <w:pStyle w:val="Nadpis30"/>
        <w:keepNext/>
        <w:keepLines/>
        <w:numPr>
          <w:ilvl w:val="0"/>
          <w:numId w:val="1"/>
        </w:numPr>
        <w:tabs>
          <w:tab w:val="left" w:pos="612"/>
        </w:tabs>
        <w:spacing w:after="80" w:line="240" w:lineRule="auto"/>
      </w:pPr>
      <w:bookmarkStart w:id="3" w:name="bookmark5"/>
      <w:bookmarkStart w:id="4" w:name="bookmark6"/>
      <w:bookmarkEnd w:id="3"/>
      <w:r>
        <w:t>Smluvní strany</w:t>
      </w:r>
      <w:bookmarkEnd w:id="4"/>
    </w:p>
    <w:p w14:paraId="192F85A9" w14:textId="77777777" w:rsidR="008244D5" w:rsidRDefault="003E78F8">
      <w:pPr>
        <w:pStyle w:val="Nadpis30"/>
        <w:keepNext/>
        <w:keepLines/>
        <w:spacing w:after="0" w:line="240" w:lineRule="auto"/>
        <w:ind w:firstLine="0"/>
      </w:pPr>
      <w:bookmarkStart w:id="5" w:name="bookmark3"/>
      <w:bookmarkStart w:id="6" w:name="bookmark4"/>
      <w:bookmarkStart w:id="7" w:name="bookmark7"/>
      <w:r>
        <w:rPr>
          <w:u w:val="none"/>
        </w:rPr>
        <w:t>Centrum dopravního výzkumu, v. v. i.</w:t>
      </w:r>
      <w:bookmarkEnd w:id="5"/>
      <w:bookmarkEnd w:id="6"/>
      <w:bookmarkEnd w:id="7"/>
    </w:p>
    <w:p w14:paraId="4F2768E1" w14:textId="77777777" w:rsidR="008244D5" w:rsidRDefault="003E78F8">
      <w:pPr>
        <w:pStyle w:val="Zkladntext1"/>
        <w:spacing w:line="240" w:lineRule="auto"/>
      </w:pPr>
      <w:r>
        <w:t xml:space="preserve">se sídlem: Líšeňská </w:t>
      </w:r>
      <w:proofErr w:type="gramStart"/>
      <w:r>
        <w:t>33a</w:t>
      </w:r>
      <w:proofErr w:type="gramEnd"/>
      <w:r>
        <w:t>, 636 00 Brno</w:t>
      </w:r>
    </w:p>
    <w:p w14:paraId="35EF5A54" w14:textId="77777777" w:rsidR="008244D5" w:rsidRDefault="003E78F8">
      <w:pPr>
        <w:pStyle w:val="Zkladntext1"/>
        <w:spacing w:line="240" w:lineRule="auto"/>
      </w:pPr>
      <w:r>
        <w:t>zastoupená: Ing. Jindřich Frič, Ph.D., ředitel</w:t>
      </w:r>
    </w:p>
    <w:p w14:paraId="3A691325" w14:textId="77777777" w:rsidR="008244D5" w:rsidRDefault="003E78F8">
      <w:pPr>
        <w:pStyle w:val="Zkladntext1"/>
        <w:spacing w:line="240" w:lineRule="auto"/>
      </w:pPr>
      <w:r>
        <w:t>Osoby oprávněné jednat</w:t>
      </w:r>
    </w:p>
    <w:p w14:paraId="6C1048FB" w14:textId="3191953A" w:rsidR="008244D5" w:rsidRDefault="003E78F8">
      <w:pPr>
        <w:pStyle w:val="Zkladntext1"/>
        <w:spacing w:line="240" w:lineRule="auto"/>
      </w:pPr>
      <w:r>
        <w:t xml:space="preserve">ve věcech technických: </w:t>
      </w:r>
      <w:proofErr w:type="spellStart"/>
      <w:r w:rsidR="00B606A7">
        <w:t>xxxxxxxxxxxxxx</w:t>
      </w:r>
      <w:proofErr w:type="spellEnd"/>
    </w:p>
    <w:p w14:paraId="47CCBD85" w14:textId="7BD24EA8" w:rsidR="008244D5" w:rsidRDefault="003E78F8">
      <w:pPr>
        <w:pStyle w:val="Zkladntext1"/>
        <w:spacing w:line="240" w:lineRule="auto"/>
      </w:pPr>
      <w:r>
        <w:t xml:space="preserve">tel.: </w:t>
      </w:r>
      <w:proofErr w:type="spellStart"/>
      <w:r w:rsidR="00B606A7">
        <w:t>xxxxxx</w:t>
      </w:r>
      <w:proofErr w:type="spellEnd"/>
      <w:r>
        <w:t xml:space="preserve">, e-mail: </w:t>
      </w:r>
      <w:hyperlink r:id="rId7" w:history="1">
        <w:proofErr w:type="spellStart"/>
        <w:r w:rsidR="00B606A7">
          <w:t>xxxxxxxx</w:t>
        </w:r>
        <w:proofErr w:type="spellEnd"/>
      </w:hyperlink>
    </w:p>
    <w:p w14:paraId="148F665E" w14:textId="77777777" w:rsidR="008244D5" w:rsidRDefault="003E78F8">
      <w:pPr>
        <w:pStyle w:val="Zkladntext1"/>
        <w:spacing w:line="240" w:lineRule="auto"/>
        <w:rPr>
          <w:sz w:val="19"/>
          <w:szCs w:val="19"/>
        </w:rPr>
      </w:pPr>
      <w:r>
        <w:rPr>
          <w:sz w:val="19"/>
          <w:szCs w:val="19"/>
        </w:rPr>
        <w:t>IČ: 44994575</w:t>
      </w:r>
    </w:p>
    <w:p w14:paraId="5C56EFD3" w14:textId="77777777" w:rsidR="008244D5" w:rsidRDefault="003E78F8">
      <w:pPr>
        <w:pStyle w:val="Zkladntext1"/>
        <w:spacing w:line="240" w:lineRule="auto"/>
        <w:rPr>
          <w:sz w:val="19"/>
          <w:szCs w:val="19"/>
        </w:rPr>
      </w:pPr>
      <w:r>
        <w:rPr>
          <w:sz w:val="19"/>
          <w:szCs w:val="19"/>
        </w:rPr>
        <w:t>DIČ: CZ44994575</w:t>
      </w:r>
    </w:p>
    <w:p w14:paraId="0E3B5D07" w14:textId="77777777" w:rsidR="008244D5" w:rsidRDefault="003E78F8">
      <w:pPr>
        <w:pStyle w:val="Zkladntext1"/>
        <w:spacing w:line="240" w:lineRule="auto"/>
      </w:pPr>
      <w:r>
        <w:t xml:space="preserve">Bankovní spojení: KB </w:t>
      </w:r>
      <w:proofErr w:type="gramStart"/>
      <w:r>
        <w:t>Brno - město</w:t>
      </w:r>
      <w:proofErr w:type="gramEnd"/>
    </w:p>
    <w:p w14:paraId="166C9430" w14:textId="77777777" w:rsidR="008244D5" w:rsidRDefault="003E78F8">
      <w:pPr>
        <w:pStyle w:val="Zkladntext1"/>
        <w:spacing w:line="240" w:lineRule="auto"/>
      </w:pPr>
      <w:r>
        <w:t>Číslo účtu: 100736621/0100</w:t>
      </w:r>
    </w:p>
    <w:p w14:paraId="5E7DA338" w14:textId="77777777" w:rsidR="008244D5" w:rsidRDefault="003E78F8">
      <w:pPr>
        <w:pStyle w:val="Zkladntext1"/>
        <w:spacing w:after="80" w:line="240" w:lineRule="auto"/>
      </w:pPr>
      <w:r>
        <w:t>(dále jen „nabyvatel")</w:t>
      </w:r>
    </w:p>
    <w:p w14:paraId="14EB7483" w14:textId="77777777" w:rsidR="008244D5" w:rsidRDefault="003E78F8">
      <w:pPr>
        <w:pStyle w:val="Zkladntext1"/>
        <w:spacing w:after="80" w:line="240" w:lineRule="auto"/>
      </w:pPr>
      <w:r>
        <w:t>a</w:t>
      </w:r>
    </w:p>
    <w:p w14:paraId="27E17EE9" w14:textId="77777777" w:rsidR="008244D5" w:rsidRDefault="003E78F8">
      <w:pPr>
        <w:pStyle w:val="Zkladntext1"/>
        <w:spacing w:line="240" w:lineRule="auto"/>
      </w:pPr>
      <w:proofErr w:type="spellStart"/>
      <w:r>
        <w:rPr>
          <w:b/>
          <w:bCs/>
        </w:rPr>
        <w:t>Eyedea</w:t>
      </w:r>
      <w:proofErr w:type="spellEnd"/>
      <w:r>
        <w:rPr>
          <w:b/>
          <w:bCs/>
        </w:rPr>
        <w:t xml:space="preserve"> </w:t>
      </w:r>
      <w:proofErr w:type="spellStart"/>
      <w:r>
        <w:rPr>
          <w:b/>
          <w:bCs/>
        </w:rPr>
        <w:t>Recognition</w:t>
      </w:r>
      <w:proofErr w:type="spellEnd"/>
      <w:r>
        <w:rPr>
          <w:b/>
          <w:bCs/>
        </w:rPr>
        <w:t xml:space="preserve"> s.r.o.</w:t>
      </w:r>
    </w:p>
    <w:p w14:paraId="10CE88C3" w14:textId="77777777" w:rsidR="008244D5" w:rsidRDefault="003E78F8">
      <w:pPr>
        <w:pStyle w:val="Zkladntext1"/>
        <w:spacing w:line="240" w:lineRule="auto"/>
      </w:pPr>
      <w:r>
        <w:t xml:space="preserve">se sídlem: Praha 5 - Smíchov, Pod </w:t>
      </w:r>
      <w:proofErr w:type="spellStart"/>
      <w:r>
        <w:t>Hybšmankou</w:t>
      </w:r>
      <w:proofErr w:type="spellEnd"/>
      <w:r>
        <w:t xml:space="preserve"> 2848/7, PSČ 15000</w:t>
      </w:r>
    </w:p>
    <w:p w14:paraId="5E616BB1" w14:textId="77777777" w:rsidR="008244D5" w:rsidRDefault="003E78F8">
      <w:pPr>
        <w:pStyle w:val="Zkladntext1"/>
        <w:spacing w:line="240" w:lineRule="auto"/>
      </w:pPr>
      <w:r>
        <w:t>Zapsán v obchodním rejstříku: vedený Městským soudem v Praze, oddíl C, vložka 113292</w:t>
      </w:r>
    </w:p>
    <w:p w14:paraId="5A6D50BF" w14:textId="77777777" w:rsidR="008244D5" w:rsidRDefault="003E78F8">
      <w:pPr>
        <w:pStyle w:val="Zkladntext1"/>
        <w:spacing w:line="240" w:lineRule="auto"/>
      </w:pPr>
      <w:r>
        <w:t>zastoupená: Martin Urban, jednatel</w:t>
      </w:r>
    </w:p>
    <w:p w14:paraId="2EBF9B5C" w14:textId="77777777" w:rsidR="008244D5" w:rsidRDefault="003E78F8">
      <w:pPr>
        <w:pStyle w:val="Zkladntext1"/>
        <w:spacing w:line="240" w:lineRule="auto"/>
      </w:pPr>
      <w:r>
        <w:t>Osoby oprávněné jednat:</w:t>
      </w:r>
    </w:p>
    <w:p w14:paraId="07B7E873" w14:textId="77777777" w:rsidR="008244D5" w:rsidRDefault="003E78F8">
      <w:pPr>
        <w:pStyle w:val="Zkladntext1"/>
        <w:spacing w:line="240" w:lineRule="auto"/>
      </w:pPr>
      <w:r>
        <w:t>ve věcech smluvních: Martin Urban, jednatel</w:t>
      </w:r>
    </w:p>
    <w:p w14:paraId="355D36F4" w14:textId="77777777" w:rsidR="008244D5" w:rsidRDefault="003E78F8">
      <w:pPr>
        <w:pStyle w:val="Zkladntext1"/>
        <w:spacing w:line="240" w:lineRule="auto"/>
      </w:pPr>
      <w:r>
        <w:t>ve věcech technických: Martin Urban, jednatel</w:t>
      </w:r>
    </w:p>
    <w:p w14:paraId="54120ACD" w14:textId="2FDA6741" w:rsidR="008244D5" w:rsidRDefault="003E78F8">
      <w:pPr>
        <w:pStyle w:val="Zkladntext1"/>
        <w:spacing w:line="240" w:lineRule="auto"/>
        <w:jc w:val="both"/>
      </w:pPr>
      <w:r>
        <w:t xml:space="preserve">tel.: </w:t>
      </w:r>
      <w:proofErr w:type="spellStart"/>
      <w:r w:rsidR="00B606A7">
        <w:t>xxxxxxxx</w:t>
      </w:r>
      <w:proofErr w:type="spellEnd"/>
      <w:r>
        <w:t xml:space="preserve">, e-mail: </w:t>
      </w:r>
      <w:hyperlink r:id="rId8" w:history="1">
        <w:proofErr w:type="spellStart"/>
        <w:r w:rsidR="00B606A7">
          <w:t>xxxxxxxxxxx</w:t>
        </w:r>
        <w:proofErr w:type="spellEnd"/>
      </w:hyperlink>
    </w:p>
    <w:p w14:paraId="53354458" w14:textId="77777777" w:rsidR="008244D5" w:rsidRDefault="003E78F8">
      <w:pPr>
        <w:pStyle w:val="Zkladntext1"/>
        <w:spacing w:line="240" w:lineRule="auto"/>
        <w:jc w:val="both"/>
      </w:pPr>
      <w:r>
        <w:t>IČ:27581349</w:t>
      </w:r>
    </w:p>
    <w:p w14:paraId="3D8BD70F" w14:textId="77777777" w:rsidR="008244D5" w:rsidRDefault="003E78F8">
      <w:pPr>
        <w:pStyle w:val="Zkladntext1"/>
        <w:spacing w:line="240" w:lineRule="auto"/>
        <w:jc w:val="both"/>
      </w:pPr>
      <w:r>
        <w:t>DIČ: CZ27581349</w:t>
      </w:r>
    </w:p>
    <w:p w14:paraId="38C6344A" w14:textId="77777777" w:rsidR="008244D5" w:rsidRDefault="003E78F8">
      <w:pPr>
        <w:pStyle w:val="Zkladntext1"/>
        <w:spacing w:line="240" w:lineRule="auto"/>
        <w:jc w:val="both"/>
      </w:pPr>
      <w:r>
        <w:t>Bankovní ústav: ČSOB a.s.</w:t>
      </w:r>
    </w:p>
    <w:p w14:paraId="26D0CC8E" w14:textId="77777777" w:rsidR="008244D5" w:rsidRDefault="003E78F8">
      <w:pPr>
        <w:pStyle w:val="Zkladntext1"/>
        <w:spacing w:line="240" w:lineRule="auto"/>
        <w:jc w:val="both"/>
      </w:pPr>
      <w:r>
        <w:t>Číslo účtu: 205789359/0300</w:t>
      </w:r>
    </w:p>
    <w:p w14:paraId="33443CFA" w14:textId="77777777" w:rsidR="008244D5" w:rsidRDefault="003E78F8">
      <w:pPr>
        <w:pStyle w:val="Zkladntext1"/>
        <w:spacing w:line="240" w:lineRule="auto"/>
        <w:jc w:val="both"/>
      </w:pPr>
      <w:r>
        <w:t>IBAN: CZ33 0300 0000 0002 0578 9359, BIC: CEKOCZPP</w:t>
      </w:r>
    </w:p>
    <w:p w14:paraId="5BE4110B" w14:textId="77777777" w:rsidR="008244D5" w:rsidRDefault="003E78F8">
      <w:pPr>
        <w:pStyle w:val="Zkladntext1"/>
        <w:spacing w:after="500" w:line="240" w:lineRule="auto"/>
        <w:jc w:val="both"/>
      </w:pPr>
      <w:r>
        <w:t>(dále jen „poskytovatel")</w:t>
      </w:r>
    </w:p>
    <w:p w14:paraId="576EC51C" w14:textId="77777777" w:rsidR="008244D5" w:rsidRDefault="003E78F8">
      <w:pPr>
        <w:pStyle w:val="Zkladntext1"/>
        <w:spacing w:after="240" w:line="240" w:lineRule="auto"/>
        <w:jc w:val="both"/>
      </w:pPr>
      <w:r>
        <w:t xml:space="preserve">Nabyvatel a Poskytovatel dále též jako „smluvní strany" a každý samostatně jako „smluvní strana" uzavírají níže uvedeného dne, měsíce a roku, v souladu s ustanovením § 2079 a </w:t>
      </w:r>
      <w:proofErr w:type="spellStart"/>
      <w:r>
        <w:t>násL</w:t>
      </w:r>
      <w:proofErr w:type="spellEnd"/>
      <w:r>
        <w:t>, zákona č. 89/2012 Sb., občanský zákoník, v platném znění, (dále jen „občanský zákoník"), tuto kupní smlouvu na pořízení specializovaného softwaru (dále též jako „sw") vč. 3leté aktualizace (dále jen „smlouva").</w:t>
      </w:r>
    </w:p>
    <w:p w14:paraId="4F8CB583" w14:textId="77777777" w:rsidR="008244D5" w:rsidRDefault="003E78F8">
      <w:pPr>
        <w:pStyle w:val="Nadpis30"/>
        <w:keepNext/>
        <w:keepLines/>
        <w:numPr>
          <w:ilvl w:val="0"/>
          <w:numId w:val="1"/>
        </w:numPr>
        <w:tabs>
          <w:tab w:val="left" w:pos="619"/>
        </w:tabs>
        <w:spacing w:after="0"/>
      </w:pPr>
      <w:bookmarkStart w:id="8" w:name="bookmark10"/>
      <w:bookmarkStart w:id="9" w:name="bookmark11"/>
      <w:bookmarkStart w:id="10" w:name="bookmark8"/>
      <w:bookmarkStart w:id="11" w:name="bookmark9"/>
      <w:bookmarkEnd w:id="8"/>
      <w:r>
        <w:t>Předmět smlouvy</w:t>
      </w:r>
      <w:bookmarkEnd w:id="9"/>
      <w:bookmarkEnd w:id="10"/>
      <w:bookmarkEnd w:id="11"/>
    </w:p>
    <w:p w14:paraId="641C4378" w14:textId="77777777" w:rsidR="008244D5" w:rsidRDefault="003E78F8">
      <w:pPr>
        <w:pStyle w:val="Zkladntext1"/>
        <w:numPr>
          <w:ilvl w:val="1"/>
          <w:numId w:val="1"/>
        </w:numPr>
        <w:tabs>
          <w:tab w:val="left" w:pos="507"/>
        </w:tabs>
        <w:jc w:val="both"/>
      </w:pPr>
      <w:bookmarkStart w:id="12" w:name="bookmark12"/>
      <w:bookmarkEnd w:id="12"/>
      <w:r>
        <w:t xml:space="preserve">Předmětem této smlouvy je dodávka 8 ks licencí specializovaného softwaru na </w:t>
      </w:r>
      <w:proofErr w:type="spellStart"/>
      <w:r>
        <w:t>videoanalýzu</w:t>
      </w:r>
      <w:proofErr w:type="spellEnd"/>
      <w:r>
        <w:t xml:space="preserve"> obrazu s názvem ANPR-GUI včetně softwarové podpory a 3leté aktualizace neboli updatu, a to způsobem a za splnění podmínek uvedených v této smlouvě a jejich přílohách.</w:t>
      </w:r>
    </w:p>
    <w:p w14:paraId="2B554D7A" w14:textId="77777777" w:rsidR="008244D5" w:rsidRDefault="003E78F8">
      <w:pPr>
        <w:pStyle w:val="Zkladntext1"/>
        <w:numPr>
          <w:ilvl w:val="1"/>
          <w:numId w:val="1"/>
        </w:numPr>
        <w:tabs>
          <w:tab w:val="left" w:pos="505"/>
        </w:tabs>
        <w:jc w:val="both"/>
      </w:pPr>
      <w:bookmarkStart w:id="13" w:name="bookmark13"/>
      <w:bookmarkEnd w:id="13"/>
      <w:r>
        <w:t xml:space="preserve">Pro vyloučení pochybností se uvádí, že specializovaným softwarem na </w:t>
      </w:r>
      <w:proofErr w:type="spellStart"/>
      <w:r>
        <w:t>videoanalýzu</w:t>
      </w:r>
      <w:proofErr w:type="spellEnd"/>
      <w:r>
        <w:t xml:space="preserve"> obrazu s názvem </w:t>
      </w:r>
      <w:proofErr w:type="gramStart"/>
      <w:r>
        <w:t>ANPR- GUI</w:t>
      </w:r>
      <w:proofErr w:type="gramEnd"/>
      <w:r>
        <w:t xml:space="preserve"> je myšlena ucelená desktopová aplikaci pro čtení registračních značek vozidel (dále též jako „RZ") a rozpoznání kategorie, výrobce, modelu a barvy vozidla. Součástí každé licence je hardwarový klíč.</w:t>
      </w:r>
    </w:p>
    <w:p w14:paraId="028A16F8" w14:textId="725D7AB0" w:rsidR="008244D5" w:rsidRDefault="003E78F8">
      <w:pPr>
        <w:pStyle w:val="Zkladntext1"/>
        <w:numPr>
          <w:ilvl w:val="1"/>
          <w:numId w:val="1"/>
        </w:numPr>
        <w:tabs>
          <w:tab w:val="left" w:pos="505"/>
        </w:tabs>
        <w:jc w:val="both"/>
      </w:pPr>
      <w:bookmarkStart w:id="14" w:name="bookmark14"/>
      <w:bookmarkEnd w:id="14"/>
      <w:r>
        <w:t xml:space="preserve">Poskytovatel je zhotovitelem a výhradním dodavatelem software ANPR-GUI pro čtení RZ a rozpoznání kategorie, výrobce, modelu a barvy vozidla. Poskytovatel je vykonavatelem veškerých majetkových autorských práv k uvedenému software a je tedy oprávněn dílem samostatně a bez jakýchkoliv omezení nakládat, a to bez právních vad takovéhoto jednání (viz Prohlášení o </w:t>
      </w:r>
      <w:proofErr w:type="gramStart"/>
      <w:r>
        <w:t>autorství - příloha</w:t>
      </w:r>
      <w:proofErr w:type="gramEnd"/>
      <w:r>
        <w:t xml:space="preserve"> č.</w:t>
      </w:r>
      <w:r w:rsidR="00B606A7">
        <w:t>1</w:t>
      </w:r>
      <w:r>
        <w:t>).</w:t>
      </w:r>
    </w:p>
    <w:p w14:paraId="069FCCD0" w14:textId="77777777" w:rsidR="008244D5" w:rsidRDefault="003E78F8">
      <w:pPr>
        <w:pStyle w:val="Zkladntext1"/>
        <w:numPr>
          <w:ilvl w:val="1"/>
          <w:numId w:val="1"/>
        </w:numPr>
        <w:tabs>
          <w:tab w:val="left" w:pos="505"/>
        </w:tabs>
        <w:jc w:val="both"/>
      </w:pPr>
      <w:bookmarkStart w:id="15" w:name="bookmark15"/>
      <w:bookmarkEnd w:id="15"/>
      <w:r>
        <w:t>Součástí smlouvy je závazek poskytovatele poskytovat nabyvateli tyto služby k softwaru ANPR-GUI:</w:t>
      </w:r>
    </w:p>
    <w:p w14:paraId="3B80FB31" w14:textId="77777777" w:rsidR="008244D5" w:rsidRDefault="003E78F8">
      <w:pPr>
        <w:pStyle w:val="Zkladntext1"/>
        <w:ind w:firstLine="340"/>
        <w:jc w:val="both"/>
      </w:pPr>
      <w:r>
        <w:t xml:space="preserve">• Pravidelné dostupné aktualizace softwaru ANPR-GUI 2 x ročně v průběhu prvních </w:t>
      </w:r>
      <w:proofErr w:type="gramStart"/>
      <w:r>
        <w:t>12-ti</w:t>
      </w:r>
      <w:proofErr w:type="gramEnd"/>
      <w:r>
        <w:t xml:space="preserve"> měsíců ode dne</w:t>
      </w:r>
    </w:p>
    <w:p w14:paraId="5E31570A" w14:textId="77777777" w:rsidR="008244D5" w:rsidRDefault="003E78F8">
      <w:pPr>
        <w:pStyle w:val="Zkladntext1"/>
        <w:spacing w:line="288" w:lineRule="auto"/>
        <w:ind w:firstLine="720"/>
        <w:jc w:val="both"/>
      </w:pPr>
      <w:r>
        <w:t>předání předmětu smlouvy dle odst. 2.1 tohoto odstavce smlouvy.</w:t>
      </w:r>
    </w:p>
    <w:p w14:paraId="25E4F9CB" w14:textId="77777777" w:rsidR="008244D5" w:rsidRDefault="003E78F8">
      <w:pPr>
        <w:pStyle w:val="Zkladntext1"/>
        <w:numPr>
          <w:ilvl w:val="0"/>
          <w:numId w:val="2"/>
        </w:numPr>
        <w:tabs>
          <w:tab w:val="left" w:pos="675"/>
        </w:tabs>
        <w:spacing w:line="288" w:lineRule="auto"/>
        <w:ind w:left="720" w:hanging="340"/>
        <w:jc w:val="both"/>
      </w:pPr>
      <w:bookmarkStart w:id="16" w:name="bookmark16"/>
      <w:bookmarkEnd w:id="16"/>
      <w:r>
        <w:t xml:space="preserve">Smluvní strany si sjednali prodloužení období poskytovaných aktualizací o dalších 24 měsíců, tj. na celkové </w:t>
      </w:r>
      <w:r>
        <w:lastRenderedPageBreak/>
        <w:t>období 36 měsíců ode dne předání předmětu smlouvy dle odst. 2.1 tohoto odstavce smlouvy spolu se závazkem provedení dvou aktualizací SW každých 12 měsíců.</w:t>
      </w:r>
    </w:p>
    <w:p w14:paraId="5C4FAE72" w14:textId="77777777" w:rsidR="008244D5" w:rsidRDefault="003E78F8">
      <w:pPr>
        <w:pStyle w:val="Zkladntext1"/>
        <w:numPr>
          <w:ilvl w:val="0"/>
          <w:numId w:val="2"/>
        </w:numPr>
        <w:tabs>
          <w:tab w:val="left" w:pos="675"/>
        </w:tabs>
        <w:spacing w:line="288" w:lineRule="auto"/>
        <w:ind w:firstLine="380"/>
        <w:jc w:val="both"/>
      </w:pPr>
      <w:bookmarkStart w:id="17" w:name="bookmark17"/>
      <w:bookmarkEnd w:id="17"/>
      <w:r>
        <w:t>Možnost následného prodloužení platností licenčních podmínek zakoupením následných aktualizací.</w:t>
      </w:r>
    </w:p>
    <w:p w14:paraId="77E4331D" w14:textId="77777777" w:rsidR="008244D5" w:rsidRDefault="003E78F8">
      <w:pPr>
        <w:pStyle w:val="Zkladntext1"/>
        <w:numPr>
          <w:ilvl w:val="0"/>
          <w:numId w:val="2"/>
        </w:numPr>
        <w:tabs>
          <w:tab w:val="left" w:pos="675"/>
        </w:tabs>
        <w:spacing w:after="280" w:line="288" w:lineRule="auto"/>
        <w:ind w:firstLine="380"/>
        <w:jc w:val="both"/>
      </w:pPr>
      <w:bookmarkStart w:id="18" w:name="bookmark18"/>
      <w:bookmarkEnd w:id="18"/>
      <w:r>
        <w:t>Softwarovou podporu (</w:t>
      </w:r>
      <w:proofErr w:type="spellStart"/>
      <w:r>
        <w:t>maintenance</w:t>
      </w:r>
      <w:proofErr w:type="spellEnd"/>
      <w:r>
        <w:t>) i v rámci průběžných aktualizací</w:t>
      </w:r>
    </w:p>
    <w:p w14:paraId="0889C85D" w14:textId="77777777" w:rsidR="008244D5" w:rsidRDefault="003E78F8">
      <w:pPr>
        <w:pStyle w:val="Nadpis30"/>
        <w:keepNext/>
        <w:keepLines/>
        <w:numPr>
          <w:ilvl w:val="0"/>
          <w:numId w:val="1"/>
        </w:numPr>
        <w:tabs>
          <w:tab w:val="left" w:pos="675"/>
        </w:tabs>
        <w:spacing w:after="240" w:line="288" w:lineRule="auto"/>
        <w:jc w:val="both"/>
      </w:pPr>
      <w:bookmarkStart w:id="19" w:name="bookmark21"/>
      <w:bookmarkStart w:id="20" w:name="bookmark19"/>
      <w:bookmarkStart w:id="21" w:name="bookmark20"/>
      <w:bookmarkStart w:id="22" w:name="bookmark22"/>
      <w:bookmarkEnd w:id="19"/>
      <w:r>
        <w:t>Poskytovatel licence a služby</w:t>
      </w:r>
      <w:bookmarkEnd w:id="20"/>
      <w:bookmarkEnd w:id="21"/>
      <w:bookmarkEnd w:id="22"/>
    </w:p>
    <w:p w14:paraId="28D84FC2" w14:textId="77777777" w:rsidR="008244D5" w:rsidRDefault="003E78F8">
      <w:pPr>
        <w:pStyle w:val="Zkladntext1"/>
        <w:numPr>
          <w:ilvl w:val="1"/>
          <w:numId w:val="1"/>
        </w:numPr>
        <w:tabs>
          <w:tab w:val="left" w:pos="482"/>
        </w:tabs>
        <w:jc w:val="both"/>
      </w:pPr>
      <w:bookmarkStart w:id="23" w:name="bookmark23"/>
      <w:bookmarkEnd w:id="23"/>
      <w:r>
        <w:t xml:space="preserve">Poskytovatelem licence je </w:t>
      </w:r>
      <w:proofErr w:type="spellStart"/>
      <w:r>
        <w:t>Eyedea</w:t>
      </w:r>
      <w:proofErr w:type="spellEnd"/>
      <w:r>
        <w:t xml:space="preserve"> </w:t>
      </w:r>
      <w:proofErr w:type="spellStart"/>
      <w:r>
        <w:t>Recognition</w:t>
      </w:r>
      <w:proofErr w:type="spellEnd"/>
      <w:r>
        <w:t xml:space="preserve"> s.r.o., Praha 5 - Smíchov, Pod </w:t>
      </w:r>
      <w:proofErr w:type="spellStart"/>
      <w:r>
        <w:t>Hybšmankou</w:t>
      </w:r>
      <w:proofErr w:type="spellEnd"/>
      <w:r>
        <w:t xml:space="preserve"> 2848/7, PSČ 15000.</w:t>
      </w:r>
    </w:p>
    <w:p w14:paraId="0D789341" w14:textId="77777777" w:rsidR="008244D5" w:rsidRDefault="003E78F8">
      <w:pPr>
        <w:pStyle w:val="Zkladntext1"/>
        <w:numPr>
          <w:ilvl w:val="1"/>
          <w:numId w:val="1"/>
        </w:numPr>
        <w:tabs>
          <w:tab w:val="left" w:pos="482"/>
        </w:tabs>
        <w:spacing w:after="280"/>
        <w:jc w:val="both"/>
      </w:pPr>
      <w:bookmarkStart w:id="24" w:name="bookmark24"/>
      <w:bookmarkEnd w:id="24"/>
      <w:r>
        <w:t xml:space="preserve">Poskytovatelem služby je </w:t>
      </w:r>
      <w:proofErr w:type="spellStart"/>
      <w:r>
        <w:t>Eyedea</w:t>
      </w:r>
      <w:proofErr w:type="spellEnd"/>
      <w:r>
        <w:t xml:space="preserve"> </w:t>
      </w:r>
      <w:proofErr w:type="spellStart"/>
      <w:r>
        <w:t>Recognition</w:t>
      </w:r>
      <w:proofErr w:type="spellEnd"/>
      <w:r>
        <w:t xml:space="preserve"> s.r.o., Praha 5 - Smíchov, Pod </w:t>
      </w:r>
      <w:proofErr w:type="spellStart"/>
      <w:r>
        <w:t>Hybšmankou</w:t>
      </w:r>
      <w:proofErr w:type="spellEnd"/>
      <w:r>
        <w:t xml:space="preserve"> 2848/7, PSČ 15000.</w:t>
      </w:r>
    </w:p>
    <w:p w14:paraId="65B5ECEB" w14:textId="77777777" w:rsidR="008244D5" w:rsidRDefault="003E78F8">
      <w:pPr>
        <w:pStyle w:val="Zkladntext1"/>
        <w:tabs>
          <w:tab w:val="left" w:pos="3407"/>
        </w:tabs>
        <w:spacing w:line="290" w:lineRule="auto"/>
        <w:jc w:val="both"/>
      </w:pPr>
      <w:r>
        <w:t>Odpovědný zástupce:</w:t>
      </w:r>
      <w:r>
        <w:tab/>
        <w:t>Martin Urban, jednatel</w:t>
      </w:r>
    </w:p>
    <w:p w14:paraId="0F4ED814" w14:textId="20BC7721" w:rsidR="008244D5" w:rsidRDefault="003E78F8">
      <w:pPr>
        <w:pStyle w:val="Zkladntext1"/>
        <w:spacing w:line="290" w:lineRule="auto"/>
        <w:ind w:left="3420"/>
      </w:pPr>
      <w:r>
        <w:t xml:space="preserve">e-mail: </w:t>
      </w:r>
      <w:hyperlink r:id="rId9" w:history="1">
        <w:proofErr w:type="spellStart"/>
        <w:r w:rsidR="00B606A7">
          <w:t>xxxxxxxxxx</w:t>
        </w:r>
        <w:proofErr w:type="spellEnd"/>
      </w:hyperlink>
    </w:p>
    <w:p w14:paraId="5EC42F89" w14:textId="4F698158" w:rsidR="008244D5" w:rsidRDefault="003E78F8">
      <w:pPr>
        <w:pStyle w:val="Zkladntext1"/>
        <w:spacing w:line="290" w:lineRule="auto"/>
        <w:ind w:left="3420"/>
      </w:pPr>
      <w:r>
        <w:t>tel.:</w:t>
      </w:r>
      <w:r w:rsidR="00B606A7">
        <w:t xml:space="preserve"> </w:t>
      </w:r>
      <w:proofErr w:type="spellStart"/>
      <w:r w:rsidR="00B606A7">
        <w:t>xxxxxxxxxxxxxx</w:t>
      </w:r>
      <w:proofErr w:type="spellEnd"/>
    </w:p>
    <w:p w14:paraId="2760846C" w14:textId="77777777" w:rsidR="008244D5" w:rsidRDefault="003E78F8">
      <w:pPr>
        <w:pStyle w:val="Zkladntext1"/>
        <w:tabs>
          <w:tab w:val="left" w:pos="3407"/>
        </w:tabs>
        <w:spacing w:line="290" w:lineRule="auto"/>
        <w:jc w:val="both"/>
      </w:pPr>
      <w:r>
        <w:t>Zástupce ve věcech technických:</w:t>
      </w:r>
      <w:r>
        <w:tab/>
        <w:t>Martin Urban, jednatel</w:t>
      </w:r>
    </w:p>
    <w:p w14:paraId="3CC4DB0E" w14:textId="16F32FC2" w:rsidR="008244D5" w:rsidRDefault="003E78F8">
      <w:pPr>
        <w:pStyle w:val="Zkladntext1"/>
        <w:spacing w:after="240" w:line="290" w:lineRule="auto"/>
        <w:ind w:left="3420"/>
      </w:pPr>
      <w:r>
        <w:t xml:space="preserve">e-mail: </w:t>
      </w:r>
      <w:proofErr w:type="spellStart"/>
      <w:r w:rsidR="00B606A7">
        <w:t>xxxxxxxxxxxxxxxx</w:t>
      </w:r>
      <w:proofErr w:type="spellEnd"/>
      <w:r w:rsidR="00B606A7">
        <w:t xml:space="preserve"> </w:t>
      </w:r>
      <w:r>
        <w:t>tel.:</w:t>
      </w:r>
      <w:r w:rsidR="00B606A7">
        <w:t xml:space="preserve"> </w:t>
      </w:r>
      <w:proofErr w:type="spellStart"/>
      <w:r w:rsidR="00B606A7">
        <w:t>xxxxxxxxxxx</w:t>
      </w:r>
      <w:proofErr w:type="spellEnd"/>
    </w:p>
    <w:p w14:paraId="67148E49" w14:textId="77777777" w:rsidR="008244D5" w:rsidRDefault="003E78F8">
      <w:pPr>
        <w:pStyle w:val="Nadpis30"/>
        <w:keepNext/>
        <w:keepLines/>
        <w:numPr>
          <w:ilvl w:val="0"/>
          <w:numId w:val="1"/>
        </w:numPr>
        <w:tabs>
          <w:tab w:val="left" w:pos="675"/>
        </w:tabs>
        <w:spacing w:after="280" w:line="288" w:lineRule="auto"/>
        <w:jc w:val="both"/>
      </w:pPr>
      <w:bookmarkStart w:id="25" w:name="bookmark27"/>
      <w:bookmarkStart w:id="26" w:name="bookmark25"/>
      <w:bookmarkStart w:id="27" w:name="bookmark26"/>
      <w:bookmarkStart w:id="28" w:name="bookmark28"/>
      <w:bookmarkEnd w:id="25"/>
      <w:r>
        <w:t>Podmínky užívání softwaru</w:t>
      </w:r>
      <w:bookmarkEnd w:id="26"/>
      <w:bookmarkEnd w:id="27"/>
      <w:bookmarkEnd w:id="28"/>
    </w:p>
    <w:p w14:paraId="1AA37D6F" w14:textId="77777777" w:rsidR="008244D5" w:rsidRDefault="003E78F8">
      <w:pPr>
        <w:pStyle w:val="Zkladntext1"/>
        <w:numPr>
          <w:ilvl w:val="1"/>
          <w:numId w:val="1"/>
        </w:numPr>
        <w:tabs>
          <w:tab w:val="left" w:pos="496"/>
        </w:tabs>
        <w:spacing w:line="288" w:lineRule="auto"/>
        <w:jc w:val="both"/>
      </w:pPr>
      <w:bookmarkStart w:id="29" w:name="bookmark29"/>
      <w:bookmarkEnd w:id="29"/>
      <w:r>
        <w:t xml:space="preserve">Software je chráněn autorskými právy. Je protizákonné poskytovat kopie jiným osobám nebo vytvářet duplikáty jakýmikoliv prostředky, včetně elektronických. Software obsahuje obchodní tajemství a není dovoleno </w:t>
      </w:r>
      <w:proofErr w:type="gramStart"/>
      <w:r>
        <w:t>jej</w:t>
      </w:r>
      <w:proofErr w:type="gramEnd"/>
      <w:r>
        <w:t xml:space="preserve"> jakkoliv rozebírat, upravovat, modifikovat, překládat, půjčovat nebo pronajímat.</w:t>
      </w:r>
    </w:p>
    <w:p w14:paraId="0D0FC8EB" w14:textId="77777777" w:rsidR="008244D5" w:rsidRDefault="003E78F8">
      <w:pPr>
        <w:pStyle w:val="Zkladntext1"/>
        <w:numPr>
          <w:ilvl w:val="1"/>
          <w:numId w:val="1"/>
        </w:numPr>
        <w:tabs>
          <w:tab w:val="left" w:pos="484"/>
        </w:tabs>
        <w:spacing w:line="288" w:lineRule="auto"/>
        <w:jc w:val="both"/>
      </w:pPr>
      <w:bookmarkStart w:id="30" w:name="bookmark30"/>
      <w:bookmarkEnd w:id="30"/>
      <w:r>
        <w:t>Software bude nainstalován na počítačích/serverech nabyvatele a bez vědomí a souhlasu poskytovatele licence není nabyvatel oprávněn jej přemisťovat nebo předat třetímu subjektu.</w:t>
      </w:r>
    </w:p>
    <w:p w14:paraId="319B9EB0" w14:textId="77777777" w:rsidR="008244D5" w:rsidRDefault="003E78F8">
      <w:pPr>
        <w:pStyle w:val="Zkladntext1"/>
        <w:numPr>
          <w:ilvl w:val="1"/>
          <w:numId w:val="1"/>
        </w:numPr>
        <w:tabs>
          <w:tab w:val="left" w:pos="484"/>
        </w:tabs>
        <w:spacing w:line="288" w:lineRule="auto"/>
        <w:jc w:val="both"/>
      </w:pPr>
      <w:bookmarkStart w:id="31" w:name="bookmark31"/>
      <w:bookmarkEnd w:id="31"/>
      <w:r>
        <w:t xml:space="preserve">Nabyvatel je oprávněn požadovat přikoupení dalších aktualizací licencí příp. doplňkových modulů v souladu s aktuální nabídkou výrobce softwaru </w:t>
      </w:r>
      <w:proofErr w:type="spellStart"/>
      <w:r>
        <w:t>Eyedea</w:t>
      </w:r>
      <w:proofErr w:type="spellEnd"/>
      <w:r>
        <w:t xml:space="preserve"> </w:t>
      </w:r>
      <w:proofErr w:type="spellStart"/>
      <w:r>
        <w:t>Recognition</w:t>
      </w:r>
      <w:proofErr w:type="spellEnd"/>
      <w:r>
        <w:t xml:space="preserve"> s.r.o.</w:t>
      </w:r>
    </w:p>
    <w:p w14:paraId="3A238C12" w14:textId="77777777" w:rsidR="008244D5" w:rsidRDefault="003E78F8">
      <w:pPr>
        <w:pStyle w:val="Zkladntext1"/>
        <w:numPr>
          <w:ilvl w:val="1"/>
          <w:numId w:val="1"/>
        </w:numPr>
        <w:tabs>
          <w:tab w:val="left" w:pos="484"/>
        </w:tabs>
        <w:spacing w:line="288" w:lineRule="auto"/>
        <w:jc w:val="both"/>
      </w:pPr>
      <w:bookmarkStart w:id="32" w:name="bookmark32"/>
      <w:bookmarkEnd w:id="32"/>
      <w:r>
        <w:t>Konzultační služby budou realizovány telefonicky či na základě písemných požadavků nabyvatele zaslaných elektronicky formou e-mailu na adresu kontaktní osoby poskytovatele.</w:t>
      </w:r>
    </w:p>
    <w:p w14:paraId="00C168FB" w14:textId="77777777" w:rsidR="008244D5" w:rsidRDefault="003E78F8">
      <w:pPr>
        <w:pStyle w:val="Zkladntext1"/>
        <w:numPr>
          <w:ilvl w:val="1"/>
          <w:numId w:val="1"/>
        </w:numPr>
        <w:tabs>
          <w:tab w:val="left" w:pos="484"/>
        </w:tabs>
        <w:spacing w:line="288" w:lineRule="auto"/>
        <w:jc w:val="both"/>
      </w:pPr>
      <w:bookmarkStart w:id="33" w:name="bookmark33"/>
      <w:bookmarkEnd w:id="33"/>
      <w:r>
        <w:t>Nabyvatel není oprávněn udělit podlicenci k předmětu smlouvy a ani jiná práva k předmětu smlouvy postoupit třetí straně. Nabyvatel dále není oprávněn licenci prodat, poskytnout ji třetí straně ani ji dále šířit, pořizovat z ní jakékoliv kopie či ji jinak měnit.</w:t>
      </w:r>
    </w:p>
    <w:p w14:paraId="16E521E1" w14:textId="77777777" w:rsidR="008244D5" w:rsidRDefault="003E78F8">
      <w:pPr>
        <w:pStyle w:val="Zkladntext1"/>
        <w:numPr>
          <w:ilvl w:val="1"/>
          <w:numId w:val="1"/>
        </w:numPr>
        <w:tabs>
          <w:tab w:val="left" w:pos="486"/>
        </w:tabs>
        <w:spacing w:line="288" w:lineRule="auto"/>
        <w:jc w:val="both"/>
      </w:pPr>
      <w:bookmarkStart w:id="34" w:name="bookmark34"/>
      <w:bookmarkEnd w:id="34"/>
      <w:r>
        <w:t xml:space="preserve">Nabyvatel se zavazuje dodržovat licenční podmínky </w:t>
      </w:r>
      <w:proofErr w:type="spellStart"/>
      <w:r>
        <w:t>Eyedea</w:t>
      </w:r>
      <w:proofErr w:type="spellEnd"/>
      <w:r>
        <w:t xml:space="preserve"> </w:t>
      </w:r>
      <w:proofErr w:type="spellStart"/>
      <w:r>
        <w:t>Recognition</w:t>
      </w:r>
      <w:proofErr w:type="spellEnd"/>
      <w:r>
        <w:t xml:space="preserve"> s.r.o. uvedené v příloze č. 2 smlouvy. V případě, že jsou licenční podmínky ve smlouvě a v příloze č. 2 upraveny rozdílně, má přednost restriktivní úprava, tedy ta, která licenční podmínky vymezuje úžeji, případně přísněji.</w:t>
      </w:r>
    </w:p>
    <w:p w14:paraId="6F516D28" w14:textId="77777777" w:rsidR="008244D5" w:rsidRDefault="003E78F8">
      <w:pPr>
        <w:pStyle w:val="Zkladntext1"/>
        <w:numPr>
          <w:ilvl w:val="1"/>
          <w:numId w:val="1"/>
        </w:numPr>
        <w:tabs>
          <w:tab w:val="left" w:pos="489"/>
        </w:tabs>
        <w:spacing w:after="280" w:line="288" w:lineRule="auto"/>
        <w:jc w:val="both"/>
      </w:pPr>
      <w:bookmarkStart w:id="35" w:name="bookmark35"/>
      <w:bookmarkEnd w:id="35"/>
      <w:r>
        <w:t xml:space="preserve">Poskytovatel licence prohlašuje, že k specializovanému softwaru na </w:t>
      </w:r>
      <w:proofErr w:type="spellStart"/>
      <w:r>
        <w:t>videoanalýzu</w:t>
      </w:r>
      <w:proofErr w:type="spellEnd"/>
      <w:r>
        <w:t xml:space="preserve"> obrazu s názvem </w:t>
      </w:r>
      <w:proofErr w:type="gramStart"/>
      <w:r>
        <w:t>ANPR- GUI</w:t>
      </w:r>
      <w:proofErr w:type="gramEnd"/>
      <w:r>
        <w:t xml:space="preserve"> vykonává majetková práva a je oprávněn poskytnout nabyvateli licenci v rozsahu stanoveném touto smlouvou a potřebném pro splnění účelu využití stanoveného touto smlouvou.</w:t>
      </w:r>
    </w:p>
    <w:p w14:paraId="21D59A9F" w14:textId="77777777" w:rsidR="008244D5" w:rsidRDefault="003E78F8">
      <w:pPr>
        <w:pStyle w:val="Nadpis30"/>
        <w:keepNext/>
        <w:keepLines/>
        <w:numPr>
          <w:ilvl w:val="0"/>
          <w:numId w:val="1"/>
        </w:numPr>
        <w:tabs>
          <w:tab w:val="left" w:pos="675"/>
        </w:tabs>
        <w:spacing w:after="240" w:line="288" w:lineRule="auto"/>
        <w:jc w:val="both"/>
      </w:pPr>
      <w:bookmarkStart w:id="36" w:name="bookmark38"/>
      <w:bookmarkStart w:id="37" w:name="bookmark36"/>
      <w:bookmarkStart w:id="38" w:name="bookmark37"/>
      <w:bookmarkStart w:id="39" w:name="bookmark39"/>
      <w:bookmarkEnd w:id="36"/>
      <w:r>
        <w:t>Termín a místo plnění</w:t>
      </w:r>
      <w:bookmarkEnd w:id="37"/>
      <w:bookmarkEnd w:id="38"/>
      <w:bookmarkEnd w:id="39"/>
    </w:p>
    <w:p w14:paraId="1A998408" w14:textId="77777777" w:rsidR="008244D5" w:rsidRDefault="003E78F8">
      <w:pPr>
        <w:pStyle w:val="Zkladntext1"/>
        <w:numPr>
          <w:ilvl w:val="1"/>
          <w:numId w:val="1"/>
        </w:numPr>
        <w:tabs>
          <w:tab w:val="left" w:pos="479"/>
        </w:tabs>
        <w:spacing w:line="283" w:lineRule="auto"/>
        <w:jc w:val="both"/>
      </w:pPr>
      <w:bookmarkStart w:id="40" w:name="bookmark40"/>
      <w:bookmarkEnd w:id="40"/>
      <w:r>
        <w:t>Poskytovatel se zavazuje dodat nabyvateli předmět smlouvy dle bodu 2.1. a 2.2. této smlouvy nejpozději do 2 týdnů ode dne účinnosti této smlouvy.</w:t>
      </w:r>
    </w:p>
    <w:p w14:paraId="0E6AD836" w14:textId="77777777" w:rsidR="008244D5" w:rsidRDefault="003E78F8">
      <w:pPr>
        <w:pStyle w:val="Zkladntext1"/>
        <w:numPr>
          <w:ilvl w:val="1"/>
          <w:numId w:val="1"/>
        </w:numPr>
        <w:tabs>
          <w:tab w:val="left" w:pos="482"/>
        </w:tabs>
        <w:spacing w:after="240" w:line="283" w:lineRule="auto"/>
        <w:jc w:val="both"/>
      </w:pPr>
      <w:bookmarkStart w:id="41" w:name="bookmark41"/>
      <w:bookmarkEnd w:id="41"/>
      <w:r>
        <w:t>Předmět dodávky se považuje za dodaný okamžikem převzetí celého předmětu plnění nabyvatelem.</w:t>
      </w:r>
    </w:p>
    <w:p w14:paraId="33F55706" w14:textId="77777777" w:rsidR="008244D5" w:rsidRDefault="003E78F8">
      <w:pPr>
        <w:pStyle w:val="Zkladntext1"/>
        <w:numPr>
          <w:ilvl w:val="1"/>
          <w:numId w:val="1"/>
        </w:numPr>
        <w:tabs>
          <w:tab w:val="left" w:pos="480"/>
        </w:tabs>
        <w:spacing w:line="288" w:lineRule="auto"/>
        <w:jc w:val="both"/>
      </w:pPr>
      <w:bookmarkStart w:id="42" w:name="bookmark42"/>
      <w:bookmarkEnd w:id="42"/>
      <w:r>
        <w:t>Za místo plnění se pro účely této smlouvy považuje sídlo nabyvatele.</w:t>
      </w:r>
    </w:p>
    <w:p w14:paraId="66185EFD" w14:textId="0E795596" w:rsidR="008244D5" w:rsidRDefault="003E78F8">
      <w:pPr>
        <w:pStyle w:val="Zkladntext1"/>
        <w:numPr>
          <w:ilvl w:val="1"/>
          <w:numId w:val="1"/>
        </w:numPr>
        <w:tabs>
          <w:tab w:val="left" w:pos="480"/>
        </w:tabs>
        <w:spacing w:line="288" w:lineRule="auto"/>
        <w:jc w:val="both"/>
      </w:pPr>
      <w:bookmarkStart w:id="43" w:name="bookmark43"/>
      <w:bookmarkEnd w:id="43"/>
      <w:r>
        <w:t xml:space="preserve">Kontaktní osobou poskytovatele je: Martin Urban, tel.: </w:t>
      </w:r>
      <w:proofErr w:type="spellStart"/>
      <w:r w:rsidR="00B606A7">
        <w:t>xxxxxxxxxxxxx</w:t>
      </w:r>
      <w:proofErr w:type="spellEnd"/>
      <w:r>
        <w:t xml:space="preserve">, </w:t>
      </w:r>
      <w:proofErr w:type="spellStart"/>
      <w:proofErr w:type="gramStart"/>
      <w:r>
        <w:t>e-mail:</w:t>
      </w:r>
      <w:r w:rsidR="00B606A7">
        <w:t>xxxxxxxxxxxxxx</w:t>
      </w:r>
      <w:proofErr w:type="spellEnd"/>
      <w:proofErr w:type="gramEnd"/>
    </w:p>
    <w:p w14:paraId="5000F9A2" w14:textId="3100DBBB" w:rsidR="008244D5" w:rsidRDefault="003E78F8">
      <w:pPr>
        <w:pStyle w:val="Zkladntext1"/>
        <w:numPr>
          <w:ilvl w:val="1"/>
          <w:numId w:val="1"/>
        </w:numPr>
        <w:tabs>
          <w:tab w:val="left" w:pos="480"/>
          <w:tab w:val="left" w:pos="8237"/>
        </w:tabs>
        <w:spacing w:line="288" w:lineRule="auto"/>
        <w:jc w:val="both"/>
      </w:pPr>
      <w:bookmarkStart w:id="44" w:name="bookmark44"/>
      <w:bookmarkEnd w:id="44"/>
      <w:r>
        <w:t xml:space="preserve">Kontaktní osobou nabyvatele je: </w:t>
      </w:r>
      <w:proofErr w:type="spellStart"/>
      <w:r w:rsidR="00B606A7">
        <w:t>xxxxxxxxxxxxx</w:t>
      </w:r>
      <w:proofErr w:type="spellEnd"/>
      <w:r>
        <w:t xml:space="preserve">, tel.: </w:t>
      </w:r>
      <w:proofErr w:type="spellStart"/>
      <w:r w:rsidR="00B606A7">
        <w:t>xxxxxxxxx</w:t>
      </w:r>
      <w:proofErr w:type="spellEnd"/>
      <w:r>
        <w:t>, e-mail:</w:t>
      </w:r>
    </w:p>
    <w:p w14:paraId="5075A101" w14:textId="76DF2D62" w:rsidR="008244D5" w:rsidRDefault="00462BD7">
      <w:pPr>
        <w:pStyle w:val="Zkladntext1"/>
        <w:spacing w:line="288" w:lineRule="auto"/>
        <w:jc w:val="both"/>
      </w:pPr>
      <w:hyperlink r:id="rId10" w:history="1">
        <w:proofErr w:type="spellStart"/>
        <w:r w:rsidR="00B606A7">
          <w:t>xxxxxx</w:t>
        </w:r>
        <w:proofErr w:type="spellEnd"/>
      </w:hyperlink>
    </w:p>
    <w:p w14:paraId="4BAE8572" w14:textId="77777777" w:rsidR="008244D5" w:rsidRDefault="003E78F8">
      <w:pPr>
        <w:pStyle w:val="Zkladntext1"/>
        <w:numPr>
          <w:ilvl w:val="1"/>
          <w:numId w:val="1"/>
        </w:numPr>
        <w:tabs>
          <w:tab w:val="left" w:pos="485"/>
        </w:tabs>
        <w:spacing w:line="288" w:lineRule="auto"/>
        <w:jc w:val="both"/>
      </w:pPr>
      <w:bookmarkStart w:id="45" w:name="bookmark45"/>
      <w:bookmarkEnd w:id="45"/>
      <w:r>
        <w:t>Předmět dodávky je poskytovatel povinen dodat nabyvateli se všemi příslušnými doklady (jejich soupis bude součástí předávacího protokolu, případně dodacího listu).</w:t>
      </w:r>
    </w:p>
    <w:p w14:paraId="01423757" w14:textId="77777777" w:rsidR="008244D5" w:rsidRDefault="003E78F8">
      <w:pPr>
        <w:pStyle w:val="Zkladntext1"/>
        <w:numPr>
          <w:ilvl w:val="1"/>
          <w:numId w:val="1"/>
        </w:numPr>
        <w:tabs>
          <w:tab w:val="left" w:pos="480"/>
        </w:tabs>
        <w:spacing w:after="280" w:line="288" w:lineRule="auto"/>
        <w:jc w:val="both"/>
      </w:pPr>
      <w:bookmarkStart w:id="46" w:name="bookmark46"/>
      <w:bookmarkEnd w:id="46"/>
      <w:r>
        <w:t>Nabyvatel podpisem potvrdí převzetí, úplnost a správnost dodávky předmětu plnění na dodacím listu.</w:t>
      </w:r>
    </w:p>
    <w:p w14:paraId="6451BEAC" w14:textId="77777777" w:rsidR="008244D5" w:rsidRDefault="003E78F8">
      <w:pPr>
        <w:pStyle w:val="Zkladntext1"/>
        <w:spacing w:after="220"/>
        <w:jc w:val="both"/>
      </w:pPr>
      <w:r>
        <w:rPr>
          <w:b/>
          <w:bCs/>
        </w:rPr>
        <w:lastRenderedPageBreak/>
        <w:t xml:space="preserve">5.9. </w:t>
      </w:r>
      <w:r>
        <w:t>Právo předmět smlouvy užívat spolu s právy udělené licence vzniká okamžikem převzetí a zpřístupnění licencí dle čl. II odst. 2.1 této smlouvy.</w:t>
      </w:r>
    </w:p>
    <w:p w14:paraId="2F0CC3EC" w14:textId="77777777" w:rsidR="008244D5" w:rsidRDefault="003E78F8">
      <w:pPr>
        <w:pStyle w:val="Nadpis30"/>
        <w:keepNext/>
        <w:keepLines/>
        <w:numPr>
          <w:ilvl w:val="0"/>
          <w:numId w:val="1"/>
        </w:numPr>
        <w:tabs>
          <w:tab w:val="left" w:pos="626"/>
        </w:tabs>
        <w:spacing w:after="220" w:line="288" w:lineRule="auto"/>
        <w:jc w:val="both"/>
      </w:pPr>
      <w:bookmarkStart w:id="47" w:name="bookmark49"/>
      <w:bookmarkStart w:id="48" w:name="bookmark47"/>
      <w:bookmarkStart w:id="49" w:name="bookmark48"/>
      <w:bookmarkStart w:id="50" w:name="bookmark50"/>
      <w:bookmarkEnd w:id="47"/>
      <w:r>
        <w:t>Cena</w:t>
      </w:r>
      <w:bookmarkEnd w:id="48"/>
      <w:bookmarkEnd w:id="49"/>
      <w:bookmarkEnd w:id="50"/>
    </w:p>
    <w:p w14:paraId="17C50835" w14:textId="77777777" w:rsidR="008244D5" w:rsidRDefault="003E78F8">
      <w:pPr>
        <w:pStyle w:val="Zkladntext1"/>
        <w:numPr>
          <w:ilvl w:val="1"/>
          <w:numId w:val="1"/>
        </w:numPr>
        <w:tabs>
          <w:tab w:val="left" w:pos="480"/>
        </w:tabs>
        <w:jc w:val="both"/>
      </w:pPr>
      <w:bookmarkStart w:id="51" w:name="bookmark51"/>
      <w:bookmarkEnd w:id="51"/>
      <w:r>
        <w:t>Nabyvatel se zavazuje zaplatit poskytovateli za dodávku předmětu smlouvy dohodnutou cenu.</w:t>
      </w:r>
    </w:p>
    <w:p w14:paraId="7CD89A10" w14:textId="77777777" w:rsidR="008244D5" w:rsidRDefault="003E78F8">
      <w:pPr>
        <w:pStyle w:val="Zkladntext1"/>
        <w:numPr>
          <w:ilvl w:val="1"/>
          <w:numId w:val="1"/>
        </w:numPr>
        <w:tabs>
          <w:tab w:val="left" w:pos="480"/>
        </w:tabs>
        <w:jc w:val="both"/>
      </w:pPr>
      <w:bookmarkStart w:id="52" w:name="bookmark52"/>
      <w:bookmarkEnd w:id="52"/>
      <w:r>
        <w:t xml:space="preserve">Cena za poskytnutí 8 ks licence ANPR-GUI vč. HW klíče s 12měsíčnř aktualizací je stanovena na částku </w:t>
      </w:r>
      <w:proofErr w:type="gramStart"/>
      <w:r>
        <w:t>208.800,-</w:t>
      </w:r>
      <w:proofErr w:type="gramEnd"/>
      <w:r>
        <w:t xml:space="preserve"> Kč bez DPH.</w:t>
      </w:r>
    </w:p>
    <w:p w14:paraId="1C9B5C97" w14:textId="77777777" w:rsidR="008244D5" w:rsidRDefault="003E78F8">
      <w:pPr>
        <w:pStyle w:val="Zkladntext1"/>
        <w:numPr>
          <w:ilvl w:val="1"/>
          <w:numId w:val="1"/>
        </w:numPr>
        <w:tabs>
          <w:tab w:val="left" w:pos="480"/>
        </w:tabs>
        <w:jc w:val="both"/>
      </w:pPr>
      <w:bookmarkStart w:id="53" w:name="bookmark53"/>
      <w:bookmarkEnd w:id="53"/>
      <w:r>
        <w:t xml:space="preserve">Cena za poskytnutí následných aktualizací po dobu 24 měsíců je stanovena na </w:t>
      </w:r>
      <w:proofErr w:type="gramStart"/>
      <w:r>
        <w:t>83.520,-</w:t>
      </w:r>
      <w:proofErr w:type="gramEnd"/>
      <w:r>
        <w:t xml:space="preserve"> Kč bez DPH</w:t>
      </w:r>
    </w:p>
    <w:p w14:paraId="0F3BBB3D" w14:textId="77777777" w:rsidR="008244D5" w:rsidRDefault="003E78F8">
      <w:pPr>
        <w:pStyle w:val="Zkladntext1"/>
        <w:numPr>
          <w:ilvl w:val="1"/>
          <w:numId w:val="1"/>
        </w:numPr>
        <w:tabs>
          <w:tab w:val="left" w:pos="480"/>
        </w:tabs>
        <w:jc w:val="both"/>
      </w:pPr>
      <w:bookmarkStart w:id="54" w:name="bookmark54"/>
      <w:bookmarkEnd w:id="54"/>
      <w:r>
        <w:t xml:space="preserve">Celková cena předmětu plnění z této smlouvy tedy činí částku ve výši </w:t>
      </w:r>
      <w:proofErr w:type="gramStart"/>
      <w:r>
        <w:rPr>
          <w:b/>
          <w:bCs/>
        </w:rPr>
        <w:t>292.320,-</w:t>
      </w:r>
      <w:proofErr w:type="gramEnd"/>
      <w:r>
        <w:rPr>
          <w:b/>
          <w:bCs/>
        </w:rPr>
        <w:t xml:space="preserve"> Kč bez DPH.</w:t>
      </w:r>
    </w:p>
    <w:p w14:paraId="018AD759" w14:textId="77777777" w:rsidR="008244D5" w:rsidRDefault="003E78F8">
      <w:pPr>
        <w:pStyle w:val="Zkladntext1"/>
        <w:numPr>
          <w:ilvl w:val="1"/>
          <w:numId w:val="1"/>
        </w:numPr>
        <w:tabs>
          <w:tab w:val="left" w:pos="480"/>
        </w:tabs>
        <w:spacing w:line="240" w:lineRule="auto"/>
        <w:jc w:val="both"/>
      </w:pPr>
      <w:bookmarkStart w:id="55" w:name="bookmark55"/>
      <w:bookmarkEnd w:id="55"/>
      <w:r>
        <w:t>Poplatky za podporu („</w:t>
      </w:r>
      <w:proofErr w:type="spellStart"/>
      <w:r>
        <w:t>maintenance</w:t>
      </w:r>
      <w:proofErr w:type="spellEnd"/>
      <w:r>
        <w:t>") jsou součástí ceny.</w:t>
      </w:r>
    </w:p>
    <w:p w14:paraId="4674300C" w14:textId="77777777" w:rsidR="008244D5" w:rsidRDefault="003E78F8">
      <w:pPr>
        <w:pStyle w:val="Zkladntext1"/>
        <w:numPr>
          <w:ilvl w:val="1"/>
          <w:numId w:val="1"/>
        </w:numPr>
        <w:tabs>
          <w:tab w:val="left" w:pos="480"/>
        </w:tabs>
        <w:spacing w:line="240" w:lineRule="auto"/>
        <w:jc w:val="both"/>
      </w:pPr>
      <w:bookmarkStart w:id="56" w:name="bookmark56"/>
      <w:bookmarkEnd w:id="56"/>
      <w:r>
        <w:t>Poplatky za možné prodloužení licence po skončení 36 měsíců budou ve výši 20 % z pořizovací ceny.</w:t>
      </w:r>
    </w:p>
    <w:p w14:paraId="72641778" w14:textId="77777777" w:rsidR="008244D5" w:rsidRDefault="003E78F8">
      <w:pPr>
        <w:pStyle w:val="Zkladntext1"/>
        <w:numPr>
          <w:ilvl w:val="1"/>
          <w:numId w:val="1"/>
        </w:numPr>
        <w:tabs>
          <w:tab w:val="left" w:pos="485"/>
        </w:tabs>
        <w:spacing w:after="220" w:line="240" w:lineRule="auto"/>
        <w:jc w:val="both"/>
      </w:pPr>
      <w:bookmarkStart w:id="57" w:name="bookmark57"/>
      <w:bookmarkEnd w:id="57"/>
      <w:r>
        <w:t>Pro vyloučení pochybností se uvádí, že licenční období se sjednává na neurčito ode dne účinnosti této smlouvy. Aktualizace musí na sebe navazovat a musí být o ní požádáno poskytovatele nejpozději 14 dní před uplynutím 36 měsíců od podpisu smlouvy.</w:t>
      </w:r>
    </w:p>
    <w:p w14:paraId="04E55D78" w14:textId="77777777" w:rsidR="008244D5" w:rsidRDefault="003E78F8">
      <w:pPr>
        <w:pStyle w:val="Nadpis30"/>
        <w:keepNext/>
        <w:keepLines/>
        <w:numPr>
          <w:ilvl w:val="0"/>
          <w:numId w:val="1"/>
        </w:numPr>
        <w:tabs>
          <w:tab w:val="left" w:pos="626"/>
        </w:tabs>
        <w:spacing w:after="220" w:line="288" w:lineRule="auto"/>
        <w:jc w:val="both"/>
      </w:pPr>
      <w:bookmarkStart w:id="58" w:name="bookmark60"/>
      <w:bookmarkStart w:id="59" w:name="bookmark58"/>
      <w:bookmarkStart w:id="60" w:name="bookmark59"/>
      <w:bookmarkStart w:id="61" w:name="bookmark61"/>
      <w:bookmarkEnd w:id="58"/>
      <w:r>
        <w:t>Platební podmínky</w:t>
      </w:r>
      <w:bookmarkEnd w:id="59"/>
      <w:bookmarkEnd w:id="60"/>
      <w:bookmarkEnd w:id="61"/>
    </w:p>
    <w:p w14:paraId="6E3F7645" w14:textId="77777777" w:rsidR="008244D5" w:rsidRDefault="003E78F8">
      <w:pPr>
        <w:pStyle w:val="Zkladntext1"/>
        <w:numPr>
          <w:ilvl w:val="1"/>
          <w:numId w:val="1"/>
        </w:numPr>
        <w:tabs>
          <w:tab w:val="left" w:pos="483"/>
        </w:tabs>
        <w:spacing w:line="288" w:lineRule="auto"/>
        <w:jc w:val="both"/>
      </w:pPr>
      <w:bookmarkStart w:id="62" w:name="bookmark62"/>
      <w:bookmarkEnd w:id="62"/>
      <w:r>
        <w:t>Nákup SW dle bodu 2.1. a 2.2. za cenu dle bodu 6. této smlouvy bude fakturován bezprostředně po nabytí účinnosti smlouvy.</w:t>
      </w:r>
    </w:p>
    <w:p w14:paraId="13A91F51" w14:textId="77777777" w:rsidR="008244D5" w:rsidRDefault="003E78F8">
      <w:pPr>
        <w:pStyle w:val="Zkladntext1"/>
        <w:numPr>
          <w:ilvl w:val="1"/>
          <w:numId w:val="1"/>
        </w:numPr>
        <w:tabs>
          <w:tab w:val="left" w:pos="485"/>
        </w:tabs>
        <w:spacing w:after="220" w:line="288" w:lineRule="auto"/>
        <w:jc w:val="both"/>
      </w:pPr>
      <w:bookmarkStart w:id="63" w:name="bookmark63"/>
      <w:bookmarkEnd w:id="63"/>
      <w:r>
        <w:t xml:space="preserve">Splatnost faktury se sjednává na období </w:t>
      </w:r>
      <w:proofErr w:type="gramStart"/>
      <w:r>
        <w:t>14-ti</w:t>
      </w:r>
      <w:proofErr w:type="gramEnd"/>
      <w:r>
        <w:t xml:space="preserve"> dnů ode dne jejího doručení nabyvateli. Vystavená faktura musí obsahovat veškeré náležitosti stanovené zákonem č. 235/2004 Sb., o dani z přidané hodnoty, ve znění pozdějších předpisů. V případě, že faktura doručená nabyvateli nebude obsahovat některou z předepsaných náležitostí nebo ji bude obsahovat chybně, je nabyvatel oprávněn vrátit takovouto fakturu poskytovateli. Lhůta splatnosti v takovémto případě neběží, přičemž nová lhůta splatnosti počíná běžet až od doručení opravené či doplněné faktury. Strany si sjednávají možnost elektronického zasílání faktur na adresu </w:t>
      </w:r>
      <w:hyperlink r:id="rId11" w:history="1">
        <w:r>
          <w:t>faktury@cdv.cz</w:t>
        </w:r>
      </w:hyperlink>
      <w:r>
        <w:t>.</w:t>
      </w:r>
    </w:p>
    <w:p w14:paraId="5A232FC8" w14:textId="77777777" w:rsidR="008244D5" w:rsidRDefault="003E78F8">
      <w:pPr>
        <w:pStyle w:val="Nadpis30"/>
        <w:keepNext/>
        <w:keepLines/>
        <w:numPr>
          <w:ilvl w:val="0"/>
          <w:numId w:val="1"/>
        </w:numPr>
        <w:tabs>
          <w:tab w:val="left" w:pos="626"/>
        </w:tabs>
        <w:spacing w:after="220" w:line="288" w:lineRule="auto"/>
        <w:jc w:val="both"/>
      </w:pPr>
      <w:bookmarkStart w:id="64" w:name="bookmark66"/>
      <w:bookmarkStart w:id="65" w:name="bookmark64"/>
      <w:bookmarkStart w:id="66" w:name="bookmark65"/>
      <w:bookmarkStart w:id="67" w:name="bookmark67"/>
      <w:bookmarkEnd w:id="64"/>
      <w:r>
        <w:t>Odpovědnost za vady</w:t>
      </w:r>
      <w:bookmarkEnd w:id="65"/>
      <w:bookmarkEnd w:id="66"/>
      <w:bookmarkEnd w:id="67"/>
    </w:p>
    <w:p w14:paraId="12ECDED4" w14:textId="77777777" w:rsidR="008244D5" w:rsidRDefault="003E78F8">
      <w:pPr>
        <w:pStyle w:val="Zkladntext1"/>
        <w:numPr>
          <w:ilvl w:val="1"/>
          <w:numId w:val="1"/>
        </w:numPr>
        <w:tabs>
          <w:tab w:val="left" w:pos="480"/>
        </w:tabs>
        <w:spacing w:line="288" w:lineRule="auto"/>
        <w:jc w:val="both"/>
      </w:pPr>
      <w:bookmarkStart w:id="68" w:name="bookmark68"/>
      <w:bookmarkEnd w:id="68"/>
      <w:r>
        <w:t>Na dodaný předmět smlouvy je poskytována záruka v délce 5 let. Záruční doba začíná běžet okamžikem převzetí nabyvatelem.</w:t>
      </w:r>
    </w:p>
    <w:p w14:paraId="242D3652" w14:textId="77777777" w:rsidR="008244D5" w:rsidRDefault="003E78F8">
      <w:pPr>
        <w:pStyle w:val="Zkladntext1"/>
        <w:numPr>
          <w:ilvl w:val="1"/>
          <w:numId w:val="1"/>
        </w:numPr>
        <w:tabs>
          <w:tab w:val="left" w:pos="483"/>
        </w:tabs>
        <w:spacing w:line="288" w:lineRule="auto"/>
        <w:jc w:val="both"/>
      </w:pPr>
      <w:bookmarkStart w:id="69" w:name="bookmark69"/>
      <w:bookmarkEnd w:id="69"/>
      <w:r>
        <w:t>Nabyvatel zajistí řádné převzetí předmětu smlouvy a v předávacím protokolu, případně dodacím listu zaznamená případné vady, které při přejímce zjistil.</w:t>
      </w:r>
    </w:p>
    <w:p w14:paraId="7589B051" w14:textId="77777777" w:rsidR="008244D5" w:rsidRDefault="003E78F8">
      <w:pPr>
        <w:pStyle w:val="Zkladntext1"/>
        <w:numPr>
          <w:ilvl w:val="1"/>
          <w:numId w:val="1"/>
        </w:numPr>
        <w:tabs>
          <w:tab w:val="left" w:pos="483"/>
        </w:tabs>
        <w:spacing w:line="288" w:lineRule="auto"/>
        <w:jc w:val="both"/>
      </w:pPr>
      <w:bookmarkStart w:id="70" w:name="bookmark70"/>
      <w:bookmarkEnd w:id="70"/>
      <w:r>
        <w:t>Reklamaci vad, jejichž existenci nabyvatel v průběhu záruční doby na předmětu smlouvy zjistí, musí vůči poskytovateli uplatňovat písemně.</w:t>
      </w:r>
    </w:p>
    <w:p w14:paraId="3E3E0D09" w14:textId="77777777" w:rsidR="008244D5" w:rsidRDefault="003E78F8">
      <w:pPr>
        <w:pStyle w:val="Zkladntext1"/>
        <w:numPr>
          <w:ilvl w:val="1"/>
          <w:numId w:val="1"/>
        </w:numPr>
        <w:tabs>
          <w:tab w:val="left" w:pos="483"/>
        </w:tabs>
        <w:spacing w:line="288" w:lineRule="auto"/>
        <w:jc w:val="both"/>
      </w:pPr>
      <w:bookmarkStart w:id="71" w:name="bookmark71"/>
      <w:bookmarkEnd w:id="71"/>
      <w:r>
        <w:t>Zástupce poskytovatele je povinen zahájit opravu, případně projednání vady za účelem stanovení způsobu odstranění, do 3 pracovních dnů od obdržení písemné reklamace.</w:t>
      </w:r>
    </w:p>
    <w:p w14:paraId="6D86E49D" w14:textId="77777777" w:rsidR="008244D5" w:rsidRDefault="003E78F8">
      <w:pPr>
        <w:pStyle w:val="Zkladntext1"/>
        <w:numPr>
          <w:ilvl w:val="1"/>
          <w:numId w:val="1"/>
        </w:numPr>
        <w:tabs>
          <w:tab w:val="left" w:pos="483"/>
        </w:tabs>
        <w:spacing w:after="100" w:line="288" w:lineRule="auto"/>
        <w:jc w:val="both"/>
      </w:pPr>
      <w:bookmarkStart w:id="72" w:name="bookmark72"/>
      <w:bookmarkEnd w:id="72"/>
      <w:r>
        <w:t>Termín odstranění vady bude stanoven písemně v protokolu o odstranění vady odsouhlaseném oprávněnými zástupci obou stran.</w:t>
      </w:r>
    </w:p>
    <w:p w14:paraId="6AFD4CC6" w14:textId="77777777" w:rsidR="008244D5" w:rsidRDefault="003E78F8">
      <w:pPr>
        <w:pStyle w:val="Nadpis30"/>
        <w:keepNext/>
        <w:keepLines/>
        <w:numPr>
          <w:ilvl w:val="0"/>
          <w:numId w:val="1"/>
        </w:numPr>
        <w:tabs>
          <w:tab w:val="left" w:pos="639"/>
        </w:tabs>
        <w:spacing w:after="240" w:line="240" w:lineRule="auto"/>
        <w:ind w:firstLine="300"/>
        <w:jc w:val="both"/>
      </w:pPr>
      <w:bookmarkStart w:id="73" w:name="bookmark75"/>
      <w:bookmarkStart w:id="74" w:name="bookmark73"/>
      <w:bookmarkStart w:id="75" w:name="bookmark74"/>
      <w:bookmarkStart w:id="76" w:name="bookmark76"/>
      <w:bookmarkEnd w:id="73"/>
      <w:r>
        <w:t>Smluvní sankce</w:t>
      </w:r>
      <w:bookmarkEnd w:id="74"/>
      <w:bookmarkEnd w:id="75"/>
      <w:bookmarkEnd w:id="76"/>
    </w:p>
    <w:p w14:paraId="12773DF2" w14:textId="77777777" w:rsidR="008244D5" w:rsidRDefault="003E78F8">
      <w:pPr>
        <w:pStyle w:val="Zkladntext1"/>
        <w:numPr>
          <w:ilvl w:val="1"/>
          <w:numId w:val="1"/>
        </w:numPr>
        <w:tabs>
          <w:tab w:val="left" w:pos="454"/>
        </w:tabs>
        <w:jc w:val="both"/>
      </w:pPr>
      <w:bookmarkStart w:id="77" w:name="bookmark77"/>
      <w:bookmarkEnd w:id="77"/>
      <w:r>
        <w:t>V případě, že bude poskytovatel v prodlení se svojí povinností splnit řádně a včas předmět smlouvy, tj. nedodrží-li jakýkoli termín (dílčí i konečný), je nabyvatel oprávněn vůči němu uplatnit smluvní pokutu ve výši 0,5 % z celkové ceny, a to za každý, byť jen započatý den prodlení. Toto ustanovení neplatí, vzniklo-li prodlení vinou nabyvatele nebo v důsledku vyšší moci.</w:t>
      </w:r>
    </w:p>
    <w:p w14:paraId="039023B1" w14:textId="77777777" w:rsidR="008244D5" w:rsidRDefault="003E78F8">
      <w:pPr>
        <w:pStyle w:val="Zkladntext1"/>
        <w:numPr>
          <w:ilvl w:val="1"/>
          <w:numId w:val="1"/>
        </w:numPr>
        <w:tabs>
          <w:tab w:val="left" w:pos="448"/>
        </w:tabs>
        <w:jc w:val="both"/>
      </w:pPr>
      <w:bookmarkStart w:id="78" w:name="bookmark78"/>
      <w:bookmarkEnd w:id="78"/>
      <w:r>
        <w:t>V případě, že bude nabyvatel v prodlení s platbou, může poskytovatel uplatnit smluvní pokutu ve výši 0,05 % z dlužné částky za každý, byť jen započatý den prodlení.</w:t>
      </w:r>
    </w:p>
    <w:p w14:paraId="4BB5E84F" w14:textId="77777777" w:rsidR="008244D5" w:rsidRDefault="003E78F8">
      <w:pPr>
        <w:pStyle w:val="Zkladntext1"/>
        <w:numPr>
          <w:ilvl w:val="1"/>
          <w:numId w:val="1"/>
        </w:numPr>
        <w:tabs>
          <w:tab w:val="left" w:pos="448"/>
        </w:tabs>
        <w:jc w:val="both"/>
      </w:pPr>
      <w:bookmarkStart w:id="79" w:name="bookmark79"/>
      <w:bookmarkEnd w:id="79"/>
      <w:r>
        <w:t xml:space="preserve">Poskytovatel se zavazuje pro případ, že nedojde k zahájení oprav dle čl. 9 odst. 9.4 Smlouvy do tří dnů od nahlášení, nebo nedojde k řádnému vyřešení reklamace do </w:t>
      </w:r>
      <w:proofErr w:type="gramStart"/>
      <w:r>
        <w:t>30-ti</w:t>
      </w:r>
      <w:proofErr w:type="gramEnd"/>
      <w:r>
        <w:t xml:space="preserve"> dnů ode dne řádného provedení reklamace Nabyvatelem smluvní pokutu ve výši 0,5 % z celkové ceny, a to za každý, byť jen započatý den prodlení.</w:t>
      </w:r>
    </w:p>
    <w:p w14:paraId="1C9E0295" w14:textId="77777777" w:rsidR="008244D5" w:rsidRDefault="003E78F8">
      <w:pPr>
        <w:pStyle w:val="Zkladntext1"/>
        <w:numPr>
          <w:ilvl w:val="1"/>
          <w:numId w:val="1"/>
        </w:numPr>
        <w:tabs>
          <w:tab w:val="left" w:pos="454"/>
        </w:tabs>
        <w:jc w:val="both"/>
      </w:pPr>
      <w:bookmarkStart w:id="80" w:name="bookmark80"/>
      <w:bookmarkEnd w:id="80"/>
      <w:r>
        <w:t xml:space="preserve">Smluvní pokuty, sjednané touto smlouvou, hradí povinná strana nezávisle na tom, zda a v jaké výši vznikne </w:t>
      </w:r>
      <w:r>
        <w:lastRenderedPageBreak/>
        <w:t>porušením utvrzené povinnosti druhé straně škoda. Smluvní strany výslovně sjednávají, že poškozená strana má vedle nároku na smluvní pokutu také nárok na náhradu škody v plné výši.</w:t>
      </w:r>
    </w:p>
    <w:p w14:paraId="74D5C679" w14:textId="77777777" w:rsidR="008244D5" w:rsidRDefault="003E78F8">
      <w:pPr>
        <w:pStyle w:val="Zkladntext1"/>
        <w:numPr>
          <w:ilvl w:val="1"/>
          <w:numId w:val="1"/>
        </w:numPr>
        <w:tabs>
          <w:tab w:val="left" w:pos="452"/>
        </w:tabs>
        <w:jc w:val="both"/>
      </w:pPr>
      <w:bookmarkStart w:id="81" w:name="bookmark81"/>
      <w:bookmarkEnd w:id="81"/>
      <w:r>
        <w:t>Smluvní strany si sjednávají smluvní pokutu ve výši 0,5 % z celkové ceny, a to za každý, byť jen započatý den prodlení pro případ, že poskytovatel nedodrží plán aktualizací předmětu smlouvy stanovený v čl. II odst. 2.4 této smlouvy.</w:t>
      </w:r>
    </w:p>
    <w:p w14:paraId="482C0093" w14:textId="77777777" w:rsidR="008244D5" w:rsidRDefault="003E78F8">
      <w:pPr>
        <w:pStyle w:val="Zkladntext1"/>
        <w:numPr>
          <w:ilvl w:val="1"/>
          <w:numId w:val="1"/>
        </w:numPr>
        <w:tabs>
          <w:tab w:val="left" w:pos="450"/>
        </w:tabs>
        <w:spacing w:after="240"/>
        <w:jc w:val="both"/>
      </w:pPr>
      <w:bookmarkStart w:id="82" w:name="bookmark82"/>
      <w:bookmarkEnd w:id="82"/>
      <w:r>
        <w:t>Smluvní pokuta je splatná do 10 dnů poté, co bude písemná výzva jedné strany v tomto směru druhé straně doručena</w:t>
      </w:r>
    </w:p>
    <w:p w14:paraId="5B1EE18A" w14:textId="77777777" w:rsidR="008244D5" w:rsidRDefault="003E78F8">
      <w:pPr>
        <w:pStyle w:val="Nadpis30"/>
        <w:keepNext/>
        <w:keepLines/>
        <w:numPr>
          <w:ilvl w:val="0"/>
          <w:numId w:val="1"/>
        </w:numPr>
        <w:tabs>
          <w:tab w:val="left" w:pos="678"/>
        </w:tabs>
        <w:spacing w:after="240"/>
        <w:ind w:firstLine="300"/>
        <w:jc w:val="both"/>
      </w:pPr>
      <w:bookmarkStart w:id="83" w:name="bookmark85"/>
      <w:bookmarkStart w:id="84" w:name="bookmark83"/>
      <w:bookmarkStart w:id="85" w:name="bookmark84"/>
      <w:bookmarkStart w:id="86" w:name="bookmark86"/>
      <w:bookmarkEnd w:id="83"/>
      <w:r>
        <w:t>Ukončení smlouvy</w:t>
      </w:r>
      <w:bookmarkEnd w:id="84"/>
      <w:bookmarkEnd w:id="85"/>
      <w:bookmarkEnd w:id="86"/>
    </w:p>
    <w:p w14:paraId="4ABF58AD" w14:textId="77777777" w:rsidR="008244D5" w:rsidRDefault="003E78F8">
      <w:pPr>
        <w:pStyle w:val="Zkladntext1"/>
        <w:numPr>
          <w:ilvl w:val="1"/>
          <w:numId w:val="1"/>
        </w:numPr>
        <w:tabs>
          <w:tab w:val="left" w:pos="546"/>
        </w:tabs>
        <w:jc w:val="both"/>
      </w:pPr>
      <w:bookmarkStart w:id="87" w:name="bookmark87"/>
      <w:bookmarkEnd w:id="87"/>
      <w:r>
        <w:t>Nabyvatel je oprávněn smlouvu ukončit výpovědí doručenou poskytovateli s tříměsíční výpovědní lhůtou, která započne běžet prvním dnem měsíce následujícího po dni doručení výpovědi Poskytovateli.</w:t>
      </w:r>
    </w:p>
    <w:p w14:paraId="29B9D41E" w14:textId="77777777" w:rsidR="008244D5" w:rsidRDefault="003E78F8">
      <w:pPr>
        <w:pStyle w:val="Zkladntext1"/>
        <w:numPr>
          <w:ilvl w:val="1"/>
          <w:numId w:val="1"/>
        </w:numPr>
        <w:tabs>
          <w:tab w:val="left" w:pos="555"/>
        </w:tabs>
        <w:jc w:val="both"/>
      </w:pPr>
      <w:bookmarkStart w:id="88" w:name="bookmark88"/>
      <w:bookmarkEnd w:id="88"/>
      <w:r>
        <w:t>Poskytovatel je oprávněn smlouvu ukončit s tříměsíční výpovědní lhůtou v případě, že nabyvatel postupuje v rozporu s touto smlouvou i přes písemné upozornění poskytovatele.</w:t>
      </w:r>
    </w:p>
    <w:p w14:paraId="590B529F" w14:textId="77777777" w:rsidR="008244D5" w:rsidRDefault="003E78F8">
      <w:pPr>
        <w:pStyle w:val="Zkladntext1"/>
        <w:numPr>
          <w:ilvl w:val="1"/>
          <w:numId w:val="1"/>
        </w:numPr>
        <w:tabs>
          <w:tab w:val="left" w:pos="558"/>
        </w:tabs>
        <w:jc w:val="both"/>
      </w:pPr>
      <w:bookmarkStart w:id="89" w:name="bookmark89"/>
      <w:bookmarkEnd w:id="89"/>
      <w:r>
        <w:t>Poskytovatel je oprávněn smlouvu ukončit s okamžitou platností v případě, že nabyvatel postupuje v rozporu s článkem 4. této smlouvy.</w:t>
      </w:r>
    </w:p>
    <w:p w14:paraId="226D81CB" w14:textId="77777777" w:rsidR="008244D5" w:rsidRDefault="003E78F8">
      <w:pPr>
        <w:pStyle w:val="Zkladntext1"/>
        <w:numPr>
          <w:ilvl w:val="1"/>
          <w:numId w:val="1"/>
        </w:numPr>
        <w:tabs>
          <w:tab w:val="left" w:pos="543"/>
        </w:tabs>
        <w:jc w:val="both"/>
      </w:pPr>
      <w:bookmarkStart w:id="90" w:name="bookmark90"/>
      <w:bookmarkEnd w:id="90"/>
      <w:r>
        <w:t>Nabyvatel je oprávněn smlouvu ukončit s okamžitou platností v případě, že poskytovatel nedodá předmět plnění do 2 měsíců ode dne účinnosti této smlouvy, nebo pro případ, že Nabyvatel nebude bez vlastního zavinění moci z důvodu závady užívat předmět plnění po dobu delší než 40 dní.</w:t>
      </w:r>
    </w:p>
    <w:p w14:paraId="5E190F07" w14:textId="77777777" w:rsidR="008244D5" w:rsidRDefault="003E78F8">
      <w:pPr>
        <w:pStyle w:val="Zkladntext1"/>
        <w:numPr>
          <w:ilvl w:val="1"/>
          <w:numId w:val="1"/>
        </w:numPr>
        <w:tabs>
          <w:tab w:val="left" w:pos="546"/>
        </w:tabs>
        <w:jc w:val="both"/>
      </w:pPr>
      <w:bookmarkStart w:id="91" w:name="bookmark91"/>
      <w:bookmarkEnd w:id="91"/>
      <w:r>
        <w:t>Ukončením smlouvy nezaniká právo na náhradu škody, smluvní pokuty a jiných ustanovení, které vzhledem ke své povaze mají trvat i po ukončení smlouvy.</w:t>
      </w:r>
    </w:p>
    <w:p w14:paraId="026267EC" w14:textId="77777777" w:rsidR="008244D5" w:rsidRDefault="003E78F8">
      <w:pPr>
        <w:pStyle w:val="Zkladntext1"/>
        <w:numPr>
          <w:ilvl w:val="1"/>
          <w:numId w:val="1"/>
        </w:numPr>
        <w:tabs>
          <w:tab w:val="left" w:pos="553"/>
        </w:tabs>
        <w:spacing w:after="240"/>
        <w:jc w:val="both"/>
      </w:pPr>
      <w:bookmarkStart w:id="92" w:name="bookmark92"/>
      <w:bookmarkEnd w:id="92"/>
      <w:r>
        <w:t xml:space="preserve">Smluvní strany jsou povinny v případě ukončení smlouvy některým ze způsobů stanovených tímto článkem provést vzájemné vyrovnání práv a závazků z této smlouvy a to do </w:t>
      </w:r>
      <w:proofErr w:type="gramStart"/>
      <w:r>
        <w:t>10-ti</w:t>
      </w:r>
      <w:proofErr w:type="gramEnd"/>
      <w:r>
        <w:t xml:space="preserve"> pracovních dnů ode dne ukončení této smlouvy.</w:t>
      </w:r>
    </w:p>
    <w:p w14:paraId="14397D30" w14:textId="77777777" w:rsidR="008244D5" w:rsidRDefault="003E78F8">
      <w:pPr>
        <w:pStyle w:val="Nadpis30"/>
        <w:keepNext/>
        <w:keepLines/>
        <w:numPr>
          <w:ilvl w:val="0"/>
          <w:numId w:val="1"/>
        </w:numPr>
        <w:tabs>
          <w:tab w:val="left" w:pos="680"/>
        </w:tabs>
        <w:spacing w:after="240"/>
        <w:ind w:firstLine="300"/>
        <w:jc w:val="both"/>
      </w:pPr>
      <w:bookmarkStart w:id="93" w:name="bookmark95"/>
      <w:bookmarkStart w:id="94" w:name="bookmark93"/>
      <w:bookmarkStart w:id="95" w:name="bookmark94"/>
      <w:bookmarkStart w:id="96" w:name="bookmark96"/>
      <w:bookmarkEnd w:id="93"/>
      <w:r>
        <w:t>Závěrečná ujednání</w:t>
      </w:r>
      <w:bookmarkEnd w:id="94"/>
      <w:bookmarkEnd w:id="95"/>
      <w:bookmarkEnd w:id="96"/>
    </w:p>
    <w:p w14:paraId="7C84539B" w14:textId="77777777" w:rsidR="008244D5" w:rsidRDefault="003E78F8">
      <w:pPr>
        <w:pStyle w:val="Zkladntext1"/>
        <w:numPr>
          <w:ilvl w:val="1"/>
          <w:numId w:val="1"/>
        </w:numPr>
        <w:tabs>
          <w:tab w:val="left" w:pos="546"/>
        </w:tabs>
        <w:spacing w:line="288" w:lineRule="auto"/>
        <w:jc w:val="both"/>
      </w:pPr>
      <w:bookmarkStart w:id="97" w:name="bookmark97"/>
      <w:bookmarkEnd w:id="97"/>
      <w:r>
        <w:t>Práva a povinnosti smluvních stran vyplývající z této smlouvy se řídí občanským zákoníkem a ostatními příslušnými právními předpisy českého právního řádu. Otázky touto smlouvou neupravené se budou řídit příslušnými ustanoveními občanského zákoníku.</w:t>
      </w:r>
    </w:p>
    <w:p w14:paraId="7B8868DA" w14:textId="77777777" w:rsidR="008244D5" w:rsidRDefault="003E78F8">
      <w:pPr>
        <w:pStyle w:val="Zkladntext1"/>
        <w:numPr>
          <w:ilvl w:val="1"/>
          <w:numId w:val="1"/>
        </w:numPr>
        <w:tabs>
          <w:tab w:val="left" w:pos="550"/>
        </w:tabs>
        <w:spacing w:line="288" w:lineRule="auto"/>
        <w:jc w:val="both"/>
      </w:pPr>
      <w:bookmarkStart w:id="98" w:name="bookmark98"/>
      <w:bookmarkEnd w:id="98"/>
      <w:r>
        <w:t>Strany si sjednávají, že pokud budou písemnosti doručovat prostřednictvím poskytovatele poštovní licence, pak se má za to, že je písemnost považuje za doručenou třetí den po odeslání, případně dnem, kdy ji adresát odmítne převzít. Písemnosti zasílané prostřednictvím poskytovatele poštovní licence musí být zasílány formou doporučeného psaní. Doklad o zaslání je pak strana, která písemnost zasílá, povinna uschovat a na vyžádání poskytnout kopii takovéhoto dokladu.</w:t>
      </w:r>
    </w:p>
    <w:p w14:paraId="3B2B63AA" w14:textId="08FA74FF" w:rsidR="008244D5" w:rsidRDefault="003E78F8">
      <w:pPr>
        <w:pStyle w:val="Zkladntext1"/>
        <w:numPr>
          <w:ilvl w:val="1"/>
          <w:numId w:val="1"/>
        </w:numPr>
        <w:tabs>
          <w:tab w:val="left" w:pos="541"/>
        </w:tabs>
        <w:spacing w:line="288" w:lineRule="auto"/>
        <w:jc w:val="both"/>
      </w:pPr>
      <w:bookmarkStart w:id="99" w:name="bookmark99"/>
      <w:bookmarkEnd w:id="99"/>
      <w:r>
        <w:t>Strany jsou povinny si písemně sdělit změnu doručovací adresy. V případě, že tak některá strana neučiní, půjde k</w:t>
      </w:r>
      <w:r w:rsidR="00B606A7">
        <w:t xml:space="preserve"> </w:t>
      </w:r>
      <w:r>
        <w:t>tíži této strany, pokud budou písemnosti zasílány na poslední oznámenou adresu a budou se tak považovat za doručené.</w:t>
      </w:r>
    </w:p>
    <w:p w14:paraId="0A9B3CF7" w14:textId="77777777" w:rsidR="008244D5" w:rsidRDefault="003E78F8">
      <w:pPr>
        <w:pStyle w:val="Zkladntext1"/>
        <w:numPr>
          <w:ilvl w:val="1"/>
          <w:numId w:val="1"/>
        </w:numPr>
        <w:tabs>
          <w:tab w:val="left" w:pos="548"/>
        </w:tabs>
        <w:spacing w:line="288" w:lineRule="auto"/>
        <w:jc w:val="both"/>
      </w:pPr>
      <w:bookmarkStart w:id="100" w:name="bookmark100"/>
      <w:bookmarkEnd w:id="100"/>
      <w:r>
        <w:t>Tato smlouva nabývá platnosti dnem jejího podpisu oběma smluvními stranami a účinnosti okamžikem uveřejnění smlouvy v registru smluv.</w:t>
      </w:r>
    </w:p>
    <w:p w14:paraId="007E78CC" w14:textId="77777777" w:rsidR="008244D5" w:rsidRDefault="003E78F8">
      <w:pPr>
        <w:pStyle w:val="Zkladntext1"/>
        <w:numPr>
          <w:ilvl w:val="1"/>
          <w:numId w:val="1"/>
        </w:numPr>
        <w:tabs>
          <w:tab w:val="left" w:pos="560"/>
        </w:tabs>
        <w:spacing w:line="288" w:lineRule="auto"/>
        <w:jc w:val="both"/>
      </w:pPr>
      <w:bookmarkStart w:id="101" w:name="bookmark101"/>
      <w:bookmarkEnd w:id="101"/>
      <w:r>
        <w:t>Každá ze Smluvních stran potvrzuje, že při sjednávání této Smlouvy postupovala čestně a transparentně a současně se zavazuje, že takto bude postupovat i při plnění této smlouvy a veškerých činnostech s ní souvisejících. Každá ze Smluvních stran se zavazuje, že bude jednat a přijme opatření tak, aby nevzniklo důvodné podezření ze spáchání trestného činu či k jeho spáchání, tj. tak, aby kterékoli ze smluvních stran nemohla být přičtena odpovědnost podle zákona č. 418/2011 Sb., o trestní odpovědnosti právnických osob a řízení proti nim, ve znění pozdějších předpisů, nebo nevznikla trestní odpovědnost jednajících osob podle zákona č. 40/2009 Sb., trestního zákoníku, ve znění pozdějších předpisů.</w:t>
      </w:r>
    </w:p>
    <w:p w14:paraId="0EECCBE8" w14:textId="77777777" w:rsidR="008244D5" w:rsidRDefault="003E78F8">
      <w:pPr>
        <w:pStyle w:val="Zkladntext1"/>
        <w:numPr>
          <w:ilvl w:val="1"/>
          <w:numId w:val="1"/>
        </w:numPr>
        <w:tabs>
          <w:tab w:val="left" w:pos="550"/>
        </w:tabs>
        <w:spacing w:line="288" w:lineRule="auto"/>
        <w:jc w:val="both"/>
      </w:pPr>
      <w:bookmarkStart w:id="102" w:name="bookmark102"/>
      <w:bookmarkEnd w:id="102"/>
      <w:r>
        <w:t>Poskytovatel neposkytne žádné informace týkající se prováděného díla dalším osobám, s výjimkou oprávněných zástupců nabyvatele.</w:t>
      </w:r>
    </w:p>
    <w:p w14:paraId="2D5733B0" w14:textId="77777777" w:rsidR="008244D5" w:rsidRDefault="003E78F8">
      <w:pPr>
        <w:pStyle w:val="Zkladntext1"/>
        <w:numPr>
          <w:ilvl w:val="1"/>
          <w:numId w:val="1"/>
        </w:numPr>
        <w:tabs>
          <w:tab w:val="left" w:pos="558"/>
        </w:tabs>
        <w:spacing w:line="288" w:lineRule="auto"/>
        <w:jc w:val="both"/>
      </w:pPr>
      <w:bookmarkStart w:id="103" w:name="bookmark103"/>
      <w:bookmarkEnd w:id="103"/>
      <w:r>
        <w:t xml:space="preserve">Smluvní strany prohlašují, že skutečnosti uvedené v této smlouvě ani jejích přílohách nepovažují za své obchodní tajemství ve smyslu § 504 občanského zákoníku a udělují svolení k jejich užití a zveřejnění bez stanovení jakýchkoli dalších podmínek, v platném znění v registru smluv uveřejněna v souladu s ustanoveními zák. č. 340/2015 Sb., o registru </w:t>
      </w:r>
      <w:r>
        <w:lastRenderedPageBreak/>
        <w:t>smluv.</w:t>
      </w:r>
    </w:p>
    <w:p w14:paraId="0566B2F5" w14:textId="77777777" w:rsidR="008244D5" w:rsidRDefault="003E78F8">
      <w:pPr>
        <w:pStyle w:val="Zkladntext1"/>
        <w:numPr>
          <w:ilvl w:val="1"/>
          <w:numId w:val="1"/>
        </w:numPr>
        <w:tabs>
          <w:tab w:val="left" w:pos="553"/>
        </w:tabs>
        <w:spacing w:line="288" w:lineRule="auto"/>
        <w:jc w:val="both"/>
      </w:pPr>
      <w:bookmarkStart w:id="104" w:name="bookmark104"/>
      <w:bookmarkEnd w:id="104"/>
      <w:r>
        <w:t>Změny této smlouvy mohou být realizovány pouze formou písemných dodatků podepsaných oprávněnými zástupci obou smluvních stran.</w:t>
      </w:r>
    </w:p>
    <w:p w14:paraId="4FEC0BD3" w14:textId="77777777" w:rsidR="008244D5" w:rsidRDefault="003E78F8">
      <w:pPr>
        <w:pStyle w:val="Zkladntext1"/>
        <w:numPr>
          <w:ilvl w:val="1"/>
          <w:numId w:val="1"/>
        </w:numPr>
        <w:tabs>
          <w:tab w:val="left" w:pos="560"/>
        </w:tabs>
        <w:spacing w:line="288" w:lineRule="auto"/>
        <w:jc w:val="both"/>
      </w:pPr>
      <w:bookmarkStart w:id="105" w:name="bookmark105"/>
      <w:bookmarkEnd w:id="105"/>
      <w:r>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p>
    <w:p w14:paraId="2D8E834B" w14:textId="77777777" w:rsidR="008244D5" w:rsidRDefault="003E78F8">
      <w:pPr>
        <w:pStyle w:val="Zkladntext1"/>
        <w:numPr>
          <w:ilvl w:val="1"/>
          <w:numId w:val="1"/>
        </w:numPr>
        <w:tabs>
          <w:tab w:val="left" w:pos="651"/>
        </w:tabs>
        <w:spacing w:line="288" w:lineRule="auto"/>
        <w:jc w:val="both"/>
      </w:pPr>
      <w:bookmarkStart w:id="106" w:name="bookmark106"/>
      <w:bookmarkEnd w:id="106"/>
      <w:r>
        <w:t>Smlouva je vyhotovena ve dvou stejnopisech, z nichž každá strana obdrží po jednom z nich.</w:t>
      </w:r>
    </w:p>
    <w:p w14:paraId="4F4FAA1D" w14:textId="77777777" w:rsidR="008244D5" w:rsidRDefault="003E78F8">
      <w:pPr>
        <w:pStyle w:val="Zkladntext1"/>
        <w:numPr>
          <w:ilvl w:val="1"/>
          <w:numId w:val="1"/>
        </w:numPr>
        <w:tabs>
          <w:tab w:val="left" w:pos="661"/>
        </w:tabs>
        <w:spacing w:line="288" w:lineRule="auto"/>
        <w:jc w:val="both"/>
      </w:pPr>
      <w:bookmarkStart w:id="107" w:name="bookmark107"/>
      <w:bookmarkEnd w:id="107"/>
      <w:r>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3E3DFA85" w14:textId="77777777" w:rsidR="008244D5" w:rsidRDefault="003E78F8">
      <w:pPr>
        <w:pStyle w:val="Zkladntext1"/>
        <w:numPr>
          <w:ilvl w:val="1"/>
          <w:numId w:val="1"/>
        </w:numPr>
        <w:tabs>
          <w:tab w:val="left" w:pos="654"/>
        </w:tabs>
        <w:spacing w:line="288" w:lineRule="auto"/>
        <w:jc w:val="both"/>
      </w:pPr>
      <w:bookmarkStart w:id="108" w:name="bookmark108"/>
      <w:bookmarkEnd w:id="108"/>
      <w:r>
        <w:t>Uveřejnění smlouvy v registru smluv zajistí Nabyvatel.</w:t>
      </w:r>
    </w:p>
    <w:p w14:paraId="6AC08DF1" w14:textId="77777777" w:rsidR="008244D5" w:rsidRDefault="003E78F8">
      <w:pPr>
        <w:pStyle w:val="Zkladntext1"/>
        <w:numPr>
          <w:ilvl w:val="1"/>
          <w:numId w:val="1"/>
        </w:numPr>
        <w:tabs>
          <w:tab w:val="left" w:pos="675"/>
        </w:tabs>
        <w:spacing w:after="220" w:line="288" w:lineRule="auto"/>
        <w:jc w:val="both"/>
      </w:pPr>
      <w:bookmarkStart w:id="109" w:name="bookmark109"/>
      <w:bookmarkEnd w:id="109"/>
      <w:r>
        <w:t>Osoby podepisující tuto smlouvu za Smluvní strany souhlasí s uveřejněním svých osobních údajů, které jsou uvedeny v této smlouvě v registru smluv. Tento souhlas je udělen na dobu neurčitou.</w:t>
      </w:r>
    </w:p>
    <w:p w14:paraId="78123748" w14:textId="77777777" w:rsidR="008244D5" w:rsidRDefault="003E78F8">
      <w:pPr>
        <w:pStyle w:val="Zkladntext1"/>
        <w:numPr>
          <w:ilvl w:val="1"/>
          <w:numId w:val="1"/>
        </w:numPr>
        <w:tabs>
          <w:tab w:val="left" w:pos="666"/>
        </w:tabs>
        <w:spacing w:line="288" w:lineRule="auto"/>
        <w:jc w:val="both"/>
        <w:sectPr w:rsidR="008244D5">
          <w:footerReference w:type="default" r:id="rId12"/>
          <w:footerReference w:type="first" r:id="rId13"/>
          <w:pgSz w:w="11900" w:h="16840"/>
          <w:pgMar w:top="1045" w:right="1092" w:bottom="1425" w:left="1178" w:header="0" w:footer="3" w:gutter="0"/>
          <w:pgNumType w:start="1"/>
          <w:cols w:space="720"/>
          <w:noEndnote/>
          <w:titlePg/>
          <w:docGrid w:linePitch="360"/>
        </w:sectPr>
      </w:pPr>
      <w:bookmarkStart w:id="110" w:name="bookmark110"/>
      <w:bookmarkEnd w:id="110"/>
      <w:r>
        <w:t>Smlouva je uzavřena na dobu určitou 36 měsíců od účinnosti této smlouvy. Smluvní strany se dohodly, že tuto smlouvu je možné opakovaně prodloužit o období 12 kalendářních měsíců a její prodloužení si sjednají vždy ve lhůtě 30 dnů před uplynutím ujednané doby.</w:t>
      </w:r>
    </w:p>
    <w:p w14:paraId="6DDFB219" w14:textId="77777777" w:rsidR="008244D5" w:rsidRDefault="003E78F8">
      <w:pPr>
        <w:pStyle w:val="Zkladntext1"/>
        <w:framePr w:w="4685" w:h="526" w:wrap="none" w:hAnchor="page" w:x="1208" w:y="1"/>
        <w:spacing w:line="240" w:lineRule="auto"/>
      </w:pPr>
      <w:r>
        <w:lastRenderedPageBreak/>
        <w:t>Příloha č. 1 - Prohlášení o autorství</w:t>
      </w:r>
    </w:p>
    <w:p w14:paraId="39C06D7B" w14:textId="77777777" w:rsidR="008244D5" w:rsidRDefault="003E78F8">
      <w:pPr>
        <w:pStyle w:val="Zkladntext1"/>
        <w:framePr w:w="4685" w:h="526" w:wrap="none" w:hAnchor="page" w:x="1208" w:y="1"/>
        <w:spacing w:line="240" w:lineRule="auto"/>
        <w:jc w:val="both"/>
      </w:pPr>
      <w:r>
        <w:t>Příloha č. 2 - Licenční smlouva o koncových uživatelích</w:t>
      </w:r>
    </w:p>
    <w:p w14:paraId="2634E007" w14:textId="77777777" w:rsidR="008244D5" w:rsidRDefault="003E78F8">
      <w:pPr>
        <w:pStyle w:val="Zkladntext1"/>
        <w:framePr w:w="1824" w:h="266" w:wrap="none" w:hAnchor="page" w:x="1189" w:y="1806"/>
        <w:tabs>
          <w:tab w:val="left" w:leader="dot" w:pos="1762"/>
        </w:tabs>
        <w:spacing w:line="240" w:lineRule="auto"/>
      </w:pPr>
      <w:r>
        <w:t>V Brně dne</w:t>
      </w:r>
      <w:r>
        <w:tab/>
      </w:r>
    </w:p>
    <w:p w14:paraId="558325F0" w14:textId="77777777" w:rsidR="008244D5" w:rsidRDefault="003E78F8">
      <w:pPr>
        <w:pStyle w:val="Zkladntext1"/>
        <w:framePr w:w="2424" w:h="266" w:wrap="none" w:hAnchor="page" w:x="7319" w:y="1811"/>
        <w:tabs>
          <w:tab w:val="left" w:leader="dot" w:pos="2364"/>
        </w:tabs>
        <w:spacing w:line="240" w:lineRule="auto"/>
      </w:pPr>
      <w:r>
        <w:t>V Praze dne</w:t>
      </w:r>
      <w:r>
        <w:tab/>
      </w:r>
    </w:p>
    <w:p w14:paraId="23534746" w14:textId="77777777" w:rsidR="008244D5" w:rsidRDefault="003E78F8">
      <w:pPr>
        <w:pStyle w:val="Zkladntext20"/>
        <w:framePr w:w="3286" w:h="1910" w:wrap="none" w:hAnchor="page" w:x="1136" w:y="3018"/>
        <w:spacing w:line="262" w:lineRule="auto"/>
        <w:ind w:left="1420"/>
      </w:pPr>
      <w:r>
        <w:t>Digitálně podepsal</w:t>
      </w:r>
    </w:p>
    <w:p w14:paraId="4CE20F29" w14:textId="47B6878F" w:rsidR="008244D5" w:rsidRPr="00B606A7" w:rsidRDefault="003E78F8">
      <w:pPr>
        <w:pStyle w:val="Zkladntext20"/>
        <w:framePr w:w="3286" w:h="1910" w:wrap="none" w:hAnchor="page" w:x="1136" w:y="3018"/>
        <w:tabs>
          <w:tab w:val="left" w:pos="1382"/>
        </w:tabs>
        <w:spacing w:line="192" w:lineRule="auto"/>
        <w:ind w:left="300" w:hanging="300"/>
        <w:rPr>
          <w:rFonts w:asciiTheme="minorHAnsi" w:hAnsiTheme="minorHAnsi" w:cstheme="minorHAnsi"/>
        </w:rPr>
      </w:pPr>
      <w:r w:rsidRPr="00B606A7">
        <w:rPr>
          <w:rFonts w:asciiTheme="minorHAnsi" w:hAnsiTheme="minorHAnsi" w:cstheme="minorHAnsi"/>
          <w:sz w:val="24"/>
          <w:szCs w:val="24"/>
        </w:rPr>
        <w:t>I</w:t>
      </w:r>
      <w:r w:rsidR="00B606A7">
        <w:rPr>
          <w:rFonts w:asciiTheme="minorHAnsi" w:hAnsiTheme="minorHAnsi" w:cstheme="minorHAnsi"/>
          <w:sz w:val="24"/>
          <w:szCs w:val="24"/>
        </w:rPr>
        <w:t>ng</w:t>
      </w:r>
      <w:r w:rsidRPr="00B606A7">
        <w:rPr>
          <w:rFonts w:asciiTheme="minorHAnsi" w:hAnsiTheme="minorHAnsi" w:cstheme="minorHAnsi"/>
          <w:sz w:val="24"/>
          <w:szCs w:val="24"/>
        </w:rPr>
        <w:t xml:space="preserve">. Jindřich </w:t>
      </w:r>
      <w:r w:rsidRPr="00B606A7">
        <w:rPr>
          <w:rFonts w:asciiTheme="minorHAnsi" w:hAnsiTheme="minorHAnsi" w:cstheme="minorHAnsi"/>
        </w:rPr>
        <w:t xml:space="preserve">Ing. Jindřich Frič, </w:t>
      </w:r>
      <w:r w:rsidRPr="00B606A7">
        <w:rPr>
          <w:rFonts w:asciiTheme="minorHAnsi" w:hAnsiTheme="minorHAnsi" w:cstheme="minorHAnsi"/>
          <w:vertAlign w:val="subscript"/>
        </w:rPr>
        <w:t>v</w:t>
      </w:r>
      <w:r w:rsidRPr="00B606A7">
        <w:rPr>
          <w:rFonts w:asciiTheme="minorHAnsi" w:hAnsiTheme="minorHAnsi" w:cstheme="minorHAnsi"/>
        </w:rPr>
        <w:tab/>
        <w:t>Ph.D.</w:t>
      </w:r>
    </w:p>
    <w:p w14:paraId="176C83B8" w14:textId="42E10667" w:rsidR="008244D5" w:rsidRDefault="003E78F8">
      <w:pPr>
        <w:pStyle w:val="Zkladntext20"/>
        <w:framePr w:w="3286" w:h="1910" w:wrap="none" w:hAnchor="page" w:x="1136" w:y="3018"/>
        <w:tabs>
          <w:tab w:val="left" w:pos="1382"/>
        </w:tabs>
        <w:spacing w:line="154" w:lineRule="auto"/>
        <w:ind w:left="0"/>
      </w:pPr>
      <w:r w:rsidRPr="00B606A7">
        <w:rPr>
          <w:rFonts w:asciiTheme="minorHAnsi" w:hAnsiTheme="minorHAnsi" w:cstheme="minorHAnsi"/>
          <w:sz w:val="24"/>
          <w:szCs w:val="24"/>
        </w:rPr>
        <w:t>Fri</w:t>
      </w:r>
      <w:r w:rsidR="00B606A7">
        <w:rPr>
          <w:rFonts w:asciiTheme="minorHAnsi" w:hAnsiTheme="minorHAnsi" w:cstheme="minorHAnsi"/>
          <w:sz w:val="24"/>
          <w:szCs w:val="24"/>
        </w:rPr>
        <w:t>č</w:t>
      </w:r>
      <w:r w:rsidRPr="00B606A7">
        <w:rPr>
          <w:rFonts w:asciiTheme="minorHAnsi" w:hAnsiTheme="minorHAnsi" w:cstheme="minorHAnsi"/>
          <w:sz w:val="24"/>
          <w:szCs w:val="24"/>
        </w:rPr>
        <w:t>, Ph.D.</w:t>
      </w:r>
      <w:r>
        <w:rPr>
          <w:sz w:val="24"/>
          <w:szCs w:val="24"/>
        </w:rPr>
        <w:tab/>
      </w:r>
      <w:r>
        <w:t>Datum: 2021.09.20</w:t>
      </w:r>
    </w:p>
    <w:p w14:paraId="3905EBEE" w14:textId="77777777" w:rsidR="008244D5" w:rsidRDefault="003E78F8">
      <w:pPr>
        <w:pStyle w:val="Zkladntext20"/>
        <w:framePr w:w="3286" w:h="1910" w:wrap="none" w:hAnchor="page" w:x="1136" w:y="3018"/>
        <w:spacing w:after="160" w:line="262" w:lineRule="auto"/>
        <w:ind w:left="1420"/>
      </w:pPr>
      <w:r>
        <w:t>12:46:56 +02'00'</w:t>
      </w:r>
    </w:p>
    <w:p w14:paraId="3338EB3E" w14:textId="77777777" w:rsidR="008244D5" w:rsidRDefault="003E78F8">
      <w:pPr>
        <w:pStyle w:val="Zkladntext1"/>
        <w:framePr w:w="3286" w:h="1910" w:wrap="none" w:hAnchor="page" w:x="1136" w:y="3018"/>
        <w:spacing w:line="252" w:lineRule="auto"/>
      </w:pPr>
      <w:r>
        <w:t>Ing. Jindřich Fric, Ph.D. ředitel</w:t>
      </w:r>
    </w:p>
    <w:p w14:paraId="29A584F0" w14:textId="77777777" w:rsidR="008244D5" w:rsidRDefault="003E78F8">
      <w:pPr>
        <w:pStyle w:val="Zkladntext1"/>
        <w:framePr w:w="3286" w:h="1910" w:wrap="none" w:hAnchor="page" w:x="1136" w:y="3018"/>
        <w:spacing w:after="80" w:line="252" w:lineRule="auto"/>
      </w:pPr>
      <w:r>
        <w:t>Centrum dopravního výzkumu, v. v. i.</w:t>
      </w:r>
    </w:p>
    <w:p w14:paraId="4DE9B5BE" w14:textId="77777777" w:rsidR="008244D5" w:rsidRDefault="003E78F8">
      <w:pPr>
        <w:pStyle w:val="Nadpis10"/>
        <w:keepNext/>
        <w:keepLines/>
        <w:framePr w:w="1030" w:h="912" w:wrap="none" w:hAnchor="page" w:x="7338" w:y="3011"/>
        <w:spacing w:line="240" w:lineRule="auto"/>
      </w:pPr>
      <w:bookmarkStart w:id="111" w:name="bookmark113"/>
      <w:r>
        <w:t>Martin</w:t>
      </w:r>
      <w:bookmarkEnd w:id="111"/>
    </w:p>
    <w:p w14:paraId="19EE099A" w14:textId="77777777" w:rsidR="008244D5" w:rsidRDefault="003E78F8">
      <w:pPr>
        <w:pStyle w:val="Nadpis10"/>
        <w:keepNext/>
        <w:keepLines/>
        <w:framePr w:w="1030" w:h="912" w:wrap="none" w:hAnchor="page" w:x="7338" w:y="3011"/>
        <w:spacing w:line="233" w:lineRule="auto"/>
      </w:pPr>
      <w:bookmarkStart w:id="112" w:name="bookmark111"/>
      <w:bookmarkStart w:id="113" w:name="bookmark112"/>
      <w:bookmarkStart w:id="114" w:name="bookmark114"/>
      <w:r>
        <w:t>Urban</w:t>
      </w:r>
      <w:bookmarkEnd w:id="112"/>
      <w:bookmarkEnd w:id="113"/>
      <w:bookmarkEnd w:id="114"/>
    </w:p>
    <w:p w14:paraId="5BF308AC" w14:textId="77777777" w:rsidR="008244D5" w:rsidRDefault="003E78F8">
      <w:pPr>
        <w:pStyle w:val="Zkladntext20"/>
        <w:framePr w:w="1157" w:h="809" w:wrap="none" w:hAnchor="page" w:x="8528" w:y="3104"/>
        <w:spacing w:line="290" w:lineRule="auto"/>
        <w:ind w:left="0"/>
        <w:jc w:val="both"/>
      </w:pPr>
      <w:proofErr w:type="spellStart"/>
      <w:r>
        <w:t>Digitally</w:t>
      </w:r>
      <w:proofErr w:type="spellEnd"/>
      <w:r>
        <w:t xml:space="preserve"> </w:t>
      </w:r>
      <w:proofErr w:type="spellStart"/>
      <w:r>
        <w:t>signed</w:t>
      </w:r>
      <w:proofErr w:type="spellEnd"/>
      <w:r>
        <w:t xml:space="preserve"> by Martin Urban Dáte: 2021.09.20 16:21:33+02'00'</w:t>
      </w:r>
    </w:p>
    <w:p w14:paraId="15A0A360" w14:textId="77777777" w:rsidR="008244D5" w:rsidRDefault="003E78F8">
      <w:pPr>
        <w:pStyle w:val="Zkladntext1"/>
        <w:framePr w:w="2220" w:h="794" w:wrap="none" w:hAnchor="page" w:x="7300" w:y="4139"/>
        <w:spacing w:line="252" w:lineRule="auto"/>
      </w:pPr>
      <w:r>
        <w:t>Martin Urban jednatel</w:t>
      </w:r>
    </w:p>
    <w:p w14:paraId="4EA85B23" w14:textId="77777777" w:rsidR="008244D5" w:rsidRDefault="003E78F8">
      <w:pPr>
        <w:pStyle w:val="Zkladntext1"/>
        <w:framePr w:w="2220" w:h="794" w:wrap="none" w:hAnchor="page" w:x="7300" w:y="4139"/>
        <w:spacing w:line="252" w:lineRule="auto"/>
      </w:pPr>
      <w:proofErr w:type="spellStart"/>
      <w:r>
        <w:t>Eyedea</w:t>
      </w:r>
      <w:proofErr w:type="spellEnd"/>
      <w:r>
        <w:t xml:space="preserve"> </w:t>
      </w:r>
      <w:proofErr w:type="spellStart"/>
      <w:r>
        <w:t>Recognition</w:t>
      </w:r>
      <w:proofErr w:type="spellEnd"/>
      <w:r>
        <w:t xml:space="preserve"> s.r.o.</w:t>
      </w:r>
    </w:p>
    <w:p w14:paraId="2BBD2F93" w14:textId="77777777" w:rsidR="008244D5" w:rsidRDefault="008244D5">
      <w:pPr>
        <w:spacing w:line="360" w:lineRule="exact"/>
      </w:pPr>
    </w:p>
    <w:p w14:paraId="13D6D66C" w14:textId="77777777" w:rsidR="008244D5" w:rsidRDefault="008244D5">
      <w:pPr>
        <w:spacing w:line="360" w:lineRule="exact"/>
      </w:pPr>
    </w:p>
    <w:p w14:paraId="33ECB3AB" w14:textId="77777777" w:rsidR="008244D5" w:rsidRDefault="008244D5">
      <w:pPr>
        <w:spacing w:line="360" w:lineRule="exact"/>
      </w:pPr>
    </w:p>
    <w:p w14:paraId="1AB57712" w14:textId="77777777" w:rsidR="008244D5" w:rsidRDefault="008244D5">
      <w:pPr>
        <w:spacing w:line="360" w:lineRule="exact"/>
      </w:pPr>
    </w:p>
    <w:p w14:paraId="3EA5C01C" w14:textId="77777777" w:rsidR="008244D5" w:rsidRDefault="008244D5">
      <w:pPr>
        <w:spacing w:line="360" w:lineRule="exact"/>
      </w:pPr>
    </w:p>
    <w:p w14:paraId="77C7D274" w14:textId="77777777" w:rsidR="008244D5" w:rsidRDefault="008244D5">
      <w:pPr>
        <w:spacing w:line="360" w:lineRule="exact"/>
      </w:pPr>
    </w:p>
    <w:p w14:paraId="47E195A4" w14:textId="77777777" w:rsidR="008244D5" w:rsidRDefault="008244D5">
      <w:pPr>
        <w:spacing w:line="360" w:lineRule="exact"/>
      </w:pPr>
    </w:p>
    <w:p w14:paraId="343684D4" w14:textId="77777777" w:rsidR="008244D5" w:rsidRDefault="008244D5">
      <w:pPr>
        <w:spacing w:line="360" w:lineRule="exact"/>
      </w:pPr>
    </w:p>
    <w:p w14:paraId="2A928119" w14:textId="77777777" w:rsidR="008244D5" w:rsidRDefault="008244D5">
      <w:pPr>
        <w:spacing w:line="360" w:lineRule="exact"/>
      </w:pPr>
    </w:p>
    <w:p w14:paraId="516F6BE1" w14:textId="77777777" w:rsidR="008244D5" w:rsidRDefault="008244D5">
      <w:pPr>
        <w:spacing w:line="360" w:lineRule="exact"/>
      </w:pPr>
    </w:p>
    <w:p w14:paraId="3A8A81BD" w14:textId="77777777" w:rsidR="008244D5" w:rsidRDefault="008244D5">
      <w:pPr>
        <w:spacing w:line="360" w:lineRule="exact"/>
      </w:pPr>
    </w:p>
    <w:p w14:paraId="6E9FF1D2" w14:textId="77777777" w:rsidR="008244D5" w:rsidRDefault="008244D5">
      <w:pPr>
        <w:spacing w:line="360" w:lineRule="exact"/>
      </w:pPr>
    </w:p>
    <w:p w14:paraId="090CEE0B" w14:textId="77777777" w:rsidR="008244D5" w:rsidRDefault="008244D5">
      <w:pPr>
        <w:spacing w:after="611" w:line="1" w:lineRule="exact"/>
      </w:pPr>
    </w:p>
    <w:p w14:paraId="5014CD13" w14:textId="54FF3223" w:rsidR="008244D5" w:rsidRDefault="008244D5">
      <w:pPr>
        <w:spacing w:line="1" w:lineRule="exact"/>
      </w:pPr>
    </w:p>
    <w:sectPr w:rsidR="008244D5">
      <w:pgSz w:w="11900" w:h="16840"/>
      <w:pgMar w:top="2449" w:right="2014" w:bottom="1084" w:left="11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02BD" w14:textId="77777777" w:rsidR="00462BD7" w:rsidRDefault="00462BD7">
      <w:r>
        <w:separator/>
      </w:r>
    </w:p>
  </w:endnote>
  <w:endnote w:type="continuationSeparator" w:id="0">
    <w:p w14:paraId="6F118C37" w14:textId="77777777" w:rsidR="00462BD7" w:rsidRDefault="0046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BBBB" w14:textId="77777777" w:rsidR="008244D5" w:rsidRDefault="003E78F8">
    <w:pPr>
      <w:spacing w:line="1" w:lineRule="exact"/>
    </w:pPr>
    <w:r>
      <w:rPr>
        <w:noProof/>
      </w:rPr>
      <mc:AlternateContent>
        <mc:Choice Requires="wps">
          <w:drawing>
            <wp:anchor distT="0" distB="0" distL="0" distR="0" simplePos="0" relativeHeight="251658240" behindDoc="1" locked="0" layoutInCell="1" allowOverlap="1" wp14:anchorId="2B025DAC" wp14:editId="14D050D3">
              <wp:simplePos x="0" y="0"/>
              <wp:positionH relativeFrom="page">
                <wp:posOffset>6224905</wp:posOffset>
              </wp:positionH>
              <wp:positionV relativeFrom="page">
                <wp:posOffset>10008870</wp:posOffset>
              </wp:positionV>
              <wp:extent cx="50165" cy="86995"/>
              <wp:effectExtent l="0" t="0" r="0" b="0"/>
              <wp:wrapNone/>
              <wp:docPr id="3" name="Shape 3"/>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05C995E0" w14:textId="77777777" w:rsidR="008244D5" w:rsidRDefault="003E78F8">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2B025DAC" id="_x0000_t202" coordsize="21600,21600" o:spt="202" path="m,l,21600r21600,l21600,xe">
              <v:stroke joinstyle="miter"/>
              <v:path gradientshapeok="t" o:connecttype="rect"/>
            </v:shapetype>
            <v:shape id="Shape 3" o:spid="_x0000_s1028" type="#_x0000_t202" style="position:absolute;margin-left:490.15pt;margin-top:788.1pt;width:3.95pt;height:6.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" filled="f" stroked="f">
              <v:textbox style="mso-fit-shape-to-text:t" inset="0,0,0,0">
                <w:txbxContent>
                  <w:p w14:paraId="05C995E0" w14:textId="77777777" w:rsidR="008244D5" w:rsidRDefault="003E78F8">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6B9711E" wp14:editId="633543CB">
              <wp:simplePos x="0" y="0"/>
              <wp:positionH relativeFrom="page">
                <wp:posOffset>744855</wp:posOffset>
              </wp:positionH>
              <wp:positionV relativeFrom="page">
                <wp:posOffset>9868535</wp:posOffset>
              </wp:positionV>
              <wp:extent cx="6092825" cy="0"/>
              <wp:effectExtent l="0" t="0" r="0" b="0"/>
              <wp:wrapNone/>
              <wp:docPr id="5" name="Shape 5"/>
              <wp:cNvGraphicFramePr/>
              <a:graphic xmlns:a="http://schemas.openxmlformats.org/drawingml/2006/main">
                <a:graphicData uri="http://schemas.microsoft.com/office/word/2010/wordprocessingShape">
                  <wps:wsp>
                    <wps:cNvCnPr/>
                    <wps:spPr>
                      <a:xfrm>
                        <a:off x="0" y="0"/>
                        <a:ext cx="6092825" cy="0"/>
                      </a:xfrm>
                      <a:prstGeom prst="straightConnector1">
                        <a:avLst/>
                      </a:prstGeom>
                      <a:ln w="12700">
                        <a:solidFill/>
                      </a:ln>
                    </wps:spPr>
                    <wps:bodyPr/>
                  </wps:wsp>
                </a:graphicData>
              </a:graphic>
            </wp:anchor>
          </w:drawing>
        </mc:Choice>
        <mc:Fallback>
          <w:pict>
            <v:shape o:spt="32" o:oned="true" path="m,l21600,21600e" style="position:absolute;margin-left:58.649999999999999pt;margin-top:777.05000000000007pt;width:479.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357C" w14:textId="77777777" w:rsidR="008244D5" w:rsidRDefault="003E78F8">
    <w:pPr>
      <w:spacing w:line="1" w:lineRule="exact"/>
    </w:pPr>
    <w:r>
      <w:rPr>
        <w:noProof/>
      </w:rPr>
      <mc:AlternateContent>
        <mc:Choice Requires="wps">
          <w:drawing>
            <wp:anchor distT="0" distB="0" distL="0" distR="0" simplePos="0" relativeHeight="251659264" behindDoc="1" locked="0" layoutInCell="1" allowOverlap="1" wp14:anchorId="0D76AFEC" wp14:editId="1D4796CD">
              <wp:simplePos x="0" y="0"/>
              <wp:positionH relativeFrom="page">
                <wp:posOffset>6764655</wp:posOffset>
              </wp:positionH>
              <wp:positionV relativeFrom="page">
                <wp:posOffset>9832340</wp:posOffset>
              </wp:positionV>
              <wp:extent cx="48895"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14:paraId="6277EC92" w14:textId="77777777" w:rsidR="008244D5" w:rsidRDefault="003E78F8">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0D76AFEC" id="_x0000_t202" coordsize="21600,21600" o:spt="202" path="m,l,21600r21600,l21600,xe">
              <v:stroke joinstyle="miter"/>
              <v:path gradientshapeok="t" o:connecttype="rect"/>
            </v:shapetype>
            <v:shape id="Shape 6" o:spid="_x0000_s1029" type="#_x0000_t202" style="position:absolute;margin-left:532.65pt;margin-top:774.2pt;width:3.8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" filled="f" stroked="f">
              <v:textbox style="mso-fit-shape-to-text:t" inset="0,0,0,0">
                <w:txbxContent>
                  <w:p w14:paraId="6277EC92" w14:textId="77777777" w:rsidR="008244D5" w:rsidRDefault="003E78F8">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E70F470" wp14:editId="2E5E4ED8">
              <wp:simplePos x="0" y="0"/>
              <wp:positionH relativeFrom="page">
                <wp:posOffset>758190</wp:posOffset>
              </wp:positionH>
              <wp:positionV relativeFrom="page">
                <wp:posOffset>9773920</wp:posOffset>
              </wp:positionV>
              <wp:extent cx="6077585" cy="0"/>
              <wp:effectExtent l="0" t="0" r="0" b="0"/>
              <wp:wrapNone/>
              <wp:docPr id="8" name="Shape 8"/>
              <wp:cNvGraphicFramePr/>
              <a:graphic xmlns:a="http://schemas.openxmlformats.org/drawingml/2006/main">
                <a:graphicData uri="http://schemas.microsoft.com/office/word/2010/wordprocessingShape">
                  <wps:wsp>
                    <wps:cNvCnPr/>
                    <wps:spPr>
                      <a:xfrm>
                        <a:off x="0" y="0"/>
                        <a:ext cx="6077585" cy="0"/>
                      </a:xfrm>
                      <a:prstGeom prst="straightConnector1">
                        <a:avLst/>
                      </a:prstGeom>
                      <a:ln w="12700">
                        <a:solidFill/>
                      </a:ln>
                    </wps:spPr>
                    <wps:bodyPr/>
                  </wps:wsp>
                </a:graphicData>
              </a:graphic>
            </wp:anchor>
          </w:drawing>
        </mc:Choice>
        <mc:Fallback>
          <w:pict>
            <v:shape o:spt="32" o:oned="true" path="m,l21600,21600e" style="position:absolute;margin-left:59.700000000000003pt;margin-top:769.60000000000002pt;width:478.5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85B4" w14:textId="77777777" w:rsidR="00462BD7" w:rsidRDefault="00462BD7"/>
  </w:footnote>
  <w:footnote w:type="continuationSeparator" w:id="0">
    <w:p w14:paraId="2C4DE998" w14:textId="77777777" w:rsidR="00462BD7" w:rsidRDefault="00462B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444"/>
    <w:multiLevelType w:val="multilevel"/>
    <w:tmpl w:val="1CAC76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A6350"/>
    <w:multiLevelType w:val="multilevel"/>
    <w:tmpl w:val="99245E8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D5"/>
    <w:rsid w:val="003E78F8"/>
    <w:rsid w:val="00462BD7"/>
    <w:rsid w:val="004E1F08"/>
    <w:rsid w:val="008244D5"/>
    <w:rsid w:val="00B3658D"/>
    <w:rsid w:val="00B60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F4E4"/>
  <w15:docId w15:val="{CF837DA8-6CDB-4010-AB2E-B83EB674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singl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4"/>
      <w:szCs w:val="34"/>
      <w:u w:val="none"/>
      <w:shd w:val="clear" w:color="auto" w:fill="auto"/>
    </w:rPr>
  </w:style>
  <w:style w:type="paragraph" w:customStyle="1" w:styleId="Zkladntext1">
    <w:name w:val="Základní text1"/>
    <w:basedOn w:val="Normln"/>
    <w:link w:val="Zkladntext"/>
    <w:pPr>
      <w:spacing w:line="286" w:lineRule="auto"/>
    </w:pPr>
    <w:rPr>
      <w:rFonts w:ascii="Calibri" w:eastAsia="Calibri" w:hAnsi="Calibri" w:cs="Calibri"/>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320"/>
      <w:ind w:firstLine="660"/>
      <w:outlineLvl w:val="1"/>
    </w:pPr>
    <w:rPr>
      <w:rFonts w:ascii="Arial" w:eastAsia="Arial" w:hAnsi="Arial" w:cs="Arial"/>
      <w:b/>
      <w:bCs/>
      <w:sz w:val="26"/>
      <w:szCs w:val="26"/>
    </w:rPr>
  </w:style>
  <w:style w:type="paragraph" w:customStyle="1" w:styleId="Nadpis30">
    <w:name w:val="Nadpis #3"/>
    <w:basedOn w:val="Normln"/>
    <w:link w:val="Nadpis3"/>
    <w:pPr>
      <w:spacing w:after="230" w:line="286" w:lineRule="auto"/>
      <w:ind w:firstLine="280"/>
      <w:outlineLvl w:val="2"/>
    </w:pPr>
    <w:rPr>
      <w:rFonts w:ascii="Calibri" w:eastAsia="Calibri" w:hAnsi="Calibri" w:cs="Calibri"/>
      <w:b/>
      <w:bCs/>
      <w:sz w:val="20"/>
      <w:szCs w:val="20"/>
      <w:u w:val="single"/>
    </w:rPr>
  </w:style>
  <w:style w:type="paragraph" w:customStyle="1" w:styleId="Zkladntext20">
    <w:name w:val="Základní text (2)"/>
    <w:basedOn w:val="Normln"/>
    <w:link w:val="Zkladntext2"/>
    <w:pPr>
      <w:spacing w:line="276" w:lineRule="auto"/>
      <w:ind w:left="150"/>
    </w:pPr>
    <w:rPr>
      <w:rFonts w:ascii="Arial" w:eastAsia="Arial" w:hAnsi="Arial" w:cs="Arial"/>
      <w:sz w:val="14"/>
      <w:szCs w:val="14"/>
    </w:rPr>
  </w:style>
  <w:style w:type="paragraph" w:customStyle="1" w:styleId="Nadpis10">
    <w:name w:val="Nadpis #1"/>
    <w:basedOn w:val="Normln"/>
    <w:link w:val="Nadpis1"/>
    <w:pPr>
      <w:spacing w:line="235" w:lineRule="auto"/>
      <w:outlineLvl w:val="0"/>
    </w:pPr>
    <w:rPr>
      <w:rFonts w:ascii="Segoe UI" w:eastAsia="Segoe UI" w:hAnsi="Segoe UI" w:cs="Segoe U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banm@eyede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adim.striegler@cdv.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cdv.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dim.striegler@cdv.cz" TargetMode="External"/><Relationship Id="rId4" Type="http://schemas.openxmlformats.org/officeDocument/2006/relationships/webSettings" Target="webSettings.xml"/><Relationship Id="rId9" Type="http://schemas.openxmlformats.org/officeDocument/2006/relationships/hyperlink" Target="mailto:urbanm@eyede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2249</Words>
  <Characters>13270</Characters>
  <Application>Microsoft Office Word</Application>
  <DocSecurity>0</DocSecurity>
  <Lines>110</Lines>
  <Paragraphs>30</Paragraphs>
  <ScaleCrop>false</ScaleCrop>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Ibrmajerová</dc:creator>
  <cp:lastModifiedBy>Klára Ibrmajerová</cp:lastModifiedBy>
  <cp:revision>3</cp:revision>
  <dcterms:created xsi:type="dcterms:W3CDTF">2021-09-21T10:36:00Z</dcterms:created>
  <dcterms:modified xsi:type="dcterms:W3CDTF">2021-09-21T10:41:00Z</dcterms:modified>
</cp:coreProperties>
</file>