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5737" w14:textId="77777777" w:rsidR="00C03AF4" w:rsidRPr="00865624" w:rsidRDefault="00C03AF4" w:rsidP="00C03AF4">
      <w:pPr>
        <w:spacing w:after="120"/>
        <w:jc w:val="center"/>
        <w:rPr>
          <w:b/>
          <w:sz w:val="36"/>
          <w:szCs w:val="36"/>
        </w:rPr>
      </w:pPr>
      <w:bookmarkStart w:id="0" w:name="_Hlk58932419"/>
      <w:r w:rsidRPr="00865624">
        <w:rPr>
          <w:b/>
          <w:sz w:val="36"/>
          <w:szCs w:val="36"/>
        </w:rPr>
        <w:t xml:space="preserve">Smlouva o dodávce HELIOS </w:t>
      </w:r>
      <w:r>
        <w:rPr>
          <w:b/>
          <w:sz w:val="36"/>
          <w:szCs w:val="36"/>
        </w:rPr>
        <w:t>Nephrite</w:t>
      </w:r>
    </w:p>
    <w:p w14:paraId="55C78783" w14:textId="77777777" w:rsidR="00C03AF4" w:rsidRPr="00865624" w:rsidRDefault="00C03AF4" w:rsidP="00C03AF4">
      <w:pPr>
        <w:spacing w:after="120"/>
        <w:jc w:val="center"/>
      </w:pPr>
      <w:r w:rsidRPr="00865624">
        <w:t xml:space="preserve">č. smlouvy/registrace: </w:t>
      </w:r>
      <w:r>
        <w:t>202102</w:t>
      </w:r>
    </w:p>
    <w:p w14:paraId="62A67EB6" w14:textId="77777777" w:rsidR="00C03AF4" w:rsidRPr="00865624" w:rsidRDefault="00C03AF4" w:rsidP="00C03AF4">
      <w:pPr>
        <w:spacing w:after="120"/>
      </w:pPr>
    </w:p>
    <w:p w14:paraId="2857E8F5" w14:textId="77777777" w:rsidR="00C03AF4" w:rsidRPr="003F4712" w:rsidRDefault="00C03AF4" w:rsidP="00C03AF4">
      <w:pPr>
        <w:jc w:val="both"/>
        <w:rPr>
          <w:rFonts w:cs="Arial"/>
          <w:b/>
        </w:rPr>
      </w:pPr>
      <w:bookmarkStart w:id="1" w:name="OLE_LINK1"/>
      <w:r>
        <w:rPr>
          <w:rFonts w:cs="Arial"/>
          <w:b/>
        </w:rPr>
        <w:t>Koncept Hradec Králové</w:t>
      </w:r>
      <w:r w:rsidRPr="003F4712">
        <w:rPr>
          <w:rFonts w:cs="Arial"/>
          <w:b/>
        </w:rPr>
        <w:t>, s.</w:t>
      </w:r>
      <w:r>
        <w:rPr>
          <w:rFonts w:cs="Arial"/>
          <w:b/>
        </w:rPr>
        <w:t>r.o.</w:t>
      </w:r>
    </w:p>
    <w:p w14:paraId="4F90B481" w14:textId="77777777" w:rsidR="00C03AF4" w:rsidRPr="003F4712" w:rsidRDefault="00C03AF4" w:rsidP="00C03AF4">
      <w:pPr>
        <w:pStyle w:val="Identifikace"/>
        <w:rPr>
          <w:rFonts w:ascii="Calibri" w:hAnsi="Calibri" w:cs="Arial"/>
          <w:szCs w:val="22"/>
        </w:rPr>
      </w:pPr>
      <w:r w:rsidRPr="003F4712">
        <w:rPr>
          <w:rFonts w:ascii="Calibri" w:hAnsi="Calibri" w:cs="Arial"/>
          <w:szCs w:val="22"/>
        </w:rPr>
        <w:t xml:space="preserve">se sídlem </w:t>
      </w:r>
      <w:r>
        <w:rPr>
          <w:rFonts w:ascii="Calibri" w:hAnsi="Calibri" w:cs="Arial"/>
          <w:szCs w:val="22"/>
        </w:rPr>
        <w:t>Hradec Králové</w:t>
      </w:r>
      <w:r w:rsidRPr="0036624A">
        <w:rPr>
          <w:rFonts w:ascii="Calibri" w:hAnsi="Calibri" w:cs="Arial"/>
          <w:szCs w:val="22"/>
        </w:rPr>
        <w:t xml:space="preserve">, </w:t>
      </w:r>
      <w:r>
        <w:rPr>
          <w:rFonts w:ascii="Calibri" w:hAnsi="Calibri" w:cs="Arial"/>
          <w:szCs w:val="22"/>
        </w:rPr>
        <w:t>Střelecká 214</w:t>
      </w:r>
      <w:r w:rsidRPr="0036624A">
        <w:rPr>
          <w:rFonts w:ascii="Calibri" w:hAnsi="Calibri" w:cs="Arial"/>
          <w:szCs w:val="22"/>
        </w:rPr>
        <w:t xml:space="preserve">, PSČ </w:t>
      </w:r>
      <w:r>
        <w:rPr>
          <w:rFonts w:ascii="Calibri" w:hAnsi="Calibri" w:cs="Arial"/>
          <w:szCs w:val="22"/>
        </w:rPr>
        <w:t>500</w:t>
      </w:r>
      <w:r w:rsidRPr="0036624A">
        <w:rPr>
          <w:rFonts w:ascii="Calibri" w:hAnsi="Calibri" w:cs="Arial"/>
          <w:szCs w:val="22"/>
        </w:rPr>
        <w:t xml:space="preserve"> 02</w:t>
      </w:r>
    </w:p>
    <w:p w14:paraId="7D6986DC" w14:textId="462E132A" w:rsidR="00C03AF4" w:rsidRPr="0036624A" w:rsidRDefault="00C03AF4" w:rsidP="00C03AF4">
      <w:pPr>
        <w:pStyle w:val="Identifikace"/>
        <w:rPr>
          <w:rFonts w:ascii="Calibri" w:hAnsi="Calibri" w:cs="Arial"/>
          <w:szCs w:val="22"/>
        </w:rPr>
      </w:pPr>
      <w:r w:rsidRPr="0036624A">
        <w:rPr>
          <w:rFonts w:ascii="Calibri" w:hAnsi="Calibri" w:cs="Arial"/>
          <w:szCs w:val="22"/>
        </w:rPr>
        <w:t>IČ</w:t>
      </w:r>
      <w:r>
        <w:rPr>
          <w:rFonts w:ascii="Calibri" w:hAnsi="Calibri" w:cs="Arial"/>
          <w:szCs w:val="22"/>
        </w:rPr>
        <w:t>O</w:t>
      </w:r>
      <w:r w:rsidRPr="0036624A">
        <w:rPr>
          <w:rFonts w:ascii="Calibri" w:hAnsi="Calibri" w:cs="Arial"/>
          <w:szCs w:val="22"/>
        </w:rPr>
        <w:t>: 64</w:t>
      </w:r>
      <w:r w:rsidR="00043A24">
        <w:rPr>
          <w:rFonts w:ascii="Calibri" w:hAnsi="Calibri" w:cs="Arial"/>
          <w:szCs w:val="22"/>
        </w:rPr>
        <w:t>793192</w:t>
      </w:r>
    </w:p>
    <w:p w14:paraId="5467A97F" w14:textId="77777777" w:rsidR="00C03AF4" w:rsidRPr="005B247D" w:rsidRDefault="00C03AF4" w:rsidP="00C03AF4">
      <w:pPr>
        <w:pStyle w:val="Identifikace"/>
        <w:rPr>
          <w:rFonts w:ascii="Calibri" w:hAnsi="Calibri" w:cs="Arial"/>
          <w:szCs w:val="22"/>
        </w:rPr>
      </w:pPr>
      <w:r w:rsidRPr="005B247D">
        <w:rPr>
          <w:rFonts w:ascii="Calibri" w:hAnsi="Calibri" w:cs="Arial"/>
          <w:szCs w:val="22"/>
        </w:rPr>
        <w:t>Zapsaná u Rejstříkového soudu v Hradci Králové, oddíl C, Vložka 9786</w:t>
      </w:r>
    </w:p>
    <w:p w14:paraId="27DE457B" w14:textId="77777777" w:rsidR="00C03AF4" w:rsidRDefault="00C03AF4" w:rsidP="00C03AF4">
      <w:pPr>
        <w:pStyle w:val="Identifikace"/>
        <w:rPr>
          <w:rFonts w:ascii="Calibri" w:hAnsi="Calibri" w:cs="Arial"/>
          <w:szCs w:val="22"/>
        </w:rPr>
      </w:pPr>
      <w:r>
        <w:rPr>
          <w:rFonts w:ascii="Calibri" w:hAnsi="Calibri" w:cs="Arial"/>
          <w:szCs w:val="22"/>
        </w:rPr>
        <w:t>Zastoupena jednatelem Ing. Zdeňkem Stuchlíkem</w:t>
      </w:r>
    </w:p>
    <w:p w14:paraId="151C3915" w14:textId="77777777" w:rsidR="00C03AF4" w:rsidRPr="003F4712" w:rsidRDefault="00C03AF4" w:rsidP="00C03AF4">
      <w:pPr>
        <w:pStyle w:val="Identifikace"/>
        <w:rPr>
          <w:rFonts w:ascii="Calibri" w:hAnsi="Calibri" w:cs="Arial"/>
          <w:szCs w:val="22"/>
        </w:rPr>
      </w:pPr>
      <w:r w:rsidRPr="003F4712">
        <w:rPr>
          <w:rFonts w:ascii="Calibri" w:hAnsi="Calibri" w:cs="Arial"/>
          <w:szCs w:val="22"/>
        </w:rPr>
        <w:t>dále jen „Poskytovatel“</w:t>
      </w:r>
    </w:p>
    <w:p w14:paraId="76C69359" w14:textId="77777777" w:rsidR="00C03AF4" w:rsidRPr="005B247D" w:rsidRDefault="00C03AF4" w:rsidP="00C03AF4">
      <w:pPr>
        <w:pStyle w:val="Identifikace"/>
        <w:rPr>
          <w:rFonts w:ascii="Calibri" w:hAnsi="Calibri" w:cs="Arial"/>
          <w:szCs w:val="22"/>
        </w:rPr>
      </w:pPr>
    </w:p>
    <w:p w14:paraId="3B0FAA6E" w14:textId="77777777" w:rsidR="00C03AF4" w:rsidRPr="003F4712" w:rsidRDefault="00C03AF4" w:rsidP="00C03AF4">
      <w:pPr>
        <w:jc w:val="both"/>
        <w:rPr>
          <w:rFonts w:cs="Arial"/>
        </w:rPr>
      </w:pPr>
      <w:r w:rsidRPr="003F4712">
        <w:rPr>
          <w:rFonts w:cs="Arial"/>
        </w:rPr>
        <w:t>a</w:t>
      </w:r>
    </w:p>
    <w:p w14:paraId="630A036B" w14:textId="77777777" w:rsidR="00C03AF4" w:rsidRPr="003F4712" w:rsidRDefault="00C03AF4" w:rsidP="00C03AF4">
      <w:pPr>
        <w:jc w:val="both"/>
        <w:rPr>
          <w:rFonts w:cs="Arial"/>
        </w:rPr>
      </w:pPr>
    </w:p>
    <w:p w14:paraId="12320853" w14:textId="77777777" w:rsidR="00C03AF4" w:rsidRPr="00714046" w:rsidRDefault="00C03AF4" w:rsidP="00C03AF4">
      <w:pPr>
        <w:jc w:val="both"/>
        <w:rPr>
          <w:rFonts w:cs="Arial"/>
          <w:b/>
        </w:rPr>
      </w:pPr>
      <w:r w:rsidRPr="00714046">
        <w:rPr>
          <w:rFonts w:cs="Arial"/>
          <w:b/>
        </w:rPr>
        <w:t>Technické služby města Pelhřimova, příspěvková organizace</w:t>
      </w:r>
    </w:p>
    <w:p w14:paraId="24761393" w14:textId="77777777" w:rsidR="00C03AF4" w:rsidRPr="005B247D" w:rsidRDefault="00C03AF4" w:rsidP="00C03AF4">
      <w:pPr>
        <w:pStyle w:val="Identifikace"/>
        <w:rPr>
          <w:rFonts w:ascii="Calibri" w:hAnsi="Calibri" w:cs="Arial"/>
          <w:szCs w:val="22"/>
        </w:rPr>
      </w:pPr>
      <w:r w:rsidRPr="005B247D">
        <w:rPr>
          <w:rFonts w:ascii="Calibri" w:hAnsi="Calibri" w:cs="Arial"/>
          <w:szCs w:val="22"/>
        </w:rPr>
        <w:t>se sídlem Myslotínská 1740, 393 01 Pelhřimov</w:t>
      </w:r>
    </w:p>
    <w:p w14:paraId="60D9A373" w14:textId="77777777" w:rsidR="00C03AF4" w:rsidRPr="005B247D" w:rsidRDefault="00C03AF4" w:rsidP="00C03AF4">
      <w:pPr>
        <w:pStyle w:val="Identifikace"/>
        <w:rPr>
          <w:rFonts w:ascii="Calibri" w:hAnsi="Calibri" w:cs="Arial"/>
          <w:szCs w:val="22"/>
        </w:rPr>
      </w:pPr>
      <w:r w:rsidRPr="005B247D">
        <w:rPr>
          <w:rFonts w:ascii="Calibri" w:hAnsi="Calibri" w:cs="Arial"/>
          <w:szCs w:val="22"/>
        </w:rPr>
        <w:t>IČO: 49056689</w:t>
      </w:r>
    </w:p>
    <w:p w14:paraId="186063B2" w14:textId="77777777" w:rsidR="00C03AF4" w:rsidRPr="005B247D" w:rsidRDefault="00C03AF4" w:rsidP="00C03AF4">
      <w:pPr>
        <w:pStyle w:val="Identifikace"/>
        <w:rPr>
          <w:rFonts w:ascii="Calibri" w:hAnsi="Calibri" w:cs="Arial"/>
          <w:szCs w:val="22"/>
        </w:rPr>
      </w:pPr>
      <w:r w:rsidRPr="005B247D">
        <w:rPr>
          <w:rFonts w:ascii="Calibri" w:hAnsi="Calibri" w:cs="Arial"/>
          <w:szCs w:val="22"/>
        </w:rPr>
        <w:t>Jejímž jménem jedná Ing. Pavla Licehammerová, ředitelka TSmP</w:t>
      </w:r>
    </w:p>
    <w:p w14:paraId="44DD733D" w14:textId="77777777" w:rsidR="00C03AF4" w:rsidRPr="005B247D" w:rsidRDefault="00C03AF4" w:rsidP="00C03AF4">
      <w:pPr>
        <w:pStyle w:val="Identifikace"/>
        <w:rPr>
          <w:rFonts w:ascii="Calibri" w:hAnsi="Calibri" w:cs="Arial"/>
          <w:szCs w:val="22"/>
        </w:rPr>
      </w:pPr>
      <w:r w:rsidRPr="005B247D">
        <w:rPr>
          <w:rFonts w:ascii="Calibri" w:hAnsi="Calibri" w:cs="Arial"/>
          <w:szCs w:val="22"/>
        </w:rPr>
        <w:t>Zapsaná u krajského soudu v Českých Budějovicích,  Pr 1</w:t>
      </w:r>
    </w:p>
    <w:p w14:paraId="7E9AC140" w14:textId="77777777" w:rsidR="00C03AF4" w:rsidRPr="005B247D" w:rsidRDefault="00C03AF4" w:rsidP="00C03AF4">
      <w:pPr>
        <w:pStyle w:val="Identifikace"/>
        <w:rPr>
          <w:rFonts w:ascii="Calibri" w:hAnsi="Calibri" w:cs="Arial"/>
          <w:szCs w:val="22"/>
        </w:rPr>
      </w:pPr>
      <w:r w:rsidRPr="005B247D">
        <w:rPr>
          <w:rFonts w:ascii="Calibri" w:hAnsi="Calibri" w:cs="Arial"/>
          <w:szCs w:val="22"/>
        </w:rPr>
        <w:t>Zastoupena Ing. Pavl</w:t>
      </w:r>
      <w:r>
        <w:rPr>
          <w:rFonts w:ascii="Calibri" w:hAnsi="Calibri" w:cs="Arial"/>
          <w:szCs w:val="22"/>
        </w:rPr>
        <w:t>ou</w:t>
      </w:r>
      <w:r w:rsidRPr="005B247D">
        <w:rPr>
          <w:rFonts w:ascii="Calibri" w:hAnsi="Calibri" w:cs="Arial"/>
          <w:szCs w:val="22"/>
        </w:rPr>
        <w:t xml:space="preserve"> Licehammerovou, Ředitelk</w:t>
      </w:r>
      <w:r>
        <w:rPr>
          <w:rFonts w:ascii="Calibri" w:hAnsi="Calibri" w:cs="Arial"/>
          <w:szCs w:val="22"/>
        </w:rPr>
        <w:t>ou</w:t>
      </w:r>
      <w:r w:rsidRPr="005B247D">
        <w:rPr>
          <w:rFonts w:ascii="Calibri" w:hAnsi="Calibri" w:cs="Arial"/>
          <w:szCs w:val="22"/>
        </w:rPr>
        <w:t xml:space="preserve"> </w:t>
      </w:r>
      <w:r>
        <w:rPr>
          <w:rFonts w:ascii="Calibri" w:hAnsi="Calibri" w:cs="Arial"/>
          <w:szCs w:val="22"/>
        </w:rPr>
        <w:t>TSmP</w:t>
      </w:r>
    </w:p>
    <w:p w14:paraId="11F4A924" w14:textId="77777777" w:rsidR="00C03AF4" w:rsidRPr="00714046" w:rsidRDefault="00C03AF4" w:rsidP="00C03AF4">
      <w:pPr>
        <w:pStyle w:val="Identifikace"/>
        <w:rPr>
          <w:rFonts w:ascii="Calibri" w:hAnsi="Calibri" w:cs="Arial"/>
          <w:szCs w:val="22"/>
        </w:rPr>
      </w:pPr>
      <w:r w:rsidRPr="00714046">
        <w:rPr>
          <w:rFonts w:ascii="Calibri" w:hAnsi="Calibri" w:cs="Arial"/>
          <w:szCs w:val="22"/>
        </w:rPr>
        <w:t>dále jen „Nabyvatel“</w:t>
      </w:r>
    </w:p>
    <w:bookmarkEnd w:id="1"/>
    <w:p w14:paraId="72098B57" w14:textId="77777777" w:rsidR="00C03AF4" w:rsidRPr="00221F98" w:rsidRDefault="00C03AF4" w:rsidP="00C03AF4">
      <w:pPr>
        <w:spacing w:after="120"/>
      </w:pPr>
    </w:p>
    <w:p w14:paraId="73336A76" w14:textId="77777777" w:rsidR="00C03AF4" w:rsidRPr="00865624" w:rsidRDefault="00C03AF4" w:rsidP="00C03AF4">
      <w:pPr>
        <w:spacing w:after="120"/>
      </w:pPr>
    </w:p>
    <w:p w14:paraId="16881367" w14:textId="77777777" w:rsidR="00C03AF4" w:rsidRPr="003F45F0" w:rsidRDefault="00C03AF4" w:rsidP="003F45F0">
      <w:pPr>
        <w:pStyle w:val="Smlouvaodstavec"/>
        <w:numPr>
          <w:ilvl w:val="0"/>
          <w:numId w:val="18"/>
        </w:numPr>
        <w:jc w:val="center"/>
        <w:rPr>
          <w:rFonts w:ascii="Calibri" w:hAnsi="Calibri" w:cs="Arial"/>
          <w:sz w:val="24"/>
          <w:szCs w:val="24"/>
        </w:rPr>
      </w:pPr>
      <w:r w:rsidRPr="003F45F0">
        <w:rPr>
          <w:rFonts w:ascii="Calibri" w:hAnsi="Calibri" w:cs="Arial"/>
          <w:sz w:val="24"/>
          <w:szCs w:val="24"/>
        </w:rPr>
        <w:t>Preambule</w:t>
      </w:r>
    </w:p>
    <w:p w14:paraId="7D5D047F" w14:textId="77777777" w:rsidR="00C03AF4" w:rsidRPr="00865624" w:rsidRDefault="00C03AF4" w:rsidP="00486D40">
      <w:pPr>
        <w:numPr>
          <w:ilvl w:val="1"/>
          <w:numId w:val="18"/>
        </w:numPr>
        <w:spacing w:after="180"/>
        <w:ind w:left="567" w:hanging="567"/>
        <w:jc w:val="both"/>
        <w:rPr>
          <w:rFonts w:cs="Arial"/>
        </w:rPr>
      </w:pPr>
      <w:r w:rsidRPr="00865624">
        <w:rPr>
          <w:rFonts w:cs="Arial"/>
        </w:rPr>
        <w:t xml:space="preserve">Poskytovatel vykonává majetková práva k informačnímu systému pod obchodním názvem HELIOS </w:t>
      </w:r>
      <w:r>
        <w:rPr>
          <w:rFonts w:cs="Arial"/>
        </w:rPr>
        <w:t>Nephrite</w:t>
      </w:r>
      <w:r w:rsidRPr="00865624">
        <w:rPr>
          <w:rFonts w:cs="Arial"/>
        </w:rPr>
        <w:t xml:space="preserve"> a zároveň je oprávněn poskytovat Podlicenci k těm částem Informačního systému HELIOS </w:t>
      </w:r>
      <w:r>
        <w:rPr>
          <w:rFonts w:cs="Arial"/>
        </w:rPr>
        <w:t>Nephrite</w:t>
      </w:r>
      <w:r w:rsidRPr="00865624">
        <w:rPr>
          <w:rFonts w:cs="Arial"/>
        </w:rPr>
        <w:t>, které vyvinuly partnerské společnosti v rámci projektu HELIOS Open.</w:t>
      </w:r>
    </w:p>
    <w:p w14:paraId="7482712C" w14:textId="77777777" w:rsidR="00C03AF4" w:rsidRPr="00865624" w:rsidRDefault="00C03AF4" w:rsidP="00486D40">
      <w:pPr>
        <w:numPr>
          <w:ilvl w:val="1"/>
          <w:numId w:val="18"/>
        </w:numPr>
        <w:spacing w:after="180"/>
        <w:ind w:left="567" w:hanging="567"/>
        <w:jc w:val="both"/>
        <w:rPr>
          <w:rFonts w:cs="Arial"/>
        </w:rPr>
      </w:pPr>
      <w:bookmarkStart w:id="2" w:name="_Ref210478608"/>
      <w:r w:rsidRPr="00865624">
        <w:rPr>
          <w:rFonts w:cs="Arial"/>
        </w:rPr>
        <w:t xml:space="preserve">Nabyvatel má zájem za níže uvedených podmínek, získat standardizované nastavené řešení HELIOS </w:t>
      </w:r>
      <w:r>
        <w:rPr>
          <w:rFonts w:cs="Arial"/>
        </w:rPr>
        <w:t>Nephrite</w:t>
      </w:r>
      <w:r w:rsidRPr="00865624">
        <w:rPr>
          <w:rFonts w:cs="Arial"/>
        </w:rPr>
        <w:t xml:space="preserve"> Ready pro podporu svých firemních procesů v rámci své podnikatelské činnosti, které bude budováno na platformě Informačního systému HELIOS </w:t>
      </w:r>
      <w:r>
        <w:rPr>
          <w:rFonts w:cs="Arial"/>
        </w:rPr>
        <w:t>Nephrite</w:t>
      </w:r>
      <w:r w:rsidRPr="00865624">
        <w:rPr>
          <w:rFonts w:cs="Arial"/>
        </w:rPr>
        <w:t>.</w:t>
      </w:r>
    </w:p>
    <w:p w14:paraId="4B3C9AB2" w14:textId="7267A028" w:rsidR="00C03AF4" w:rsidRPr="00865624" w:rsidRDefault="00C03AF4" w:rsidP="00486D40">
      <w:pPr>
        <w:numPr>
          <w:ilvl w:val="1"/>
          <w:numId w:val="18"/>
        </w:numPr>
        <w:spacing w:after="180"/>
        <w:ind w:left="567" w:hanging="567"/>
        <w:jc w:val="both"/>
        <w:rPr>
          <w:rFonts w:cs="Arial"/>
        </w:rPr>
      </w:pPr>
      <w:bookmarkStart w:id="3" w:name="_Ref210478609"/>
      <w:bookmarkEnd w:id="2"/>
      <w:r w:rsidRPr="00865624">
        <w:rPr>
          <w:rFonts w:cs="Arial"/>
        </w:rPr>
        <w:t xml:space="preserve">Poskytovatel má zájem za níže uvedených podmínek takové řešení Nabyvateli poskytnout jako komplexní řešení, což zahrnuje analýzu vhodné realizace, Implementační služby (viz kap. </w:t>
      </w:r>
      <w:r w:rsidRPr="00865624">
        <w:rPr>
          <w:rFonts w:cs="Arial"/>
        </w:rPr>
        <w:fldChar w:fldCharType="begin"/>
      </w:r>
      <w:r w:rsidRPr="00865624">
        <w:rPr>
          <w:rFonts w:cs="Arial"/>
        </w:rPr>
        <w:instrText xml:space="preserve"> REF _Ref360434150 \r \h  \* MERGEFORMAT </w:instrText>
      </w:r>
      <w:r w:rsidRPr="00865624">
        <w:rPr>
          <w:rFonts w:cs="Arial"/>
        </w:rPr>
      </w:r>
      <w:r w:rsidRPr="00865624">
        <w:rPr>
          <w:rFonts w:cs="Arial"/>
        </w:rPr>
        <w:fldChar w:fldCharType="separate"/>
      </w:r>
      <w:r w:rsidR="00F951F7">
        <w:rPr>
          <w:rFonts w:cs="Arial"/>
        </w:rPr>
        <w:t>3.2</w:t>
      </w:r>
      <w:r w:rsidRPr="00865624">
        <w:rPr>
          <w:rFonts w:cs="Arial"/>
        </w:rPr>
        <w:fldChar w:fldCharType="end"/>
      </w:r>
      <w:r w:rsidRPr="00865624">
        <w:rPr>
          <w:rFonts w:cs="Arial"/>
        </w:rPr>
        <w:t xml:space="preserve">), poskytnutí Licencí a navazující podporu na platformě Informačního systému HELIOS </w:t>
      </w:r>
      <w:r>
        <w:rPr>
          <w:rFonts w:cs="Arial"/>
        </w:rPr>
        <w:t>Nephrite</w:t>
      </w:r>
      <w:r w:rsidRPr="00865624">
        <w:rPr>
          <w:rFonts w:cs="Arial"/>
        </w:rPr>
        <w:t xml:space="preserve"> a jeho partnerských řešení v rámci projektu HELIOS Open, případně systémovou integraci řešení třetích stran.</w:t>
      </w:r>
      <w:bookmarkEnd w:id="3"/>
    </w:p>
    <w:p w14:paraId="6F07864A" w14:textId="6A613C59" w:rsidR="00C03AF4" w:rsidRDefault="00C03AF4" w:rsidP="00486D40">
      <w:pPr>
        <w:numPr>
          <w:ilvl w:val="1"/>
          <w:numId w:val="18"/>
        </w:numPr>
        <w:spacing w:after="180"/>
        <w:ind w:left="567" w:hanging="567"/>
        <w:jc w:val="both"/>
        <w:rPr>
          <w:rFonts w:cs="Arial"/>
        </w:rPr>
      </w:pPr>
      <w:r w:rsidRPr="00865624">
        <w:rPr>
          <w:rFonts w:cs="Arial"/>
        </w:rPr>
        <w:t xml:space="preserve">Smluvní strany se dohodly na </w:t>
      </w:r>
      <w:r>
        <w:rPr>
          <w:rFonts w:cs="Arial"/>
        </w:rPr>
        <w:t xml:space="preserve">dalších </w:t>
      </w:r>
      <w:r w:rsidRPr="00865624">
        <w:rPr>
          <w:rFonts w:cs="Arial"/>
        </w:rPr>
        <w:t>podmínkách realizace tohoto Informačního systému takto:</w:t>
      </w:r>
    </w:p>
    <w:p w14:paraId="0EB7A6BE" w14:textId="619DEAE6" w:rsidR="00C03AF4" w:rsidRPr="00C03AF4" w:rsidRDefault="00C03AF4" w:rsidP="00486D40">
      <w:pPr>
        <w:numPr>
          <w:ilvl w:val="0"/>
          <w:numId w:val="21"/>
        </w:numPr>
        <w:spacing w:after="180"/>
        <w:ind w:left="1134" w:hanging="425"/>
        <w:rPr>
          <w:bCs/>
        </w:rPr>
      </w:pPr>
      <w:r w:rsidRPr="00C03AF4">
        <w:rPr>
          <w:bCs/>
        </w:rPr>
        <w:t xml:space="preserve">Viz Příloha č.  </w:t>
      </w:r>
      <w:r w:rsidR="003F45F0">
        <w:rPr>
          <w:bCs/>
        </w:rPr>
        <w:t>6</w:t>
      </w:r>
      <w:r w:rsidRPr="00C03AF4">
        <w:rPr>
          <w:bCs/>
        </w:rPr>
        <w:t xml:space="preserve"> této smlouvy</w:t>
      </w:r>
    </w:p>
    <w:p w14:paraId="36848331" w14:textId="77777777" w:rsidR="00C03AF4" w:rsidRPr="00DC31DD" w:rsidRDefault="00C03AF4" w:rsidP="00DC31DD">
      <w:pPr>
        <w:pStyle w:val="Smlouvaodstavec"/>
        <w:numPr>
          <w:ilvl w:val="0"/>
          <w:numId w:val="18"/>
        </w:numPr>
        <w:jc w:val="center"/>
        <w:rPr>
          <w:rFonts w:ascii="Calibri" w:hAnsi="Calibri" w:cs="Arial"/>
          <w:sz w:val="24"/>
          <w:szCs w:val="24"/>
        </w:rPr>
      </w:pPr>
      <w:r w:rsidRPr="00DC31DD">
        <w:rPr>
          <w:rFonts w:ascii="Calibri" w:hAnsi="Calibri" w:cs="Arial"/>
          <w:sz w:val="24"/>
          <w:szCs w:val="24"/>
        </w:rPr>
        <w:t>Úvodní ustanovení</w:t>
      </w:r>
    </w:p>
    <w:p w14:paraId="14A9C32C" w14:textId="77777777" w:rsidR="00C03AF4" w:rsidRPr="00865624" w:rsidRDefault="00C03AF4" w:rsidP="00486D40">
      <w:pPr>
        <w:numPr>
          <w:ilvl w:val="1"/>
          <w:numId w:val="18"/>
        </w:numPr>
        <w:spacing w:after="180"/>
        <w:ind w:left="567" w:hanging="567"/>
        <w:jc w:val="both"/>
        <w:rPr>
          <w:rFonts w:cs="Arial"/>
        </w:rPr>
      </w:pPr>
      <w:r w:rsidRPr="00865624">
        <w:rPr>
          <w:rFonts w:cs="Arial"/>
        </w:rPr>
        <w:t>Tato smlouva je uzavřena ve smyslu § 1727 zákona č. 89/2012 Sb., občanského zákoníku.</w:t>
      </w:r>
    </w:p>
    <w:p w14:paraId="4FB136B1" w14:textId="77777777" w:rsidR="00C03AF4" w:rsidRPr="00865624" w:rsidRDefault="00C03AF4" w:rsidP="00486D40">
      <w:pPr>
        <w:numPr>
          <w:ilvl w:val="1"/>
          <w:numId w:val="18"/>
        </w:numPr>
        <w:spacing w:after="180"/>
        <w:ind w:left="567" w:hanging="567"/>
        <w:jc w:val="both"/>
        <w:rPr>
          <w:rFonts w:cs="Arial"/>
        </w:rPr>
      </w:pPr>
      <w:r w:rsidRPr="00865624">
        <w:rPr>
          <w:rFonts w:cs="Arial"/>
        </w:rPr>
        <w:t>Práva a povinnosti Smluvních stran, jakož i jiné skutečnosti touto smlou</w:t>
      </w:r>
      <w:r w:rsidRPr="00865624">
        <w:rPr>
          <w:rFonts w:cs="Arial"/>
        </w:rPr>
        <w:softHyphen/>
        <w:t>vou neupravené, se řídí obecnou úpravou dle Občanského zákoníku.</w:t>
      </w:r>
    </w:p>
    <w:p w14:paraId="5C8BF79F" w14:textId="66580BE7" w:rsidR="00C03AF4" w:rsidRDefault="00C03AF4" w:rsidP="00C03AF4">
      <w:pPr>
        <w:pStyle w:val="Zkladnodstavec"/>
        <w:spacing w:after="180"/>
        <w:rPr>
          <w:rFonts w:ascii="Calibri" w:hAnsi="Calibri"/>
        </w:rPr>
      </w:pPr>
    </w:p>
    <w:p w14:paraId="5ACD9B05" w14:textId="1CC1038F" w:rsidR="00EC5C0A" w:rsidRDefault="00EC5C0A" w:rsidP="00C03AF4">
      <w:pPr>
        <w:pStyle w:val="Zkladnodstavec"/>
        <w:spacing w:after="180"/>
        <w:rPr>
          <w:rFonts w:ascii="Calibri" w:hAnsi="Calibri"/>
        </w:rPr>
      </w:pPr>
    </w:p>
    <w:p w14:paraId="33B23847" w14:textId="77777777" w:rsidR="00EC5C0A" w:rsidRPr="00865624" w:rsidRDefault="00EC5C0A" w:rsidP="00C03AF4">
      <w:pPr>
        <w:pStyle w:val="Zkladnodstavec"/>
        <w:spacing w:after="180"/>
        <w:rPr>
          <w:rFonts w:ascii="Calibri" w:hAnsi="Calibri"/>
        </w:rPr>
      </w:pPr>
    </w:p>
    <w:p w14:paraId="00A76801" w14:textId="77777777" w:rsidR="00C03AF4" w:rsidRPr="00DC31DD" w:rsidRDefault="00C03AF4" w:rsidP="00DC31DD">
      <w:pPr>
        <w:pStyle w:val="Smlouvaodstavec"/>
        <w:numPr>
          <w:ilvl w:val="0"/>
          <w:numId w:val="18"/>
        </w:numPr>
        <w:jc w:val="center"/>
        <w:rPr>
          <w:rFonts w:ascii="Calibri" w:hAnsi="Calibri" w:cs="Arial"/>
          <w:sz w:val="24"/>
          <w:szCs w:val="24"/>
        </w:rPr>
      </w:pPr>
      <w:bookmarkStart w:id="4" w:name="_Ref355754041"/>
      <w:r w:rsidRPr="00DC31DD">
        <w:rPr>
          <w:rFonts w:ascii="Calibri" w:hAnsi="Calibri" w:cs="Arial"/>
          <w:sz w:val="24"/>
          <w:szCs w:val="24"/>
        </w:rPr>
        <w:lastRenderedPageBreak/>
        <w:t>Předmět smlouvy</w:t>
      </w:r>
      <w:bookmarkEnd w:id="4"/>
    </w:p>
    <w:p w14:paraId="314DAEA7" w14:textId="77777777" w:rsidR="00C03AF4" w:rsidRPr="00865624" w:rsidRDefault="00C03AF4" w:rsidP="00486D40">
      <w:pPr>
        <w:numPr>
          <w:ilvl w:val="1"/>
          <w:numId w:val="18"/>
        </w:numPr>
        <w:spacing w:after="180"/>
        <w:ind w:left="567" w:hanging="567"/>
        <w:jc w:val="both"/>
        <w:rPr>
          <w:rFonts w:cs="Arial"/>
        </w:rPr>
      </w:pPr>
      <w:bookmarkStart w:id="5" w:name="_Ref355754074"/>
      <w:r w:rsidRPr="00865624">
        <w:rPr>
          <w:rFonts w:cs="Arial"/>
        </w:rPr>
        <w:t xml:space="preserve">Poskytovatel se zavazuje dodat Nabyvateli softwarový produkt vedený pod obchodním názvem Informační systém HELIOS </w:t>
      </w:r>
      <w:r>
        <w:rPr>
          <w:rFonts w:cs="Arial"/>
        </w:rPr>
        <w:t>Nephrite</w:t>
      </w:r>
      <w:r w:rsidRPr="00865624">
        <w:rPr>
          <w:rFonts w:cs="Arial"/>
        </w:rPr>
        <w:t xml:space="preserve"> v příslušné konfiguraci specifikované v Příloze č. 1 této smlouvy.</w:t>
      </w:r>
      <w:bookmarkEnd w:id="5"/>
      <w:r w:rsidRPr="00865624">
        <w:rPr>
          <w:rFonts w:cs="Arial"/>
        </w:rPr>
        <w:t xml:space="preserve"> Předmětem této smlouvy je závazek Poskytovatele poskytnout Nabyvateli nevýhradní oprávnění k výkonu práva k autorskému dílu, tedy k Informačnímu systému HELIOS </w:t>
      </w:r>
      <w:r>
        <w:rPr>
          <w:rFonts w:cs="Arial"/>
        </w:rPr>
        <w:t>Nephrite</w:t>
      </w:r>
      <w:r w:rsidRPr="00865624">
        <w:rPr>
          <w:rFonts w:cs="Arial"/>
        </w:rPr>
        <w:t xml:space="preserve">, který může užít pouze pro vlastní potřebu po dobu časově neomezenou s tím, že je oprávněn používat HELIOS </w:t>
      </w:r>
      <w:r>
        <w:rPr>
          <w:rFonts w:cs="Arial"/>
        </w:rPr>
        <w:t>Nephrite</w:t>
      </w:r>
      <w:r w:rsidRPr="00865624">
        <w:rPr>
          <w:rFonts w:cs="Arial"/>
        </w:rPr>
        <w:t xml:space="preserve"> pouze v počtu uživatelů specifikovaném v Příloze č. 1 této smlouvy. V souvislosti s tím je Nabyvatel oprávněn pořizovat kopie tohoto díla v zájmu ochrany pro vlastní archivní účely a k nahrazení oprávněně získaného Informačního systému HELIOS </w:t>
      </w:r>
      <w:r>
        <w:rPr>
          <w:rFonts w:cs="Arial"/>
        </w:rPr>
        <w:t>Nephrite</w:t>
      </w:r>
      <w:r w:rsidRPr="00865624">
        <w:rPr>
          <w:rFonts w:cs="Arial"/>
        </w:rPr>
        <w:t xml:space="preserve">, který byl ztracen, zničen nebo jinak znehodnocen, a dále jednu kopii pro účely testování Informačního systému HELIOS </w:t>
      </w:r>
      <w:r>
        <w:rPr>
          <w:rFonts w:cs="Arial"/>
        </w:rPr>
        <w:t>Nephrite</w:t>
      </w:r>
      <w:r w:rsidRPr="00865624">
        <w:rPr>
          <w:rFonts w:cs="Arial"/>
        </w:rPr>
        <w:t>. Druhou a každou další kopii pro účely testování smí Nabyvatel pořizovat pouze na základě prokazatelného souhlasu uděleného Poskytovatelem.</w:t>
      </w:r>
    </w:p>
    <w:p w14:paraId="0C3210AB" w14:textId="483E4C43" w:rsidR="00C03AF4" w:rsidRDefault="00C03AF4" w:rsidP="00486D40">
      <w:pPr>
        <w:numPr>
          <w:ilvl w:val="1"/>
          <w:numId w:val="18"/>
        </w:numPr>
        <w:spacing w:after="180"/>
        <w:ind w:left="567" w:hanging="567"/>
        <w:jc w:val="both"/>
        <w:rPr>
          <w:rFonts w:cs="Arial"/>
        </w:rPr>
      </w:pPr>
      <w:bookmarkStart w:id="6" w:name="_Ref355754138"/>
      <w:bookmarkStart w:id="7" w:name="_Ref360434150"/>
      <w:r w:rsidRPr="00865624">
        <w:rPr>
          <w:rFonts w:cs="Arial"/>
        </w:rPr>
        <w:t xml:space="preserve">Předmětem této smlouvy je dále závazek Poskytovatele realizovat ve prospěch Nabyvatele služby spojené s uvedením Informačního systému do Rutinního užívání (dále jen Implementační služby) tak, aby tento Informační systém mohl být využíván Nabyvatelem v takovém rozsahu modulů, jak jsou definovány v Příloze č. 1 této smlouvy. Rámcový rozsah Implementačních služeb je uveden v Harmonogramu prací, který je v Příloze č. </w:t>
      </w:r>
      <w:r w:rsidR="00BE1305">
        <w:rPr>
          <w:rFonts w:cs="Arial"/>
        </w:rPr>
        <w:t>3</w:t>
      </w:r>
      <w:r w:rsidRPr="00865624">
        <w:rPr>
          <w:rFonts w:cs="Arial"/>
        </w:rPr>
        <w:t xml:space="preserve"> této smlouvy. Uvedený rozsah a harmonogram prací jsou vzájemně svázány a dodatečná změna rozsahu prací může znamenat také změnu Harmonogramu prací a tím změnu předmětu a sjednané ceny za plnění této smlouvy.</w:t>
      </w:r>
      <w:bookmarkEnd w:id="6"/>
      <w:r w:rsidRPr="00865624">
        <w:rPr>
          <w:rFonts w:cs="Arial"/>
        </w:rPr>
        <w:t xml:space="preserve"> Předmětem této smlouvy ze strany Nabyvatele je také závazek uvedené Implementační služby převzít a ve prospěch Poskytovatele uhradit dále sjednanou cenu.</w:t>
      </w:r>
      <w:bookmarkEnd w:id="7"/>
    </w:p>
    <w:p w14:paraId="77B6207C" w14:textId="77777777" w:rsidR="00C03AF4" w:rsidRPr="00865624" w:rsidRDefault="00C03AF4" w:rsidP="00486D40">
      <w:pPr>
        <w:numPr>
          <w:ilvl w:val="1"/>
          <w:numId w:val="18"/>
        </w:numPr>
        <w:spacing w:after="180"/>
        <w:ind w:left="567" w:hanging="567"/>
        <w:jc w:val="both"/>
        <w:rPr>
          <w:rFonts w:cs="Arial"/>
        </w:rPr>
      </w:pPr>
      <w:bookmarkStart w:id="8" w:name="_Ref355754171"/>
      <w:r w:rsidRPr="00865624">
        <w:rPr>
          <w:rFonts w:cs="Arial"/>
        </w:rPr>
        <w:t xml:space="preserve">Předmětem smlouvy je též závazek Poskytovatele realizovat pro řádný Rutinní provoz Informačního systému HELIOS </w:t>
      </w:r>
      <w:r>
        <w:rPr>
          <w:rFonts w:cs="Arial"/>
        </w:rPr>
        <w:t>Nephrite</w:t>
      </w:r>
      <w:r w:rsidRPr="00865624">
        <w:rPr>
          <w:rFonts w:cs="Arial"/>
        </w:rPr>
        <w:t xml:space="preserve"> nebo jeho části služby údržby (dále jen Údržba HELIOS </w:t>
      </w:r>
      <w:r>
        <w:rPr>
          <w:rFonts w:cs="Arial"/>
        </w:rPr>
        <w:t>Nephrite</w:t>
      </w:r>
      <w:r w:rsidRPr="00865624">
        <w:rPr>
          <w:rFonts w:cs="Arial"/>
        </w:rPr>
        <w:t xml:space="preserve">), které se vztahují na Licence dle této smlouvy. Nabyvatel je povinen užívané Licence </w:t>
      </w:r>
      <w:r>
        <w:rPr>
          <w:rFonts w:cs="Arial"/>
        </w:rPr>
        <w:t>p</w:t>
      </w:r>
      <w:r w:rsidRPr="00865624">
        <w:rPr>
          <w:rFonts w:cs="Arial"/>
        </w:rPr>
        <w:t xml:space="preserve">řevzít a ve prospěch Poskytovatele hradit sjednanou cenu za Údržbu HELIOS </w:t>
      </w:r>
      <w:r>
        <w:rPr>
          <w:rFonts w:cs="Arial"/>
        </w:rPr>
        <w:t>Nephrite</w:t>
      </w:r>
      <w:r w:rsidRPr="00865624">
        <w:rPr>
          <w:rFonts w:cs="Arial"/>
        </w:rPr>
        <w:t xml:space="preserve"> a za podmínek stanovených touto smlouvou.</w:t>
      </w:r>
      <w:bookmarkEnd w:id="8"/>
      <w:r w:rsidRPr="00865624">
        <w:rPr>
          <w:rFonts w:cs="Arial"/>
        </w:rPr>
        <w:t xml:space="preserve"> </w:t>
      </w:r>
    </w:p>
    <w:p w14:paraId="21092BA0" w14:textId="77777777" w:rsidR="00C03AF4" w:rsidRPr="00865624" w:rsidRDefault="00C03AF4" w:rsidP="00C03AF4">
      <w:pPr>
        <w:spacing w:after="180"/>
        <w:ind w:left="567"/>
        <w:jc w:val="both"/>
        <w:rPr>
          <w:rFonts w:cs="Arial"/>
        </w:rPr>
      </w:pPr>
      <w:r w:rsidRPr="00865624">
        <w:rPr>
          <w:rFonts w:cs="Arial"/>
        </w:rPr>
        <w:t xml:space="preserve">Údržba HELIOS </w:t>
      </w:r>
      <w:r>
        <w:rPr>
          <w:rFonts w:cs="Arial"/>
        </w:rPr>
        <w:t>Nephrite</w:t>
      </w:r>
      <w:r w:rsidRPr="00865624">
        <w:rPr>
          <w:rFonts w:cs="Arial"/>
        </w:rPr>
        <w:t xml:space="preserve"> zahrnuje:</w:t>
      </w:r>
    </w:p>
    <w:p w14:paraId="77DB4AA6" w14:textId="77777777" w:rsidR="00C03AF4" w:rsidRPr="00865624" w:rsidRDefault="00C03AF4" w:rsidP="00486D40">
      <w:pPr>
        <w:numPr>
          <w:ilvl w:val="0"/>
          <w:numId w:val="17"/>
        </w:numPr>
        <w:tabs>
          <w:tab w:val="clear" w:pos="720"/>
        </w:tabs>
        <w:spacing w:after="180"/>
        <w:ind w:left="1276" w:hanging="425"/>
        <w:jc w:val="both"/>
      </w:pPr>
      <w:r w:rsidRPr="00865624">
        <w:t xml:space="preserve">Vyřešení Oprávněných reklamací licencí HELIOS </w:t>
      </w:r>
      <w:r>
        <w:t>Nephrite</w:t>
      </w:r>
      <w:r w:rsidRPr="00865624">
        <w:t xml:space="preserve"> formou opravy funkcionality.</w:t>
      </w:r>
    </w:p>
    <w:p w14:paraId="32CBC4FB" w14:textId="77777777" w:rsidR="00C03AF4" w:rsidRPr="00865624" w:rsidRDefault="00C03AF4" w:rsidP="00486D40">
      <w:pPr>
        <w:numPr>
          <w:ilvl w:val="0"/>
          <w:numId w:val="17"/>
        </w:numPr>
        <w:tabs>
          <w:tab w:val="clear" w:pos="720"/>
        </w:tabs>
        <w:spacing w:after="180"/>
        <w:ind w:left="1276" w:hanging="425"/>
        <w:jc w:val="both"/>
      </w:pPr>
      <w:r w:rsidRPr="00865624">
        <w:t xml:space="preserve">Legislativní Upgrade licencí HELIOS </w:t>
      </w:r>
      <w:r>
        <w:t>Nephrite</w:t>
      </w:r>
      <w:r w:rsidRPr="00865624">
        <w:t xml:space="preserve"> spočívající v zajištění shody HELIOS </w:t>
      </w:r>
      <w:r>
        <w:t>Nephrite</w:t>
      </w:r>
      <w:r w:rsidRPr="00865624">
        <w:t xml:space="preserve"> s platnými, obecně závaznými právními předpisy České republiky</w:t>
      </w:r>
      <w:r>
        <w:t xml:space="preserve"> nejpozději ke dni nabytí účinnosti novely nebo jiné změny daného právního předpisu, případně později, avšak v takovém termínu, aby byl Nabyvatel objektivně schopen svou povinnost stanovenou daným právním předpisem splnit ve lhůtě, kterou Nabyvateli právní předpis pro splnění této zákonné povinnosti stanovuje</w:t>
      </w:r>
      <w:r w:rsidRPr="00865624">
        <w:t>.</w:t>
      </w:r>
    </w:p>
    <w:p w14:paraId="4E50A2A1" w14:textId="77777777" w:rsidR="00C03AF4" w:rsidRPr="00865624" w:rsidRDefault="00C03AF4" w:rsidP="00486D40">
      <w:pPr>
        <w:numPr>
          <w:ilvl w:val="0"/>
          <w:numId w:val="17"/>
        </w:numPr>
        <w:tabs>
          <w:tab w:val="clear" w:pos="720"/>
        </w:tabs>
        <w:spacing w:after="180"/>
        <w:ind w:left="1276" w:hanging="425"/>
        <w:jc w:val="both"/>
      </w:pPr>
      <w:r w:rsidRPr="00865624">
        <w:t xml:space="preserve">Technologický Upgrade HELIOS </w:t>
      </w:r>
      <w:r>
        <w:t>Nephrite</w:t>
      </w:r>
      <w:r w:rsidRPr="00865624">
        <w:t xml:space="preserve"> spočívající v zajišťování kompatibility HELIOS </w:t>
      </w:r>
      <w:r>
        <w:t>Nephrite</w:t>
      </w:r>
      <w:r w:rsidRPr="00865624">
        <w:t xml:space="preserve"> s aktuálně podporovanými verzemi operačního systému a dalších používaných produktů, podpora nových standardů.</w:t>
      </w:r>
    </w:p>
    <w:p w14:paraId="067BE557" w14:textId="77777777" w:rsidR="00C03AF4" w:rsidRPr="00865624" w:rsidRDefault="00C03AF4" w:rsidP="00486D40">
      <w:pPr>
        <w:numPr>
          <w:ilvl w:val="0"/>
          <w:numId w:val="17"/>
        </w:numPr>
        <w:tabs>
          <w:tab w:val="clear" w:pos="720"/>
        </w:tabs>
        <w:spacing w:after="180"/>
        <w:ind w:left="1276" w:hanging="425"/>
        <w:jc w:val="both"/>
      </w:pPr>
      <w:r w:rsidRPr="00865624">
        <w:t xml:space="preserve">Řešení dotazů a provozních problémů vzniklých Nabyvateli při užívání HELIOS </w:t>
      </w:r>
      <w:r>
        <w:t>Nephrite</w:t>
      </w:r>
      <w:r w:rsidRPr="00865624">
        <w:t xml:space="preserve"> </w:t>
      </w:r>
      <w:hyperlink r:id="rId8" w:history="1">
        <w:r w:rsidRPr="00865624">
          <w:t>formou</w:t>
        </w:r>
      </w:hyperlink>
      <w:r w:rsidRPr="00865624">
        <w:t xml:space="preserve"> telefonické a e-mailové služby Hotline</w:t>
      </w:r>
      <w:r>
        <w:t>.</w:t>
      </w:r>
      <w:r w:rsidRPr="00865624">
        <w:t xml:space="preserve"> </w:t>
      </w:r>
    </w:p>
    <w:p w14:paraId="5A19EED4" w14:textId="77777777" w:rsidR="00C03AF4" w:rsidRPr="00865624" w:rsidRDefault="00C03AF4" w:rsidP="00486D40">
      <w:pPr>
        <w:numPr>
          <w:ilvl w:val="0"/>
          <w:numId w:val="17"/>
        </w:numPr>
        <w:tabs>
          <w:tab w:val="clear" w:pos="720"/>
        </w:tabs>
        <w:spacing w:after="180"/>
        <w:ind w:left="1276" w:hanging="425"/>
        <w:jc w:val="both"/>
      </w:pPr>
      <w:r w:rsidRPr="00865624">
        <w:t xml:space="preserve">Administrativní vyřizování uplatněných reklamací chyb funkcionality HELIOS </w:t>
      </w:r>
      <w:r>
        <w:t>Nephrite</w:t>
      </w:r>
      <w:r w:rsidRPr="00865624">
        <w:t>.</w:t>
      </w:r>
    </w:p>
    <w:p w14:paraId="2FEC2C02" w14:textId="77777777" w:rsidR="00C03AF4" w:rsidRPr="00865624" w:rsidRDefault="00C03AF4" w:rsidP="00486D40">
      <w:pPr>
        <w:numPr>
          <w:ilvl w:val="0"/>
          <w:numId w:val="17"/>
        </w:numPr>
        <w:tabs>
          <w:tab w:val="clear" w:pos="720"/>
        </w:tabs>
        <w:spacing w:after="180"/>
        <w:ind w:left="1276" w:hanging="425"/>
        <w:jc w:val="both"/>
      </w:pPr>
      <w:r w:rsidRPr="00865624">
        <w:t xml:space="preserve">Předávání informací o změnách funkcionality HELIOS </w:t>
      </w:r>
      <w:r>
        <w:t>Nephrite</w:t>
      </w:r>
      <w:r w:rsidRPr="00865624">
        <w:t xml:space="preserve"> provedených v Informačním systému Nabyvatele cestou Upgrade, Aplikací Patche a Hotpatche, QuickBuildů a předáním Zakázkových dovývojů (formou předání nebo zveřejnění informací v elektronické podobě).</w:t>
      </w:r>
    </w:p>
    <w:p w14:paraId="12611F46" w14:textId="77777777" w:rsidR="00C03AF4" w:rsidRPr="00865624" w:rsidRDefault="00C03AF4" w:rsidP="00486D40">
      <w:pPr>
        <w:numPr>
          <w:ilvl w:val="0"/>
          <w:numId w:val="17"/>
        </w:numPr>
        <w:tabs>
          <w:tab w:val="clear" w:pos="720"/>
        </w:tabs>
        <w:spacing w:after="180"/>
        <w:ind w:left="1276" w:hanging="425"/>
        <w:jc w:val="both"/>
      </w:pPr>
      <w:r w:rsidRPr="00865624">
        <w:lastRenderedPageBreak/>
        <w:t xml:space="preserve">Sběr požadavků Nabyvatele na rozvoj funkcionality HELIOS </w:t>
      </w:r>
      <w:r>
        <w:t>Nephrite</w:t>
      </w:r>
      <w:r w:rsidRPr="00865624">
        <w:t xml:space="preserve"> prostřednictvím Extranetu Poskytovatele a jejich předání k posouzení a k zapracování do dlouhodobého plánu vývoje Poskytovatele, pokud tyto požadavky budou v souladu s dlouhodobými záměry vývoje.</w:t>
      </w:r>
    </w:p>
    <w:p w14:paraId="25B28A89" w14:textId="77777777" w:rsidR="00C03AF4" w:rsidRPr="00DC31DD" w:rsidRDefault="00C03AF4" w:rsidP="00DC31DD">
      <w:pPr>
        <w:pStyle w:val="Smlouvaodstavec"/>
        <w:numPr>
          <w:ilvl w:val="0"/>
          <w:numId w:val="18"/>
        </w:numPr>
        <w:jc w:val="center"/>
        <w:rPr>
          <w:rFonts w:ascii="Calibri" w:hAnsi="Calibri" w:cs="Arial"/>
          <w:sz w:val="24"/>
          <w:szCs w:val="24"/>
        </w:rPr>
      </w:pPr>
      <w:r w:rsidRPr="00DC31DD">
        <w:rPr>
          <w:rFonts w:ascii="Calibri" w:hAnsi="Calibri" w:cs="Arial"/>
          <w:sz w:val="24"/>
          <w:szCs w:val="24"/>
        </w:rPr>
        <w:t>Místo, termín a podmínky předání</w:t>
      </w:r>
    </w:p>
    <w:p w14:paraId="4D796783" w14:textId="4A4CE8FF" w:rsidR="00C03AF4" w:rsidRPr="00865624" w:rsidRDefault="00C03AF4" w:rsidP="00486D40">
      <w:pPr>
        <w:numPr>
          <w:ilvl w:val="1"/>
          <w:numId w:val="18"/>
        </w:numPr>
        <w:spacing w:after="180"/>
        <w:ind w:left="567" w:hanging="567"/>
        <w:jc w:val="both"/>
        <w:rPr>
          <w:rFonts w:cs="Arial"/>
        </w:rPr>
      </w:pPr>
      <w:r w:rsidRPr="00865624">
        <w:rPr>
          <w:rFonts w:cs="Arial"/>
        </w:rPr>
        <w:t>Místem poskytnutí předmětu smlouvy je sídlo Nabyvatele uvedené v záhlaví této smlouvy, případně jiná</w:t>
      </w:r>
      <w:r w:rsidR="00841703">
        <w:rPr>
          <w:rFonts w:cs="Arial"/>
        </w:rPr>
        <w:t>.</w:t>
      </w:r>
    </w:p>
    <w:p w14:paraId="4584D9D7" w14:textId="77777777" w:rsidR="00C03AF4" w:rsidRDefault="00C03AF4" w:rsidP="00486D40">
      <w:pPr>
        <w:numPr>
          <w:ilvl w:val="1"/>
          <w:numId w:val="18"/>
        </w:numPr>
        <w:spacing w:after="180"/>
        <w:ind w:left="567" w:hanging="567"/>
        <w:jc w:val="both"/>
        <w:rPr>
          <w:rFonts w:cs="Arial"/>
        </w:rPr>
      </w:pPr>
      <w:r w:rsidRPr="00865624">
        <w:rPr>
          <w:rFonts w:cs="Arial"/>
        </w:rPr>
        <w:t xml:space="preserve">Poskytovatel se zavazuje předat nosič s informačním systémem HELIOS </w:t>
      </w:r>
      <w:r>
        <w:rPr>
          <w:rFonts w:cs="Arial"/>
        </w:rPr>
        <w:t>Nephrite</w:t>
      </w:r>
      <w:r w:rsidRPr="00865624">
        <w:rPr>
          <w:rFonts w:cs="Arial"/>
        </w:rPr>
        <w:t xml:space="preserve"> s individuálně identifikovatelným licenčním číslem Nabyvateli nebo zřídit přístup k Informačnímu systému HELIOS </w:t>
      </w:r>
      <w:r>
        <w:rPr>
          <w:rFonts w:cs="Arial"/>
        </w:rPr>
        <w:t>Nephrite</w:t>
      </w:r>
      <w:r w:rsidRPr="00865624">
        <w:rPr>
          <w:rFonts w:cs="Arial"/>
        </w:rPr>
        <w:t xml:space="preserve"> vzdáleným přístupem nejpozději do </w:t>
      </w:r>
      <w:r>
        <w:rPr>
          <w:rFonts w:cs="Arial"/>
        </w:rPr>
        <w:t>5</w:t>
      </w:r>
      <w:r w:rsidRPr="00865624">
        <w:rPr>
          <w:rFonts w:cs="Arial"/>
        </w:rPr>
        <w:t xml:space="preserve"> dnů ode dne podpisu této smlouvy v sídle Nabyvatele specifikovaném v záhlaví této smlouvy.</w:t>
      </w:r>
    </w:p>
    <w:p w14:paraId="14A5F15D" w14:textId="77777777" w:rsidR="00C03AF4" w:rsidRPr="00865624" w:rsidRDefault="00C03AF4" w:rsidP="00C03AF4">
      <w:pPr>
        <w:spacing w:after="180"/>
        <w:ind w:left="567"/>
        <w:jc w:val="both"/>
        <w:rPr>
          <w:rFonts w:cs="Arial"/>
        </w:rPr>
      </w:pPr>
      <w:r w:rsidRPr="00865624">
        <w:rPr>
          <w:rFonts w:cs="Arial"/>
        </w:rPr>
        <w:t xml:space="preserve">Předání nosiče s Informačním systémem HELIOS </w:t>
      </w:r>
      <w:r>
        <w:rPr>
          <w:rFonts w:cs="Arial"/>
        </w:rPr>
        <w:t>Nephrite</w:t>
      </w:r>
      <w:r w:rsidRPr="00865624">
        <w:rPr>
          <w:rFonts w:cs="Arial"/>
        </w:rPr>
        <w:t xml:space="preserve"> se zavazují Smluvní strany stvrdit podpisem odpovědných osob na Předávacím protokolu o Předání a převzetí Informačního systému HELIOS </w:t>
      </w:r>
      <w:r>
        <w:rPr>
          <w:rFonts w:cs="Arial"/>
        </w:rPr>
        <w:t>Nephrite</w:t>
      </w:r>
      <w:r w:rsidRPr="00865624">
        <w:rPr>
          <w:rFonts w:cs="Arial"/>
        </w:rPr>
        <w:t>.</w:t>
      </w:r>
    </w:p>
    <w:p w14:paraId="3D29319C" w14:textId="77777777" w:rsidR="00C03AF4" w:rsidRPr="00865624" w:rsidRDefault="00C03AF4" w:rsidP="00486D40">
      <w:pPr>
        <w:numPr>
          <w:ilvl w:val="1"/>
          <w:numId w:val="18"/>
        </w:numPr>
        <w:spacing w:after="180"/>
        <w:ind w:left="567" w:hanging="567"/>
        <w:jc w:val="both"/>
        <w:rPr>
          <w:rFonts w:cs="Arial"/>
        </w:rPr>
      </w:pPr>
      <w:r w:rsidRPr="00865624">
        <w:rPr>
          <w:rFonts w:cs="Arial"/>
        </w:rPr>
        <w:t>Poskytnutí Implementačních služeb se uskuteční postupně na základě věcného a časového Harmonogramu prací, který je nedílnou součástí této smlouvy. Harmonogram prací obsahuje časové milníky poskytování Implementačních služeb, které Smluvní strany považují za termíny dílčího plnění. Předání a Akceptaci dílčích plnění Smluvní strany vždy stvrdí v dílčích Předávacích a Akceptačních protokolech. Případné výhrady je Nabyvatel povinen písemně oznámit Poskytovateli v termínu uvedeném v harmonogramu, není-li uvedeno v harmonogramu, potom nejpozději do 5 (pěti) pracovních dnů ode dne uvedeného v příslušném Předávacím protokolu. Pokud Nabyvatel písemně neoznámí a nezdůvodní závažné nedostatky nebo vady vzhledem k povaze, kvalitě, nebo objemu poskytnutých služeb ve výše uvedené lhůtě, považují se služby v něm deklarované za řádně a včas poskytnuté a Nabyvatelem akceptované.</w:t>
      </w:r>
    </w:p>
    <w:p w14:paraId="706109AE" w14:textId="77777777" w:rsidR="00C03AF4" w:rsidRPr="00865624" w:rsidRDefault="00C03AF4" w:rsidP="00486D40">
      <w:pPr>
        <w:numPr>
          <w:ilvl w:val="1"/>
          <w:numId w:val="18"/>
        </w:numPr>
        <w:spacing w:after="180"/>
        <w:ind w:left="567" w:hanging="567"/>
        <w:jc w:val="both"/>
        <w:rPr>
          <w:rFonts w:cs="Arial"/>
        </w:rPr>
      </w:pPr>
      <w:r w:rsidRPr="00865624">
        <w:rPr>
          <w:rFonts w:cs="Arial"/>
        </w:rPr>
        <w:t>V rámci poskytnutí Implementačních služeb proběhne Akceptace funkčnosti Informačního systému. Akceptace funkčnosti je prováděna tak, aby vždy byla prověřena funkčnost předávané části nebo celého Informačního systému jako celku.</w:t>
      </w:r>
    </w:p>
    <w:p w14:paraId="55BD5A83" w14:textId="77777777" w:rsidR="00C03AF4" w:rsidRDefault="00C03AF4" w:rsidP="00486D40">
      <w:pPr>
        <w:numPr>
          <w:ilvl w:val="1"/>
          <w:numId w:val="18"/>
        </w:numPr>
        <w:spacing w:after="180"/>
        <w:ind w:left="567" w:hanging="567"/>
        <w:jc w:val="both"/>
        <w:rPr>
          <w:rFonts w:cs="Arial"/>
        </w:rPr>
      </w:pPr>
      <w:r w:rsidRPr="00865624">
        <w:rPr>
          <w:rFonts w:cs="Arial"/>
        </w:rPr>
        <w:t>Zjistí-li Nabyvatel v průběhu Akceptace funkčnosti chyby kategorie A, nebo více než 6 chyb kategorie B, je Poskytovatel povinen takové chyby odstranit v termínu dohodnutém Smluvními stranami. Nedohodnou-li Smluvní strany takový termín, je Poskytovatel povinen odstranit oznámené chyby kategorie B do 21 dnů ode dne oznámení a kategorie A bezprostředně po ukončení Akceptace funkčnosti.</w:t>
      </w:r>
    </w:p>
    <w:p w14:paraId="5C4628A2" w14:textId="77777777" w:rsidR="00C03AF4" w:rsidRPr="00DC31DD" w:rsidRDefault="00C03AF4" w:rsidP="00DC31DD">
      <w:pPr>
        <w:pStyle w:val="Smlouvaodstavec"/>
        <w:numPr>
          <w:ilvl w:val="0"/>
          <w:numId w:val="18"/>
        </w:numPr>
        <w:jc w:val="center"/>
        <w:rPr>
          <w:rFonts w:ascii="Calibri" w:hAnsi="Calibri" w:cs="Arial"/>
          <w:sz w:val="24"/>
          <w:szCs w:val="24"/>
        </w:rPr>
      </w:pPr>
      <w:r w:rsidRPr="00DC31DD">
        <w:rPr>
          <w:rFonts w:ascii="Calibri" w:hAnsi="Calibri" w:cs="Arial"/>
          <w:sz w:val="24"/>
          <w:szCs w:val="24"/>
        </w:rPr>
        <w:t>Cena a platební podmínky</w:t>
      </w:r>
    </w:p>
    <w:p w14:paraId="0A91AEEA" w14:textId="451DDB8B" w:rsidR="00C03AF4" w:rsidRDefault="00C03AF4" w:rsidP="00486D40">
      <w:pPr>
        <w:numPr>
          <w:ilvl w:val="1"/>
          <w:numId w:val="18"/>
        </w:numPr>
        <w:spacing w:after="180"/>
        <w:ind w:left="567" w:hanging="567"/>
        <w:jc w:val="both"/>
        <w:rPr>
          <w:rFonts w:cs="Arial"/>
        </w:rPr>
      </w:pPr>
      <w:r w:rsidRPr="00865624">
        <w:rPr>
          <w:rFonts w:cs="Arial"/>
        </w:rPr>
        <w:t xml:space="preserve">Smluvní strany sjednávají, že cena za oprávnění k výkonu práv k Informačnímu systému HELIOS </w:t>
      </w:r>
      <w:r>
        <w:rPr>
          <w:rFonts w:cs="Arial"/>
        </w:rPr>
        <w:t>Nephrite</w:t>
      </w:r>
      <w:r w:rsidRPr="00865624">
        <w:rPr>
          <w:rFonts w:cs="Arial"/>
        </w:rPr>
        <w:t xml:space="preserve"> ve smyslu </w:t>
      </w:r>
      <w:r>
        <w:rPr>
          <w:rFonts w:cs="Arial"/>
        </w:rPr>
        <w:t>odstavce</w:t>
      </w:r>
      <w:r w:rsidRPr="00865624">
        <w:rPr>
          <w:rFonts w:cs="Arial"/>
        </w:rPr>
        <w:t xml:space="preserve"> </w:t>
      </w:r>
      <w:r w:rsidRPr="00865624">
        <w:rPr>
          <w:rFonts w:cs="Arial"/>
        </w:rPr>
        <w:fldChar w:fldCharType="begin"/>
      </w:r>
      <w:r w:rsidRPr="00865624">
        <w:rPr>
          <w:rFonts w:cs="Arial"/>
        </w:rPr>
        <w:instrText xml:space="preserve"> REF _Ref355754074 \r \h  \* MERGEFORMAT </w:instrText>
      </w:r>
      <w:r w:rsidRPr="00865624">
        <w:rPr>
          <w:rFonts w:cs="Arial"/>
        </w:rPr>
      </w:r>
      <w:r w:rsidRPr="00865624">
        <w:rPr>
          <w:rFonts w:cs="Arial"/>
        </w:rPr>
        <w:fldChar w:fldCharType="separate"/>
      </w:r>
      <w:r w:rsidR="00F951F7">
        <w:rPr>
          <w:rFonts w:cs="Arial"/>
        </w:rPr>
        <w:t>3.1</w:t>
      </w:r>
      <w:r w:rsidRPr="00865624">
        <w:rPr>
          <w:rFonts w:cs="Arial"/>
        </w:rPr>
        <w:fldChar w:fldCharType="end"/>
      </w:r>
      <w:r w:rsidRPr="00865624">
        <w:rPr>
          <w:rFonts w:cs="Arial"/>
        </w:rPr>
        <w:t xml:space="preserve"> této smlouvy, tj. Licence samotného Informačního systému HELIOS </w:t>
      </w:r>
      <w:r>
        <w:rPr>
          <w:rFonts w:cs="Arial"/>
        </w:rPr>
        <w:t>Nephrite</w:t>
      </w:r>
      <w:r w:rsidRPr="00865624">
        <w:rPr>
          <w:rFonts w:cs="Arial"/>
        </w:rPr>
        <w:t xml:space="preserve">, je tvořena licenčním poplatkem ve výši </w:t>
      </w:r>
      <w:r>
        <w:rPr>
          <w:rFonts w:cs="Arial"/>
        </w:rPr>
        <w:t>727.313</w:t>
      </w:r>
      <w:r w:rsidRPr="00865624">
        <w:rPr>
          <w:rFonts w:cs="Arial"/>
        </w:rPr>
        <w:t>,</w:t>
      </w:r>
      <w:r w:rsidR="003F45F0">
        <w:rPr>
          <w:rFonts w:cs="Arial"/>
        </w:rPr>
        <w:t>00</w:t>
      </w:r>
      <w:r w:rsidRPr="00865624">
        <w:rPr>
          <w:rFonts w:cs="Arial"/>
        </w:rPr>
        <w:t xml:space="preserve"> Kč bez DPH, navýšeným o zákonnou sazbu DPH.</w:t>
      </w:r>
      <w:r>
        <w:rPr>
          <w:rFonts w:cs="Arial"/>
        </w:rPr>
        <w:t xml:space="preserve"> </w:t>
      </w:r>
    </w:p>
    <w:p w14:paraId="11EFF53E" w14:textId="285E5408" w:rsidR="00C03AF4" w:rsidRPr="00865624" w:rsidRDefault="00C03AF4" w:rsidP="00C03AF4">
      <w:pPr>
        <w:spacing w:after="180"/>
        <w:ind w:left="567"/>
        <w:jc w:val="both"/>
        <w:rPr>
          <w:rFonts w:cs="Arial"/>
        </w:rPr>
      </w:pPr>
      <w:r w:rsidRPr="00865624">
        <w:rPr>
          <w:rFonts w:cs="Arial"/>
        </w:rPr>
        <w:t xml:space="preserve">Smluvní strany sjednávají, že cena za Implementační služby ve smyslu </w:t>
      </w:r>
      <w:r>
        <w:rPr>
          <w:rFonts w:cs="Arial"/>
        </w:rPr>
        <w:t>odstavce</w:t>
      </w:r>
      <w:r w:rsidRPr="00E53B25">
        <w:rPr>
          <w:rFonts w:cs="Arial"/>
        </w:rPr>
        <w:t xml:space="preserve"> </w:t>
      </w:r>
      <w:r w:rsidRPr="00865624">
        <w:rPr>
          <w:rFonts w:cs="Arial"/>
        </w:rPr>
        <w:fldChar w:fldCharType="begin"/>
      </w:r>
      <w:r w:rsidRPr="00865624">
        <w:rPr>
          <w:rFonts w:cs="Arial"/>
        </w:rPr>
        <w:instrText xml:space="preserve"> REF _Ref355754138 \r \h  \* MERGEFORMAT </w:instrText>
      </w:r>
      <w:r w:rsidRPr="00865624">
        <w:rPr>
          <w:rFonts w:cs="Arial"/>
        </w:rPr>
      </w:r>
      <w:r w:rsidRPr="00865624">
        <w:rPr>
          <w:rFonts w:cs="Arial"/>
        </w:rPr>
        <w:fldChar w:fldCharType="separate"/>
      </w:r>
      <w:r w:rsidR="00F951F7">
        <w:rPr>
          <w:rFonts w:cs="Arial"/>
        </w:rPr>
        <w:t>3.2</w:t>
      </w:r>
      <w:r w:rsidRPr="00865624">
        <w:rPr>
          <w:rFonts w:cs="Arial"/>
        </w:rPr>
        <w:fldChar w:fldCharType="end"/>
      </w:r>
      <w:r w:rsidRPr="00865624">
        <w:rPr>
          <w:rFonts w:cs="Arial"/>
        </w:rPr>
        <w:t xml:space="preserve"> této smlouvy je v celkové výši </w:t>
      </w:r>
      <w:r>
        <w:rPr>
          <w:rFonts w:cs="Arial"/>
        </w:rPr>
        <w:t>600.000</w:t>
      </w:r>
      <w:r w:rsidRPr="00865624">
        <w:rPr>
          <w:rFonts w:cs="Arial"/>
        </w:rPr>
        <w:t>,</w:t>
      </w:r>
      <w:r w:rsidR="003F45F0">
        <w:rPr>
          <w:rFonts w:cs="Arial"/>
        </w:rPr>
        <w:t>00</w:t>
      </w:r>
      <w:r w:rsidRPr="00865624">
        <w:rPr>
          <w:rFonts w:cs="Arial"/>
        </w:rPr>
        <w:t xml:space="preserve"> Kč bez DPH, navýšenou o zákonnou sazbu DPH. </w:t>
      </w:r>
    </w:p>
    <w:p w14:paraId="3DA001C6" w14:textId="7671FA6C" w:rsidR="00C03AF4" w:rsidRDefault="00C03AF4" w:rsidP="00486D40">
      <w:pPr>
        <w:numPr>
          <w:ilvl w:val="1"/>
          <w:numId w:val="18"/>
        </w:numPr>
        <w:spacing w:after="180"/>
        <w:ind w:left="567" w:hanging="567"/>
        <w:jc w:val="both"/>
        <w:rPr>
          <w:rFonts w:cs="Arial"/>
        </w:rPr>
      </w:pPr>
      <w:bookmarkStart w:id="9" w:name="_Ref360517058"/>
      <w:r>
        <w:rPr>
          <w:rFonts w:cs="Arial"/>
        </w:rPr>
        <w:t>Cena licence MS SQL Serveru je v celkové výši 93.277,</w:t>
      </w:r>
      <w:r w:rsidR="003F45F0">
        <w:rPr>
          <w:rFonts w:cs="Arial"/>
        </w:rPr>
        <w:t>00</w:t>
      </w:r>
      <w:r>
        <w:rPr>
          <w:rFonts w:cs="Arial"/>
        </w:rPr>
        <w:t xml:space="preserve"> Kč bez DPH a je splatná současně s licenčním poplatkem HEIOL Nephrite.</w:t>
      </w:r>
    </w:p>
    <w:p w14:paraId="3E70CFE3" w14:textId="036E0B9C" w:rsidR="00C03AF4" w:rsidRPr="00865624" w:rsidRDefault="00C03AF4" w:rsidP="00486D40">
      <w:pPr>
        <w:numPr>
          <w:ilvl w:val="1"/>
          <w:numId w:val="18"/>
        </w:numPr>
        <w:spacing w:after="180"/>
        <w:ind w:left="567" w:hanging="567"/>
        <w:jc w:val="both"/>
        <w:rPr>
          <w:rFonts w:cs="Arial"/>
        </w:rPr>
      </w:pPr>
      <w:r w:rsidRPr="00865624">
        <w:rPr>
          <w:rFonts w:cs="Arial"/>
        </w:rPr>
        <w:t xml:space="preserve">Smluvní strany sjednávají, že cena za Údržbu HELIOS </w:t>
      </w:r>
      <w:r>
        <w:rPr>
          <w:rFonts w:cs="Arial"/>
        </w:rPr>
        <w:t>Nephrite</w:t>
      </w:r>
      <w:r w:rsidRPr="00865624">
        <w:rPr>
          <w:rFonts w:cs="Arial"/>
        </w:rPr>
        <w:t xml:space="preserve"> ve smyslu </w:t>
      </w:r>
      <w:r>
        <w:rPr>
          <w:rFonts w:cs="Arial"/>
        </w:rPr>
        <w:t>odstavce</w:t>
      </w:r>
      <w:r w:rsidRPr="00E53B25">
        <w:rPr>
          <w:rFonts w:cs="Arial"/>
        </w:rPr>
        <w:t xml:space="preserve"> </w:t>
      </w:r>
      <w:r w:rsidRPr="00865624">
        <w:rPr>
          <w:rFonts w:cs="Arial"/>
        </w:rPr>
        <w:fldChar w:fldCharType="begin"/>
      </w:r>
      <w:r w:rsidRPr="00865624">
        <w:rPr>
          <w:rFonts w:cs="Arial"/>
        </w:rPr>
        <w:instrText xml:space="preserve"> REF _Ref355754171 \r \h  \* MERGEFORMAT </w:instrText>
      </w:r>
      <w:r w:rsidRPr="00865624">
        <w:rPr>
          <w:rFonts w:cs="Arial"/>
        </w:rPr>
      </w:r>
      <w:r w:rsidRPr="00865624">
        <w:rPr>
          <w:rFonts w:cs="Arial"/>
        </w:rPr>
        <w:fldChar w:fldCharType="separate"/>
      </w:r>
      <w:r w:rsidR="00F951F7">
        <w:rPr>
          <w:rFonts w:cs="Arial"/>
        </w:rPr>
        <w:t>3.3</w:t>
      </w:r>
      <w:r w:rsidRPr="00865624">
        <w:rPr>
          <w:rFonts w:cs="Arial"/>
        </w:rPr>
        <w:fldChar w:fldCharType="end"/>
      </w:r>
      <w:r w:rsidRPr="00865624">
        <w:rPr>
          <w:rFonts w:cs="Arial"/>
        </w:rPr>
        <w:t xml:space="preserve"> této smlouvy je tvořena paušální cenou </w:t>
      </w:r>
      <w:r>
        <w:rPr>
          <w:rFonts w:cs="Arial"/>
        </w:rPr>
        <w:t>ve</w:t>
      </w:r>
      <w:r w:rsidRPr="00865624">
        <w:rPr>
          <w:rFonts w:cs="Arial"/>
        </w:rPr>
        <w:t xml:space="preserve"> výši </w:t>
      </w:r>
      <w:r>
        <w:rPr>
          <w:rFonts w:cs="Arial"/>
        </w:rPr>
        <w:t>474.100</w:t>
      </w:r>
      <w:r w:rsidRPr="00865624">
        <w:rPr>
          <w:rFonts w:cs="Arial"/>
        </w:rPr>
        <w:t>,</w:t>
      </w:r>
      <w:r w:rsidR="003F45F0">
        <w:rPr>
          <w:rFonts w:cs="Arial"/>
        </w:rPr>
        <w:t>00</w:t>
      </w:r>
      <w:r w:rsidRPr="00865624">
        <w:rPr>
          <w:rFonts w:cs="Arial"/>
        </w:rPr>
        <w:t xml:space="preserve"> Kč bez DPH</w:t>
      </w:r>
      <w:r>
        <w:rPr>
          <w:rFonts w:cs="Arial"/>
        </w:rPr>
        <w:t xml:space="preserve"> za 2 roky</w:t>
      </w:r>
      <w:r w:rsidRPr="00865624">
        <w:rPr>
          <w:rFonts w:cs="Arial"/>
        </w:rPr>
        <w:t xml:space="preserve">, navýšena o zákonnou sazbu DPH. </w:t>
      </w:r>
      <w:r>
        <w:rPr>
          <w:rFonts w:cs="Arial"/>
        </w:rPr>
        <w:t>Cena za údržbu je fakturována v měsíčních splátkách.</w:t>
      </w:r>
      <w:bookmarkEnd w:id="9"/>
    </w:p>
    <w:p w14:paraId="08E411D5" w14:textId="77777777" w:rsidR="00C03AF4" w:rsidRPr="00FC2C7F" w:rsidRDefault="00C03AF4" w:rsidP="00486D40">
      <w:pPr>
        <w:numPr>
          <w:ilvl w:val="1"/>
          <w:numId w:val="18"/>
        </w:numPr>
        <w:spacing w:after="180"/>
        <w:ind w:left="567" w:hanging="567"/>
        <w:jc w:val="both"/>
        <w:rPr>
          <w:rFonts w:cs="Arial"/>
        </w:rPr>
      </w:pPr>
      <w:r w:rsidRPr="00FC2C7F">
        <w:rPr>
          <w:rFonts w:cs="Arial"/>
        </w:rPr>
        <w:lastRenderedPageBreak/>
        <w:t xml:space="preserve">Nabyvateli budou na základě této smlouvy poskytovány další služby podpory ve sjednaném </w:t>
      </w:r>
      <w:r w:rsidRPr="00D654AB">
        <w:rPr>
          <w:rFonts w:cs="Arial"/>
        </w:rPr>
        <w:t>rozsahu 0 hodin měsíčně.</w:t>
      </w:r>
      <w:r w:rsidRPr="00FC2C7F">
        <w:rPr>
          <w:rFonts w:cs="Arial"/>
        </w:rPr>
        <w:t xml:space="preserve"> Jedná se o tyto služby:</w:t>
      </w:r>
    </w:p>
    <w:p w14:paraId="308CCE1B" w14:textId="77777777" w:rsidR="00C03AF4" w:rsidRPr="00865624" w:rsidRDefault="00C03AF4" w:rsidP="00486D40">
      <w:pPr>
        <w:numPr>
          <w:ilvl w:val="0"/>
          <w:numId w:val="19"/>
        </w:numPr>
        <w:tabs>
          <w:tab w:val="clear" w:pos="720"/>
          <w:tab w:val="num" w:pos="1276"/>
        </w:tabs>
        <w:spacing w:after="180"/>
        <w:ind w:left="1276" w:hanging="425"/>
        <w:jc w:val="both"/>
      </w:pPr>
      <w:r w:rsidRPr="00865624">
        <w:t xml:space="preserve">rozšiřující školení uživatelů HELIOS </w:t>
      </w:r>
      <w:r>
        <w:t>Nephrite</w:t>
      </w:r>
      <w:r w:rsidRPr="00865624">
        <w:t xml:space="preserve"> Nabyvatele a konzultace k</w:t>
      </w:r>
      <w:r>
        <w:t> </w:t>
      </w:r>
      <w:r w:rsidRPr="00865624">
        <w:t>jednotlivým modulům,</w:t>
      </w:r>
    </w:p>
    <w:p w14:paraId="24CB9E5A" w14:textId="77777777" w:rsidR="00C03AF4" w:rsidRPr="00865624" w:rsidRDefault="00C03AF4" w:rsidP="00486D40">
      <w:pPr>
        <w:numPr>
          <w:ilvl w:val="0"/>
          <w:numId w:val="19"/>
        </w:numPr>
        <w:tabs>
          <w:tab w:val="clear" w:pos="720"/>
          <w:tab w:val="num" w:pos="1276"/>
        </w:tabs>
        <w:spacing w:after="180"/>
        <w:ind w:left="1276" w:hanging="425"/>
        <w:jc w:val="both"/>
      </w:pPr>
      <w:r w:rsidRPr="00865624">
        <w:t xml:space="preserve">poradenská služba při rozvoji používání HELIOS </w:t>
      </w:r>
      <w:r>
        <w:t>Nephrite</w:t>
      </w:r>
      <w:r w:rsidRPr="00865624">
        <w:t>,</w:t>
      </w:r>
    </w:p>
    <w:p w14:paraId="3286B38B" w14:textId="77777777" w:rsidR="00C03AF4" w:rsidRPr="00865624" w:rsidRDefault="00C03AF4" w:rsidP="00486D40">
      <w:pPr>
        <w:numPr>
          <w:ilvl w:val="0"/>
          <w:numId w:val="19"/>
        </w:numPr>
        <w:tabs>
          <w:tab w:val="clear" w:pos="720"/>
          <w:tab w:val="num" w:pos="1276"/>
        </w:tabs>
        <w:spacing w:after="180"/>
        <w:ind w:left="1276" w:hanging="425"/>
        <w:jc w:val="both"/>
      </w:pPr>
      <w:r w:rsidRPr="00865624">
        <w:t>procesní analýzy a optimalizovaný návrh logického modelu firemních procesů,</w:t>
      </w:r>
    </w:p>
    <w:p w14:paraId="74A2B4F5" w14:textId="77777777" w:rsidR="00C03AF4" w:rsidRPr="00865624" w:rsidRDefault="00C03AF4" w:rsidP="00486D40">
      <w:pPr>
        <w:numPr>
          <w:ilvl w:val="0"/>
          <w:numId w:val="19"/>
        </w:numPr>
        <w:tabs>
          <w:tab w:val="clear" w:pos="720"/>
          <w:tab w:val="num" w:pos="1276"/>
        </w:tabs>
        <w:spacing w:after="180"/>
        <w:ind w:left="1276" w:hanging="425"/>
        <w:jc w:val="both"/>
      </w:pPr>
      <w:r w:rsidRPr="00865624">
        <w:t xml:space="preserve">provedení základního upgrade HELIOS </w:t>
      </w:r>
      <w:r>
        <w:t>Nephrite</w:t>
      </w:r>
      <w:r w:rsidRPr="00865624">
        <w:t xml:space="preserve"> v</w:t>
      </w:r>
      <w:r>
        <w:t> </w:t>
      </w:r>
      <w:r w:rsidRPr="00865624">
        <w:t>rozsahu vymezeném v</w:t>
      </w:r>
      <w:r>
        <w:t> </w:t>
      </w:r>
      <w:r w:rsidRPr="00865624">
        <w:t xml:space="preserve">dokumentaci HELIOS </w:t>
      </w:r>
      <w:r>
        <w:t>Nephrite</w:t>
      </w:r>
    </w:p>
    <w:p w14:paraId="21051690" w14:textId="77777777" w:rsidR="00C03AF4" w:rsidRPr="00865624" w:rsidRDefault="00C03AF4" w:rsidP="00486D40">
      <w:pPr>
        <w:numPr>
          <w:ilvl w:val="0"/>
          <w:numId w:val="19"/>
        </w:numPr>
        <w:tabs>
          <w:tab w:val="clear" w:pos="720"/>
          <w:tab w:val="num" w:pos="1276"/>
        </w:tabs>
        <w:spacing w:after="180"/>
        <w:ind w:left="1276" w:hanging="425"/>
        <w:jc w:val="both"/>
      </w:pPr>
      <w:r w:rsidRPr="00865624">
        <w:t>jakékoli další služby, na kterých se Nabyvatel a Poskytovatel dohodnou.</w:t>
      </w:r>
    </w:p>
    <w:p w14:paraId="5B3F5A04" w14:textId="77777777" w:rsidR="00C03AF4" w:rsidRPr="00865624" w:rsidRDefault="00C03AF4" w:rsidP="00486D40">
      <w:pPr>
        <w:numPr>
          <w:ilvl w:val="1"/>
          <w:numId w:val="18"/>
        </w:numPr>
        <w:spacing w:after="180"/>
        <w:ind w:left="567" w:hanging="567"/>
        <w:jc w:val="both"/>
        <w:rPr>
          <w:rFonts w:cs="Arial"/>
        </w:rPr>
      </w:pPr>
      <w:r w:rsidRPr="00865624">
        <w:rPr>
          <w:rFonts w:cs="Arial"/>
        </w:rPr>
        <w:t>Smluvní strany sjednávají, že výše citované sjednané ceny za předmět plnění uhradí Nabyvatel prostřednictvím faktur takto:</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8"/>
        <w:gridCol w:w="3013"/>
      </w:tblGrid>
      <w:tr w:rsidR="00C03AF4" w:rsidRPr="00865624" w14:paraId="04E9FF4C" w14:textId="77777777" w:rsidTr="000F2E84">
        <w:trPr>
          <w:trHeight w:hRule="exact" w:val="397"/>
        </w:trPr>
        <w:tc>
          <w:tcPr>
            <w:tcW w:w="5918" w:type="dxa"/>
            <w:shd w:val="clear" w:color="auto" w:fill="00B0F0"/>
            <w:vAlign w:val="center"/>
          </w:tcPr>
          <w:p w14:paraId="286D4523" w14:textId="77777777" w:rsidR="00C03AF4" w:rsidRPr="00865624" w:rsidRDefault="00C03AF4" w:rsidP="000F2E84">
            <w:pPr>
              <w:rPr>
                <w:b/>
                <w:color w:val="FFFFFF"/>
              </w:rPr>
            </w:pPr>
            <w:r w:rsidRPr="00865624">
              <w:rPr>
                <w:b/>
                <w:color w:val="FFFFFF"/>
              </w:rPr>
              <w:t>Fakturační milník</w:t>
            </w:r>
          </w:p>
        </w:tc>
        <w:tc>
          <w:tcPr>
            <w:tcW w:w="3013" w:type="dxa"/>
            <w:shd w:val="clear" w:color="auto" w:fill="00B0F0"/>
            <w:vAlign w:val="center"/>
          </w:tcPr>
          <w:p w14:paraId="030228F5" w14:textId="77777777" w:rsidR="00C03AF4" w:rsidRPr="00865624" w:rsidRDefault="00C03AF4" w:rsidP="000F2E84">
            <w:pPr>
              <w:rPr>
                <w:b/>
                <w:color w:val="FFFFFF"/>
              </w:rPr>
            </w:pPr>
            <w:r w:rsidRPr="00865624">
              <w:rPr>
                <w:b/>
                <w:color w:val="FFFFFF"/>
              </w:rPr>
              <w:t>Částka bez DPH</w:t>
            </w:r>
          </w:p>
        </w:tc>
      </w:tr>
      <w:tr w:rsidR="00C03AF4" w:rsidRPr="00FC2C7F" w14:paraId="0AFBBF00" w14:textId="77777777" w:rsidTr="000F2E84">
        <w:trPr>
          <w:trHeight w:hRule="exact" w:val="397"/>
        </w:trPr>
        <w:tc>
          <w:tcPr>
            <w:tcW w:w="5918" w:type="dxa"/>
            <w:vAlign w:val="center"/>
          </w:tcPr>
          <w:p w14:paraId="1FF3B43F" w14:textId="77777777" w:rsidR="00C03AF4" w:rsidRPr="00FC2C7F" w:rsidRDefault="00C03AF4" w:rsidP="000F2E84">
            <w:r w:rsidRPr="00FC2C7F">
              <w:t>Licence při podpisu smlouvy</w:t>
            </w:r>
            <w:r>
              <w:t xml:space="preserve"> (zádržné z úhrady 20 %)</w:t>
            </w:r>
          </w:p>
        </w:tc>
        <w:tc>
          <w:tcPr>
            <w:tcW w:w="3013" w:type="dxa"/>
            <w:vAlign w:val="center"/>
          </w:tcPr>
          <w:p w14:paraId="635690BE" w14:textId="363983FA" w:rsidR="00C03AF4" w:rsidRPr="00FC2C7F" w:rsidRDefault="00C03AF4" w:rsidP="000F2E84">
            <w:r>
              <w:t>727.31</w:t>
            </w:r>
            <w:r w:rsidR="003F45F0">
              <w:t>2</w:t>
            </w:r>
            <w:r>
              <w:t>,</w:t>
            </w:r>
            <w:r w:rsidR="003F45F0">
              <w:t>50</w:t>
            </w:r>
            <w:r>
              <w:t xml:space="preserve"> Kč bez DPH</w:t>
            </w:r>
          </w:p>
        </w:tc>
      </w:tr>
      <w:tr w:rsidR="00C03AF4" w:rsidRPr="00FC2C7F" w14:paraId="53001F27" w14:textId="77777777" w:rsidTr="000F2E84">
        <w:trPr>
          <w:trHeight w:hRule="exact" w:val="803"/>
        </w:trPr>
        <w:tc>
          <w:tcPr>
            <w:tcW w:w="5918" w:type="dxa"/>
            <w:vAlign w:val="center"/>
          </w:tcPr>
          <w:p w14:paraId="76DB296E" w14:textId="77777777" w:rsidR="00C03AF4" w:rsidRDefault="00C03AF4" w:rsidP="000F2E84">
            <w:r>
              <w:t xml:space="preserve">Licence runtime MS SQL Serveru </w:t>
            </w:r>
            <w:r w:rsidRPr="00FC2C7F">
              <w:t>při podpisu smlouvy</w:t>
            </w:r>
          </w:p>
          <w:p w14:paraId="50D15746" w14:textId="77777777" w:rsidR="00C03AF4" w:rsidRPr="00FC2C7F" w:rsidRDefault="00C03AF4" w:rsidP="000F2E84">
            <w:r>
              <w:t>Na tuto fakturu nelze uplatnit zádržné – bude uhrazena v plné výši</w:t>
            </w:r>
          </w:p>
        </w:tc>
        <w:tc>
          <w:tcPr>
            <w:tcW w:w="3013" w:type="dxa"/>
            <w:vAlign w:val="center"/>
          </w:tcPr>
          <w:p w14:paraId="0A0DEB14" w14:textId="12C0E7AB" w:rsidR="00C03AF4" w:rsidRDefault="00C03AF4" w:rsidP="000F2E84">
            <w:r>
              <w:t>93.277,</w:t>
            </w:r>
            <w:r w:rsidR="003F45F0">
              <w:t>00</w:t>
            </w:r>
            <w:r>
              <w:t xml:space="preserve"> Kč bez DPH</w:t>
            </w:r>
          </w:p>
        </w:tc>
      </w:tr>
      <w:tr w:rsidR="00C03AF4" w:rsidRPr="00FC2C7F" w14:paraId="5900189B" w14:textId="77777777" w:rsidTr="000F2E84">
        <w:trPr>
          <w:trHeight w:hRule="exact" w:val="643"/>
        </w:trPr>
        <w:tc>
          <w:tcPr>
            <w:tcW w:w="5918" w:type="dxa"/>
            <w:vAlign w:val="center"/>
          </w:tcPr>
          <w:p w14:paraId="46B8008C" w14:textId="77777777" w:rsidR="00C03AF4" w:rsidRPr="00FC2C7F" w:rsidRDefault="00C03AF4" w:rsidP="000F2E84">
            <w:r>
              <w:t>Spuštění rutinního provozu od 01.01.2022 (zádržné z úhrady 20 %)</w:t>
            </w:r>
          </w:p>
        </w:tc>
        <w:tc>
          <w:tcPr>
            <w:tcW w:w="3013" w:type="dxa"/>
            <w:vAlign w:val="center"/>
          </w:tcPr>
          <w:p w14:paraId="1BF9CB7C" w14:textId="665D3E6C" w:rsidR="00C03AF4" w:rsidRPr="00FC2C7F" w:rsidRDefault="003F45F0" w:rsidP="000F2E84">
            <w:r>
              <w:t>6</w:t>
            </w:r>
            <w:r w:rsidR="00C03AF4">
              <w:t>0</w:t>
            </w:r>
            <w:r>
              <w:t>0</w:t>
            </w:r>
            <w:r w:rsidR="00C03AF4">
              <w:t>.</w:t>
            </w:r>
            <w:r>
              <w:t>0</w:t>
            </w:r>
            <w:r w:rsidR="00C03AF4">
              <w:t>00,</w:t>
            </w:r>
            <w:r>
              <w:t>00</w:t>
            </w:r>
            <w:r w:rsidR="00C03AF4">
              <w:t xml:space="preserve"> Kč bez DPH</w:t>
            </w:r>
          </w:p>
        </w:tc>
      </w:tr>
      <w:tr w:rsidR="00C03AF4" w:rsidRPr="00FC2C7F" w14:paraId="77640D18" w14:textId="77777777" w:rsidTr="000F2E84">
        <w:trPr>
          <w:trHeight w:hRule="exact" w:val="1297"/>
        </w:trPr>
        <w:tc>
          <w:tcPr>
            <w:tcW w:w="5918" w:type="dxa"/>
            <w:vAlign w:val="center"/>
          </w:tcPr>
          <w:p w14:paraId="73BCD3DD" w14:textId="77777777" w:rsidR="00C03AF4" w:rsidRDefault="00C03AF4" w:rsidP="000F2E84">
            <w:r>
              <w:t>Zádržně 20 % k 30.04.2022 (nejedná se o fakturu / fakturační milník, ale o doplatek obou faktur</w:t>
            </w:r>
          </w:p>
          <w:p w14:paraId="2E18B228" w14:textId="77777777" w:rsidR="00C03AF4" w:rsidRDefault="00C03AF4" w:rsidP="000F2E84">
            <w:r>
              <w:t>Nabyvatel v obou fakturačních milnících zaplatí 80 % fakturované částky (20 = činí zádržné)</w:t>
            </w:r>
          </w:p>
        </w:tc>
        <w:tc>
          <w:tcPr>
            <w:tcW w:w="3013" w:type="dxa"/>
            <w:vAlign w:val="center"/>
          </w:tcPr>
          <w:p w14:paraId="04777F87" w14:textId="77777777" w:rsidR="00C03AF4" w:rsidRDefault="00C03AF4" w:rsidP="000F2E84"/>
        </w:tc>
      </w:tr>
    </w:tbl>
    <w:p w14:paraId="5457549E" w14:textId="77777777" w:rsidR="00C03AF4" w:rsidRPr="00865624" w:rsidRDefault="00C03AF4" w:rsidP="00C03AF4">
      <w:pPr>
        <w:spacing w:after="120"/>
        <w:rPr>
          <w:sz w:val="8"/>
          <w:szCs w:val="8"/>
          <w:highlight w:val="yellow"/>
        </w:rPr>
      </w:pPr>
    </w:p>
    <w:p w14:paraId="355617D4" w14:textId="3B048D04" w:rsidR="00C03AF4" w:rsidRPr="00865624" w:rsidRDefault="00C03AF4" w:rsidP="00486D40">
      <w:pPr>
        <w:numPr>
          <w:ilvl w:val="1"/>
          <w:numId w:val="18"/>
        </w:numPr>
        <w:spacing w:after="180"/>
        <w:ind w:left="567" w:hanging="567"/>
        <w:jc w:val="both"/>
        <w:rPr>
          <w:rFonts w:cs="Arial"/>
        </w:rPr>
      </w:pPr>
      <w:r w:rsidRPr="00865624">
        <w:rPr>
          <w:rFonts w:cs="Arial"/>
        </w:rPr>
        <w:t xml:space="preserve">Nabyvatel je oprávněn objednat podle potřeby služby nad rámec této smlouvy, přičemž cena za poskytnutí takových služeb je Poskytovatelem kalkulována při použití sazeb uvedených v ceníku služeb HELIOS </w:t>
      </w:r>
      <w:r>
        <w:rPr>
          <w:rFonts w:cs="Arial"/>
        </w:rPr>
        <w:t>Nephrite</w:t>
      </w:r>
      <w:r w:rsidRPr="00865624">
        <w:rPr>
          <w:rFonts w:cs="Arial"/>
        </w:rPr>
        <w:t xml:space="preserve">, jenž je nedílnou součástí této smlouvy jako Příloha č. </w:t>
      </w:r>
      <w:r w:rsidR="004C33FB">
        <w:rPr>
          <w:rFonts w:cs="Arial"/>
        </w:rPr>
        <w:t>4</w:t>
      </w:r>
      <w:r w:rsidRPr="00865624">
        <w:rPr>
          <w:rFonts w:cs="Arial"/>
        </w:rPr>
        <w:t>. V souvislosti s tím Nabyvatel souhlasí s takto stanoveným navýšením cen uvedených v předchozích ustanoveních tohoto článku a zavazuje se k jejich úhradě.</w:t>
      </w:r>
      <w:r>
        <w:rPr>
          <w:rFonts w:cs="Arial"/>
        </w:rPr>
        <w:t xml:space="preserve"> </w:t>
      </w:r>
    </w:p>
    <w:p w14:paraId="42DCDF1B" w14:textId="77777777" w:rsidR="00C03AF4" w:rsidRPr="00865624" w:rsidRDefault="00C03AF4" w:rsidP="00486D40">
      <w:pPr>
        <w:numPr>
          <w:ilvl w:val="1"/>
          <w:numId w:val="18"/>
        </w:numPr>
        <w:spacing w:after="180"/>
        <w:ind w:left="567" w:hanging="567"/>
        <w:jc w:val="both"/>
        <w:rPr>
          <w:rFonts w:cs="Arial"/>
        </w:rPr>
      </w:pPr>
      <w:r w:rsidRPr="00865624">
        <w:rPr>
          <w:rFonts w:cs="Arial"/>
        </w:rPr>
        <w:t>Smluvní strany sjednávají splatnost faktur na 14 dní ode dne jejich vystavení.</w:t>
      </w:r>
    </w:p>
    <w:p w14:paraId="2E67E667" w14:textId="77777777" w:rsidR="00C03AF4" w:rsidRPr="00865624" w:rsidRDefault="00C03AF4" w:rsidP="00486D40">
      <w:pPr>
        <w:numPr>
          <w:ilvl w:val="1"/>
          <w:numId w:val="18"/>
        </w:numPr>
        <w:spacing w:after="180"/>
        <w:ind w:left="567" w:hanging="567"/>
        <w:jc w:val="both"/>
        <w:rPr>
          <w:rFonts w:cs="Arial"/>
        </w:rPr>
      </w:pPr>
      <w:r w:rsidRPr="00865624">
        <w:rPr>
          <w:rFonts w:cs="Arial"/>
        </w:rPr>
        <w:t xml:space="preserve">Pokud Nabyvatel neuhradí licenční poplatek do 30 kalendářních dnů ode dne splatnosti uvedené na příslušné faktuře, je Poskytovatel oprávněn od této smlouvy odstoupit s takovým důsledkem, že Nabyvatel okamžikem takového odstoupení ztrácí poskytnuté oprávnění k výkonu práv k Informačnímu systému HELIOS </w:t>
      </w:r>
      <w:r>
        <w:rPr>
          <w:rFonts w:cs="Arial"/>
        </w:rPr>
        <w:t>Nephrite</w:t>
      </w:r>
      <w:r w:rsidRPr="00865624">
        <w:rPr>
          <w:rFonts w:cs="Arial"/>
        </w:rPr>
        <w:t>. Nabyvatel prohlašuje, že si je vědom, že okamžikem takového odstoupení od této smlouvy ztrácí právo dílo užít ve smyslu ustanovení § 12 a násl. zákona o autorských právech č. 121/2000 Sb.</w:t>
      </w:r>
    </w:p>
    <w:p w14:paraId="62FEBDDB" w14:textId="77777777" w:rsidR="00C03AF4" w:rsidRPr="008C30F9" w:rsidRDefault="00C03AF4" w:rsidP="00C03AF4">
      <w:pPr>
        <w:spacing w:after="180"/>
        <w:ind w:left="567"/>
        <w:jc w:val="both"/>
        <w:rPr>
          <w:rFonts w:cs="Arial"/>
        </w:rPr>
      </w:pPr>
      <w:r w:rsidRPr="008C30F9">
        <w:rPr>
          <w:rFonts w:cs="Arial"/>
        </w:rPr>
        <w:t xml:space="preserve">Poskytovatel je oprávněn pozastavit plnění Implementačních služeb v případě, že Nabyvatel bude v prodlení s úhradou jakékoliv dlužné částky vůči Poskytovateli déle než 20 dní po lhůtě splatnosti. Na tuto skutečnost, tj. na pozastavení plnění povinností je Poskytovatel povinen Nabyvatele písemně upozornit. Poskytovatel je povinen plnění pozastavených povinností opětovně zahájit nejpozději do uplynutí 3 pracovních dnů ode dne úhrady dlužných částek (pro jejichž prodlení došlo k pozastavení) Nabyvatelem, nedohodnou-li se Smluvní strany jinak. Sjednané termíny plnění se přiměřeně prodlouží, a to o dobu prodlení, po kterou Poskytovatel v souladu s ujednáním tohoto ustanovení pozastavil plnění svých povinností. </w:t>
      </w:r>
    </w:p>
    <w:p w14:paraId="11D710C3" w14:textId="77777777" w:rsidR="00C03AF4" w:rsidRPr="00DC31DD" w:rsidRDefault="00C03AF4" w:rsidP="00DC31DD">
      <w:pPr>
        <w:pStyle w:val="Smlouvaodstavec"/>
        <w:numPr>
          <w:ilvl w:val="0"/>
          <w:numId w:val="18"/>
        </w:numPr>
        <w:jc w:val="center"/>
        <w:rPr>
          <w:rFonts w:ascii="Calibri" w:hAnsi="Calibri" w:cs="Arial"/>
          <w:sz w:val="24"/>
          <w:szCs w:val="24"/>
        </w:rPr>
      </w:pPr>
      <w:r w:rsidRPr="00DC31DD">
        <w:rPr>
          <w:rFonts w:ascii="Calibri" w:hAnsi="Calibri" w:cs="Arial"/>
          <w:sz w:val="24"/>
          <w:szCs w:val="24"/>
        </w:rPr>
        <w:lastRenderedPageBreak/>
        <w:t>Záruka, reklamace a podmínky pro platnost záruky</w:t>
      </w:r>
    </w:p>
    <w:p w14:paraId="02AACB28" w14:textId="77777777" w:rsidR="00C03AF4" w:rsidRPr="00A54765" w:rsidRDefault="00C03AF4" w:rsidP="00486D40">
      <w:pPr>
        <w:numPr>
          <w:ilvl w:val="1"/>
          <w:numId w:val="18"/>
        </w:numPr>
        <w:spacing w:after="180"/>
        <w:ind w:left="567" w:hanging="567"/>
        <w:jc w:val="both"/>
        <w:rPr>
          <w:rFonts w:cs="Arial"/>
        </w:rPr>
      </w:pPr>
      <w:r w:rsidRPr="00A54765">
        <w:rPr>
          <w:rFonts w:cs="Arial"/>
        </w:rPr>
        <w:t>Poskytovatel garantuje funkčnost dodaného Informačního systému HEL</w:t>
      </w:r>
      <w:r w:rsidRPr="00865624">
        <w:rPr>
          <w:rFonts w:cs="Arial"/>
        </w:rPr>
        <w:t>I</w:t>
      </w:r>
      <w:r w:rsidRPr="00A54765">
        <w:rPr>
          <w:rFonts w:cs="Arial"/>
        </w:rPr>
        <w:t xml:space="preserve">OS </w:t>
      </w:r>
      <w:r>
        <w:rPr>
          <w:rFonts w:cs="Arial"/>
        </w:rPr>
        <w:t>Nephrite</w:t>
      </w:r>
      <w:r w:rsidRPr="00A54765">
        <w:rPr>
          <w:rFonts w:cs="Arial"/>
        </w:rPr>
        <w:t xml:space="preserve">, která plně odpovídá funkčnosti popsané v dodané elektronické Dokumentaci. V případě Reklamovatelných chyb (nesoulad s dodanou elektronickou dokumentací) Informačního systému HELIOS </w:t>
      </w:r>
      <w:r>
        <w:rPr>
          <w:rFonts w:cs="Arial"/>
        </w:rPr>
        <w:t>Nephrite</w:t>
      </w:r>
      <w:r w:rsidRPr="00A54765">
        <w:rPr>
          <w:rFonts w:cs="Arial"/>
        </w:rPr>
        <w:t>, je Nabyvatel opr</w:t>
      </w:r>
      <w:r w:rsidRPr="00865624">
        <w:rPr>
          <w:rFonts w:cs="Arial"/>
        </w:rPr>
        <w:t>á</w:t>
      </w:r>
      <w:r w:rsidRPr="00A54765">
        <w:rPr>
          <w:rFonts w:cs="Arial"/>
        </w:rPr>
        <w:t xml:space="preserve">vněn uplatnit </w:t>
      </w:r>
      <w:r>
        <w:rPr>
          <w:rFonts w:cs="Arial"/>
        </w:rPr>
        <w:t>r</w:t>
      </w:r>
      <w:r w:rsidRPr="00A54765">
        <w:rPr>
          <w:rFonts w:cs="Arial"/>
        </w:rPr>
        <w:t>eklamaci</w:t>
      </w:r>
      <w:r>
        <w:rPr>
          <w:rFonts w:cs="Arial"/>
        </w:rPr>
        <w:t>,</w:t>
      </w:r>
      <w:r w:rsidRPr="00A54765">
        <w:rPr>
          <w:rFonts w:cs="Arial"/>
        </w:rPr>
        <w:t xml:space="preserve"> a to ve lhůtě do </w:t>
      </w:r>
      <w:r>
        <w:rPr>
          <w:rFonts w:cs="Arial"/>
        </w:rPr>
        <w:t>48</w:t>
      </w:r>
      <w:r w:rsidRPr="00A54765">
        <w:rPr>
          <w:rFonts w:cs="Arial"/>
        </w:rPr>
        <w:t xml:space="preserve"> měsíců ode dne předání HELIOS </w:t>
      </w:r>
      <w:r>
        <w:rPr>
          <w:rFonts w:cs="Arial"/>
        </w:rPr>
        <w:t>Nephrite</w:t>
      </w:r>
      <w:r w:rsidRPr="00A54765">
        <w:rPr>
          <w:rFonts w:cs="Arial"/>
        </w:rPr>
        <w:t xml:space="preserve">. </w:t>
      </w:r>
    </w:p>
    <w:p w14:paraId="6D40677D" w14:textId="77777777" w:rsidR="00C03AF4" w:rsidRDefault="00C03AF4" w:rsidP="00486D40">
      <w:pPr>
        <w:numPr>
          <w:ilvl w:val="1"/>
          <w:numId w:val="18"/>
        </w:numPr>
        <w:spacing w:after="180"/>
        <w:ind w:left="567" w:hanging="567"/>
        <w:jc w:val="both"/>
        <w:rPr>
          <w:rFonts w:cs="Arial"/>
        </w:rPr>
      </w:pPr>
      <w:r w:rsidRPr="00A54765">
        <w:rPr>
          <w:rFonts w:cs="Arial"/>
        </w:rPr>
        <w:t>Poskytovatel se zavazuje po obdržení nahlášení Chyby zahájit práci na odstranění Chyby a odstranit Chybu ve lhůtách podle následující ta</w:t>
      </w:r>
      <w:r w:rsidRPr="00865624">
        <w:rPr>
          <w:rFonts w:cs="Arial"/>
        </w:rPr>
        <w:t xml:space="preserve">bulky. </w:t>
      </w:r>
    </w:p>
    <w:p w14:paraId="5ACF1BD3" w14:textId="77777777" w:rsidR="00C03AF4" w:rsidRPr="00865624" w:rsidRDefault="00C03AF4" w:rsidP="00C03AF4">
      <w:pPr>
        <w:spacing w:after="180"/>
        <w:ind w:left="360"/>
        <w:jc w:val="both"/>
        <w:rPr>
          <w:rFonts w:cs="Arial"/>
        </w:rPr>
      </w:pPr>
    </w:p>
    <w:tbl>
      <w:tblPr>
        <w:tblW w:w="89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3402"/>
        <w:gridCol w:w="4253"/>
      </w:tblGrid>
      <w:tr w:rsidR="00C03AF4" w:rsidRPr="00865624" w14:paraId="0A3AED82" w14:textId="77777777" w:rsidTr="000F2E84">
        <w:tc>
          <w:tcPr>
            <w:tcW w:w="1276" w:type="dxa"/>
            <w:shd w:val="clear" w:color="auto" w:fill="00B0F0"/>
            <w:vAlign w:val="center"/>
          </w:tcPr>
          <w:p w14:paraId="566B5055" w14:textId="77777777" w:rsidR="00C03AF4" w:rsidRPr="00865624" w:rsidRDefault="00C03AF4" w:rsidP="000F2E84">
            <w:pPr>
              <w:spacing w:before="40"/>
              <w:jc w:val="center"/>
              <w:rPr>
                <w:b/>
                <w:color w:val="FFFFFF"/>
              </w:rPr>
            </w:pPr>
            <w:r w:rsidRPr="00865624">
              <w:rPr>
                <w:b/>
                <w:color w:val="FFFFFF"/>
              </w:rPr>
              <w:t>Kategorie</w:t>
            </w:r>
          </w:p>
          <w:p w14:paraId="6DF5AF2F" w14:textId="77777777" w:rsidR="00C03AF4" w:rsidRPr="00865624" w:rsidRDefault="00C03AF4" w:rsidP="000F2E84">
            <w:pPr>
              <w:jc w:val="center"/>
              <w:rPr>
                <w:b/>
                <w:color w:val="FFFFFF"/>
              </w:rPr>
            </w:pPr>
            <w:r w:rsidRPr="00865624">
              <w:rPr>
                <w:b/>
                <w:color w:val="FFFFFF"/>
              </w:rPr>
              <w:t>Chyby/</w:t>
            </w:r>
          </w:p>
          <w:p w14:paraId="054E83E8" w14:textId="77777777" w:rsidR="00C03AF4" w:rsidRPr="00865624" w:rsidRDefault="00C03AF4" w:rsidP="000F2E84">
            <w:pPr>
              <w:spacing w:after="40"/>
              <w:jc w:val="center"/>
              <w:rPr>
                <w:b/>
                <w:color w:val="FFFFFF"/>
              </w:rPr>
            </w:pPr>
            <w:r w:rsidRPr="00865624">
              <w:rPr>
                <w:b/>
                <w:color w:val="FFFFFF"/>
              </w:rPr>
              <w:t>Nedostatku</w:t>
            </w:r>
          </w:p>
        </w:tc>
        <w:tc>
          <w:tcPr>
            <w:tcW w:w="3402" w:type="dxa"/>
            <w:shd w:val="clear" w:color="auto" w:fill="00B0F0"/>
            <w:vAlign w:val="center"/>
          </w:tcPr>
          <w:p w14:paraId="30270910" w14:textId="77777777" w:rsidR="00C03AF4" w:rsidRPr="00865624" w:rsidRDefault="00C03AF4" w:rsidP="000F2E84">
            <w:pPr>
              <w:spacing w:before="40" w:after="40"/>
              <w:jc w:val="center"/>
              <w:rPr>
                <w:b/>
                <w:color w:val="FFFFFF"/>
              </w:rPr>
            </w:pPr>
            <w:r w:rsidRPr="00865624">
              <w:rPr>
                <w:b/>
                <w:color w:val="FFFFFF"/>
              </w:rPr>
              <w:t>Lhůta pro zahájení prací na odstranění Chyby, posouzení Nedostatku</w:t>
            </w:r>
          </w:p>
        </w:tc>
        <w:tc>
          <w:tcPr>
            <w:tcW w:w="4253" w:type="dxa"/>
            <w:shd w:val="clear" w:color="auto" w:fill="00B0F0"/>
            <w:vAlign w:val="center"/>
          </w:tcPr>
          <w:p w14:paraId="649383FA" w14:textId="77777777" w:rsidR="00C03AF4" w:rsidRPr="00865624" w:rsidRDefault="00C03AF4" w:rsidP="000F2E84">
            <w:pPr>
              <w:spacing w:before="40" w:after="40"/>
              <w:jc w:val="center"/>
              <w:rPr>
                <w:b/>
                <w:color w:val="FFFFFF"/>
              </w:rPr>
            </w:pPr>
            <w:r w:rsidRPr="00865624">
              <w:rPr>
                <w:b/>
                <w:color w:val="FFFFFF"/>
              </w:rPr>
              <w:t>Lhůta pro odstranění Chyby</w:t>
            </w:r>
          </w:p>
        </w:tc>
      </w:tr>
      <w:tr w:rsidR="00C03AF4" w:rsidRPr="00865624" w14:paraId="54420D74" w14:textId="77777777" w:rsidTr="000F2E84">
        <w:tc>
          <w:tcPr>
            <w:tcW w:w="1276" w:type="dxa"/>
            <w:vAlign w:val="center"/>
          </w:tcPr>
          <w:p w14:paraId="11B645FB" w14:textId="77777777" w:rsidR="00C03AF4" w:rsidRPr="00865624" w:rsidRDefault="00C03AF4" w:rsidP="000F2E84">
            <w:pPr>
              <w:spacing w:before="40" w:after="40"/>
              <w:jc w:val="center"/>
            </w:pPr>
            <w:r w:rsidRPr="00865624">
              <w:t>A</w:t>
            </w:r>
          </w:p>
        </w:tc>
        <w:tc>
          <w:tcPr>
            <w:tcW w:w="3402" w:type="dxa"/>
            <w:vAlign w:val="center"/>
          </w:tcPr>
          <w:p w14:paraId="18A7790A" w14:textId="77777777" w:rsidR="00C03AF4" w:rsidRPr="00865624" w:rsidRDefault="00C03AF4" w:rsidP="000F2E84">
            <w:pPr>
              <w:spacing w:before="40" w:after="40"/>
            </w:pPr>
            <w:r w:rsidRPr="00865624">
              <w:t xml:space="preserve">Nejpozději do 9 pracovních hodin po obdržení Reklamace podle Provozních podmínek HELIOS </w:t>
            </w:r>
            <w:r>
              <w:t>Nephrite</w:t>
            </w:r>
          </w:p>
        </w:tc>
        <w:tc>
          <w:tcPr>
            <w:tcW w:w="4253" w:type="dxa"/>
            <w:vAlign w:val="center"/>
          </w:tcPr>
          <w:p w14:paraId="6BDB39B7" w14:textId="77777777" w:rsidR="00C03AF4" w:rsidRPr="00865624" w:rsidRDefault="00C03AF4" w:rsidP="000F2E84">
            <w:pPr>
              <w:spacing w:before="40" w:after="40"/>
            </w:pPr>
            <w:r w:rsidRPr="00865624">
              <w:t xml:space="preserve">V nejkratší možné lhůtě, nejpozději do 19 pracovních hodin po obdržení Reklamačního listu podle Provozních podmínek HELIOS </w:t>
            </w:r>
            <w:r>
              <w:t>Nephrite</w:t>
            </w:r>
          </w:p>
        </w:tc>
      </w:tr>
      <w:tr w:rsidR="00C03AF4" w:rsidRPr="00865624" w14:paraId="00E86226" w14:textId="77777777" w:rsidTr="000F2E84">
        <w:tc>
          <w:tcPr>
            <w:tcW w:w="1276" w:type="dxa"/>
            <w:vAlign w:val="center"/>
          </w:tcPr>
          <w:p w14:paraId="050AEB3E" w14:textId="77777777" w:rsidR="00C03AF4" w:rsidRPr="00865624" w:rsidRDefault="00C03AF4" w:rsidP="000F2E84">
            <w:pPr>
              <w:spacing w:before="40" w:after="40"/>
              <w:jc w:val="center"/>
            </w:pPr>
            <w:r w:rsidRPr="00865624">
              <w:t>B</w:t>
            </w:r>
          </w:p>
        </w:tc>
        <w:tc>
          <w:tcPr>
            <w:tcW w:w="3402" w:type="dxa"/>
            <w:vAlign w:val="center"/>
          </w:tcPr>
          <w:p w14:paraId="0EEF63AC" w14:textId="77777777" w:rsidR="00C03AF4" w:rsidRPr="00865624" w:rsidRDefault="00C03AF4" w:rsidP="000F2E84">
            <w:pPr>
              <w:spacing w:before="40" w:after="40"/>
            </w:pPr>
            <w:r w:rsidRPr="00865624">
              <w:t xml:space="preserve">Nejpozději do 2 pracovních dní po obdržení Reklamace podle Provozních podmínek HELIOS </w:t>
            </w:r>
            <w:r>
              <w:t>Nephrite</w:t>
            </w:r>
          </w:p>
        </w:tc>
        <w:tc>
          <w:tcPr>
            <w:tcW w:w="4253" w:type="dxa"/>
            <w:vAlign w:val="center"/>
          </w:tcPr>
          <w:p w14:paraId="10CF6F2A" w14:textId="77777777" w:rsidR="00C03AF4" w:rsidRPr="00865624" w:rsidRDefault="00C03AF4" w:rsidP="000F2E84">
            <w:pPr>
              <w:spacing w:before="40" w:after="40"/>
            </w:pPr>
            <w:r w:rsidRPr="00865624">
              <w:t xml:space="preserve">V nejkratší možné lhůtě, nejpozději do </w:t>
            </w:r>
            <w:r>
              <w:t>10</w:t>
            </w:r>
            <w:r w:rsidRPr="00865624">
              <w:t xml:space="preserve"> pracovních dní po obdržení Reklamačního listu podle Provozních podmínek HELIOS </w:t>
            </w:r>
            <w:r>
              <w:t>Nephrite</w:t>
            </w:r>
          </w:p>
        </w:tc>
      </w:tr>
      <w:tr w:rsidR="00C03AF4" w:rsidRPr="00865624" w14:paraId="39B49714" w14:textId="77777777" w:rsidTr="000F2E84">
        <w:tc>
          <w:tcPr>
            <w:tcW w:w="1276" w:type="dxa"/>
            <w:vAlign w:val="center"/>
          </w:tcPr>
          <w:p w14:paraId="6E09EEA5" w14:textId="77777777" w:rsidR="00C03AF4" w:rsidRPr="00865624" w:rsidRDefault="00C03AF4" w:rsidP="000F2E84">
            <w:pPr>
              <w:spacing w:before="40" w:after="40"/>
              <w:jc w:val="center"/>
            </w:pPr>
            <w:r w:rsidRPr="00865624">
              <w:t>C</w:t>
            </w:r>
          </w:p>
        </w:tc>
        <w:tc>
          <w:tcPr>
            <w:tcW w:w="3402" w:type="dxa"/>
            <w:vAlign w:val="center"/>
          </w:tcPr>
          <w:p w14:paraId="0E151B8B" w14:textId="77777777" w:rsidR="00C03AF4" w:rsidRPr="00865624" w:rsidRDefault="00C03AF4" w:rsidP="000F2E84">
            <w:pPr>
              <w:spacing w:before="40" w:after="40"/>
            </w:pPr>
            <w:r w:rsidRPr="00865624">
              <w:t xml:space="preserve">Do </w:t>
            </w:r>
            <w:r>
              <w:t>10</w:t>
            </w:r>
            <w:r w:rsidRPr="00865624">
              <w:t xml:space="preserve"> pracovních dní po obdržení Reklamace podle Provozních podmínek HELIOS </w:t>
            </w:r>
            <w:r>
              <w:t>Nephrite</w:t>
            </w:r>
          </w:p>
        </w:tc>
        <w:tc>
          <w:tcPr>
            <w:tcW w:w="4253" w:type="dxa"/>
            <w:vAlign w:val="center"/>
          </w:tcPr>
          <w:p w14:paraId="5ACE5C37" w14:textId="77777777" w:rsidR="00C03AF4" w:rsidRPr="00865624" w:rsidRDefault="00C03AF4" w:rsidP="000F2E84">
            <w:pPr>
              <w:spacing w:before="40" w:after="40"/>
            </w:pPr>
            <w:r w:rsidRPr="00865624">
              <w:t xml:space="preserve">V rámci nové verze, pokud odpovídá koncepci standardu HELIOS </w:t>
            </w:r>
            <w:r>
              <w:t>Nephrite</w:t>
            </w:r>
            <w:r w:rsidRPr="00865624">
              <w:t xml:space="preserve"> </w:t>
            </w:r>
          </w:p>
        </w:tc>
      </w:tr>
    </w:tbl>
    <w:p w14:paraId="60149FB9" w14:textId="77777777" w:rsidR="00C03AF4" w:rsidRDefault="00C03AF4" w:rsidP="00C03AF4">
      <w:pPr>
        <w:spacing w:after="120"/>
        <w:jc w:val="both"/>
        <w:rPr>
          <w:sz w:val="12"/>
          <w:szCs w:val="12"/>
        </w:rPr>
      </w:pPr>
    </w:p>
    <w:p w14:paraId="124064A9" w14:textId="77777777" w:rsidR="00C03AF4" w:rsidRDefault="00C03AF4" w:rsidP="00C03AF4">
      <w:pPr>
        <w:spacing w:after="180"/>
        <w:jc w:val="both"/>
        <w:rPr>
          <w:sz w:val="12"/>
          <w:szCs w:val="12"/>
        </w:rPr>
      </w:pPr>
      <w:r w:rsidRPr="00384FF5">
        <w:rPr>
          <w:rFonts w:cs="Arial"/>
        </w:rPr>
        <w:t>6.3.</w:t>
      </w:r>
      <w:r>
        <w:rPr>
          <w:sz w:val="12"/>
          <w:szCs w:val="12"/>
        </w:rPr>
        <w:t xml:space="preserve"> </w:t>
      </w:r>
      <w:r>
        <w:rPr>
          <w:sz w:val="12"/>
          <w:szCs w:val="12"/>
        </w:rPr>
        <w:tab/>
      </w:r>
      <w:r w:rsidRPr="00E44EA3">
        <w:rPr>
          <w:rFonts w:cs="Arial"/>
        </w:rPr>
        <w:t>Kategorie naléhavosti chyb Informačního systému nebo poskytnutých implementačních služeb:</w:t>
      </w:r>
    </w:p>
    <w:p w14:paraId="4B6262D0" w14:textId="77777777" w:rsidR="00C03AF4" w:rsidRPr="00E44EA3" w:rsidRDefault="00C03AF4" w:rsidP="00486D40">
      <w:pPr>
        <w:widowControl w:val="0"/>
        <w:numPr>
          <w:ilvl w:val="0"/>
          <w:numId w:val="20"/>
        </w:numPr>
        <w:suppressAutoHyphens/>
        <w:spacing w:after="180"/>
        <w:ind w:left="1560" w:hanging="425"/>
        <w:jc w:val="both"/>
      </w:pPr>
      <w:r w:rsidRPr="00E44EA3">
        <w:rPr>
          <w:rFonts w:cs="Arial"/>
          <w:b/>
        </w:rPr>
        <w:t>A. Chybou kategorie A</w:t>
      </w:r>
      <w:r w:rsidRPr="00E44EA3">
        <w:t xml:space="preserve"> se rozumí - vážné chyby </w:t>
      </w:r>
      <w:r>
        <w:t>HELIOS</w:t>
      </w:r>
      <w:r w:rsidRPr="00E44EA3">
        <w:t xml:space="preserve"> </w:t>
      </w:r>
      <w:r>
        <w:t>Nephrite</w:t>
      </w:r>
      <w:r w:rsidRPr="00E44EA3">
        <w:t xml:space="preserve"> nebo poskytnutých implementačních služeb způsobené Poskytovatelem navozují stav </w:t>
      </w:r>
      <w:r>
        <w:t>HELIOS</w:t>
      </w:r>
      <w:r w:rsidRPr="00E44EA3">
        <w:t xml:space="preserve"> </w:t>
      </w:r>
      <w:r>
        <w:t>Nephrite</w:t>
      </w:r>
      <w:r w:rsidRPr="00E44EA3">
        <w:t xml:space="preserve">, kdy v něm není možné provádět </w:t>
      </w:r>
      <w:r>
        <w:t>většinu</w:t>
      </w:r>
      <w:r w:rsidRPr="00E44EA3">
        <w:t xml:space="preserve"> úkon</w:t>
      </w:r>
      <w:r>
        <w:t>ů</w:t>
      </w:r>
      <w:r w:rsidRPr="00E44EA3">
        <w:t xml:space="preserve"> a Nabyvatel není schopen plnit své povinnosti vůči třetím osobám (jeho klienti, státní správa, banky) - jedná se o stav, kdy je přímo ohrožena funkce systému, nebo je nutné přikročit k nákladným a komplikovaným řešením mimo systém.</w:t>
      </w:r>
    </w:p>
    <w:p w14:paraId="1875A0FA" w14:textId="77777777" w:rsidR="00C03AF4" w:rsidRPr="00E44EA3" w:rsidRDefault="00C03AF4" w:rsidP="00486D40">
      <w:pPr>
        <w:widowControl w:val="0"/>
        <w:numPr>
          <w:ilvl w:val="0"/>
          <w:numId w:val="20"/>
        </w:numPr>
        <w:suppressAutoHyphens/>
        <w:spacing w:after="180"/>
        <w:ind w:left="1560" w:hanging="425"/>
        <w:jc w:val="both"/>
        <w:rPr>
          <w:rFonts w:cs="Arial"/>
        </w:rPr>
      </w:pPr>
      <w:r w:rsidRPr="00E44EA3">
        <w:rPr>
          <w:rFonts w:cs="Arial"/>
          <w:b/>
        </w:rPr>
        <w:t>B. Chybou kategorie B</w:t>
      </w:r>
      <w:r w:rsidRPr="00E44EA3">
        <w:rPr>
          <w:rFonts w:cs="Arial"/>
        </w:rPr>
        <w:t xml:space="preserve"> se rozumí - střední chyby </w:t>
      </w:r>
      <w:r>
        <w:rPr>
          <w:rFonts w:cs="Arial"/>
        </w:rPr>
        <w:t>HELIOS</w:t>
      </w:r>
      <w:r w:rsidRPr="00E44EA3">
        <w:rPr>
          <w:rFonts w:cs="Arial"/>
        </w:rPr>
        <w:t xml:space="preserve"> </w:t>
      </w:r>
      <w:r>
        <w:rPr>
          <w:rFonts w:cs="Arial"/>
        </w:rPr>
        <w:t>Nephrite</w:t>
      </w:r>
      <w:r w:rsidRPr="00E44EA3">
        <w:rPr>
          <w:rFonts w:cs="Arial"/>
        </w:rPr>
        <w:t xml:space="preserve"> nebo poskytnutých implementačních služeb způsobené Poskytovatelem, kdy určitá funkcionalita </w:t>
      </w:r>
      <w:r>
        <w:rPr>
          <w:rFonts w:cs="Arial"/>
        </w:rPr>
        <w:t>HELIOS</w:t>
      </w:r>
      <w:r w:rsidRPr="00E44EA3">
        <w:rPr>
          <w:rFonts w:cs="Arial"/>
        </w:rPr>
        <w:t xml:space="preserve"> </w:t>
      </w:r>
      <w:r>
        <w:rPr>
          <w:rFonts w:cs="Arial"/>
        </w:rPr>
        <w:t>Nephrite</w:t>
      </w:r>
      <w:r w:rsidRPr="00E44EA3">
        <w:rPr>
          <w:rFonts w:cs="Arial"/>
        </w:rPr>
        <w:t xml:space="preserve"> pro zpracování a prohlížení dat je nečinná, avšak její činnost je možné dle pokynu Poskytovatele nahradit jinou funkcionalitou </w:t>
      </w:r>
      <w:r>
        <w:rPr>
          <w:rFonts w:cs="Arial"/>
        </w:rPr>
        <w:t>HELIOS</w:t>
      </w:r>
      <w:r w:rsidRPr="00E44EA3">
        <w:rPr>
          <w:rFonts w:cs="Arial"/>
        </w:rPr>
        <w:t xml:space="preserve"> </w:t>
      </w:r>
      <w:r>
        <w:rPr>
          <w:rFonts w:cs="Arial"/>
        </w:rPr>
        <w:t>Nephrite</w:t>
      </w:r>
      <w:r w:rsidRPr="00E44EA3">
        <w:rPr>
          <w:rFonts w:cs="Arial"/>
        </w:rPr>
        <w:t>, byť za cenu vyšší pracnosti.</w:t>
      </w:r>
    </w:p>
    <w:p w14:paraId="73AD615F" w14:textId="77777777" w:rsidR="00C03AF4" w:rsidRPr="00E44EA3" w:rsidRDefault="00C03AF4" w:rsidP="00486D40">
      <w:pPr>
        <w:widowControl w:val="0"/>
        <w:numPr>
          <w:ilvl w:val="0"/>
          <w:numId w:val="20"/>
        </w:numPr>
        <w:suppressAutoHyphens/>
        <w:spacing w:after="180"/>
        <w:ind w:left="1560" w:hanging="425"/>
        <w:jc w:val="both"/>
        <w:rPr>
          <w:rFonts w:cs="Arial"/>
        </w:rPr>
      </w:pPr>
      <w:r w:rsidRPr="00E44EA3">
        <w:rPr>
          <w:rFonts w:cs="Arial"/>
          <w:b/>
        </w:rPr>
        <w:t xml:space="preserve">C. Chybou (nedostatkem) kategorie C </w:t>
      </w:r>
      <w:r w:rsidRPr="00E44EA3">
        <w:rPr>
          <w:rFonts w:cs="Arial"/>
        </w:rPr>
        <w:t xml:space="preserve">se rozumí – nezávažné nedostatky poskytnutých implementačních služeb, kdy některá z funkcionalit </w:t>
      </w:r>
      <w:r>
        <w:rPr>
          <w:rFonts w:cs="Arial"/>
        </w:rPr>
        <w:t>HELIOS</w:t>
      </w:r>
      <w:r w:rsidRPr="00E44EA3">
        <w:rPr>
          <w:rFonts w:cs="Arial"/>
        </w:rPr>
        <w:t xml:space="preserve"> </w:t>
      </w:r>
      <w:r>
        <w:rPr>
          <w:rFonts w:cs="Arial"/>
        </w:rPr>
        <w:t>Nephrite</w:t>
      </w:r>
      <w:r w:rsidRPr="00E44EA3">
        <w:rPr>
          <w:rFonts w:cs="Arial"/>
        </w:rPr>
        <w:t xml:space="preserve"> není plně činná podle představ Nabyvatele, avšak tento stav nemá žádné, nebo jen zanedbatelné dopady na provoz Informačního systému Nabyvatele.</w:t>
      </w:r>
    </w:p>
    <w:p w14:paraId="30296505" w14:textId="77777777" w:rsidR="00C03AF4" w:rsidRPr="00DC31DD" w:rsidRDefault="00C03AF4" w:rsidP="00DC31DD">
      <w:pPr>
        <w:pStyle w:val="Smlouvaodstavec"/>
        <w:numPr>
          <w:ilvl w:val="0"/>
          <w:numId w:val="18"/>
        </w:numPr>
        <w:jc w:val="center"/>
        <w:rPr>
          <w:rFonts w:ascii="Calibri" w:hAnsi="Calibri" w:cs="Arial"/>
          <w:sz w:val="24"/>
          <w:szCs w:val="24"/>
        </w:rPr>
      </w:pPr>
      <w:r w:rsidRPr="00DC31DD">
        <w:rPr>
          <w:rFonts w:ascii="Calibri" w:hAnsi="Calibri" w:cs="Arial"/>
          <w:sz w:val="24"/>
          <w:szCs w:val="24"/>
        </w:rPr>
        <w:t>Vzájemná součinnost</w:t>
      </w:r>
    </w:p>
    <w:p w14:paraId="3F154D47" w14:textId="77777777" w:rsidR="00C03AF4" w:rsidRPr="00865624" w:rsidRDefault="00C03AF4" w:rsidP="00486D40">
      <w:pPr>
        <w:numPr>
          <w:ilvl w:val="1"/>
          <w:numId w:val="18"/>
        </w:numPr>
        <w:spacing w:after="180"/>
        <w:ind w:left="567" w:hanging="567"/>
        <w:jc w:val="both"/>
        <w:rPr>
          <w:rFonts w:cs="Arial"/>
        </w:rPr>
      </w:pPr>
      <w:r w:rsidRPr="00865624">
        <w:rPr>
          <w:rFonts w:cs="Arial"/>
        </w:rPr>
        <w:t xml:space="preserve">Smluvní strany jsou si vědomy skutečnosti, že pro splnění předmětu není dostačující bezvadné plnění povinností pouze jednou ze Smluvních stran. Proto se zavazují vyvinout veškeré úsilí k zajištění úplné spolupráce při plnění předmětu této smlouvy. </w:t>
      </w:r>
    </w:p>
    <w:p w14:paraId="2F427C2E" w14:textId="77777777" w:rsidR="00C03AF4" w:rsidRPr="00865624" w:rsidRDefault="00C03AF4" w:rsidP="00486D40">
      <w:pPr>
        <w:numPr>
          <w:ilvl w:val="1"/>
          <w:numId w:val="18"/>
        </w:numPr>
        <w:spacing w:after="180"/>
        <w:ind w:left="567" w:hanging="567"/>
        <w:jc w:val="both"/>
        <w:rPr>
          <w:rFonts w:cs="Arial"/>
        </w:rPr>
      </w:pPr>
      <w:r w:rsidRPr="00865624">
        <w:rPr>
          <w:rFonts w:cs="Arial"/>
        </w:rPr>
        <w:lastRenderedPageBreak/>
        <w:t xml:space="preserve">Smluvní strany jsou povinny plnit své závazky vyplývající z této smlouvy tak, aby nedocházelo k prodlení </w:t>
      </w:r>
      <w:bookmarkStart w:id="10" w:name="_Hlt459170642"/>
      <w:bookmarkEnd w:id="10"/>
      <w:r w:rsidRPr="00865624">
        <w:rPr>
          <w:rFonts w:cs="Arial"/>
        </w:rPr>
        <w:t xml:space="preserve">s plněním jednotlivých termínů a k prodlení s plněním jednotlivých peněžních závazků. </w:t>
      </w:r>
    </w:p>
    <w:p w14:paraId="24A2ACF5" w14:textId="77777777" w:rsidR="00C03AF4" w:rsidRPr="00865624" w:rsidRDefault="00C03AF4" w:rsidP="00486D40">
      <w:pPr>
        <w:numPr>
          <w:ilvl w:val="1"/>
          <w:numId w:val="18"/>
        </w:numPr>
        <w:spacing w:after="180"/>
        <w:ind w:left="567" w:hanging="567"/>
        <w:jc w:val="both"/>
        <w:rPr>
          <w:rFonts w:cs="Arial"/>
        </w:rPr>
      </w:pPr>
      <w:r w:rsidRPr="00865624">
        <w:rPr>
          <w:rFonts w:cs="Arial"/>
        </w:rPr>
        <w:t>V případě, že Smluvní strana poruší stanovenou povinnost součinnosti po dobu delší než 10 pracovních dnů, počítaných ode dne, kdy k tomu byla druhou Smluvní stranou vyrozuměna, je druhá Smluvní strana oprávněna přerušit plnění svých po</w:t>
      </w:r>
      <w:r w:rsidRPr="00865624">
        <w:rPr>
          <w:rFonts w:cs="Arial"/>
        </w:rPr>
        <w:softHyphen/>
        <w:t>vinností, které byly tímto neposkytnutím součinnosti dotčeny, a to až do okamžiku obnovení sou</w:t>
      </w:r>
      <w:r w:rsidRPr="00865624">
        <w:rPr>
          <w:rFonts w:cs="Arial"/>
        </w:rPr>
        <w:softHyphen/>
        <w:t>činnosti. Stanovené lhůty a termíny pro plnění povinností se přiměřeně prodlouží, a to nejméně o dobu, po kterou došlo k jejich oprávněnému přerušení v souladu s tímto ustanovením.</w:t>
      </w:r>
    </w:p>
    <w:p w14:paraId="02BD4BC6" w14:textId="77777777" w:rsidR="00C03AF4" w:rsidRPr="00DC31DD" w:rsidRDefault="00C03AF4" w:rsidP="00DC31DD">
      <w:pPr>
        <w:pStyle w:val="Smlouvaodstavec"/>
        <w:numPr>
          <w:ilvl w:val="0"/>
          <w:numId w:val="18"/>
        </w:numPr>
        <w:jc w:val="center"/>
        <w:rPr>
          <w:rFonts w:ascii="Calibri" w:hAnsi="Calibri" w:cs="Arial"/>
          <w:sz w:val="24"/>
          <w:szCs w:val="24"/>
        </w:rPr>
      </w:pPr>
      <w:r w:rsidRPr="00DC31DD">
        <w:rPr>
          <w:rFonts w:ascii="Calibri" w:hAnsi="Calibri" w:cs="Arial"/>
          <w:sz w:val="24"/>
          <w:szCs w:val="24"/>
        </w:rPr>
        <w:t>Závěrečná ustanovení</w:t>
      </w:r>
    </w:p>
    <w:p w14:paraId="33109843" w14:textId="77777777" w:rsidR="00C03AF4" w:rsidRDefault="00C03AF4" w:rsidP="00486D40">
      <w:pPr>
        <w:numPr>
          <w:ilvl w:val="1"/>
          <w:numId w:val="18"/>
        </w:numPr>
        <w:spacing w:after="180"/>
        <w:ind w:left="567" w:hanging="567"/>
        <w:jc w:val="both"/>
        <w:rPr>
          <w:rFonts w:cs="Arial"/>
        </w:rPr>
      </w:pPr>
      <w:r w:rsidRPr="00131723">
        <w:rPr>
          <w:rFonts w:cs="Arial"/>
        </w:rPr>
        <w:t>Tato smlouva nabývá platnosti okamžikem podpisu oběma Smluvními stranami</w:t>
      </w:r>
      <w:r>
        <w:rPr>
          <w:rFonts w:cs="Arial"/>
        </w:rPr>
        <w:t xml:space="preserve"> a účinnosti dnem zveřejnění v registru smluv.</w:t>
      </w:r>
    </w:p>
    <w:p w14:paraId="1EAE1810" w14:textId="77777777" w:rsidR="00C03AF4" w:rsidRDefault="00C03AF4" w:rsidP="00486D40">
      <w:pPr>
        <w:numPr>
          <w:ilvl w:val="1"/>
          <w:numId w:val="18"/>
        </w:numPr>
        <w:spacing w:after="180"/>
        <w:ind w:left="567" w:hanging="567"/>
        <w:jc w:val="both"/>
        <w:rPr>
          <w:rFonts w:cs="Arial"/>
        </w:rPr>
      </w:pPr>
      <w:r>
        <w:rPr>
          <w:rFonts w:cs="Arial"/>
        </w:rPr>
        <w:t>Tato smlouva podléhá dle zákona č. 340/2015 Sb., zveřejnění v registru smluv. Smluvní strany se výslovně dohodly, že se zveřejněním souhlasí. Zveřejnění této smlouvy zajistí Nabyvatel, jako povinný subjekt na portále veřejné správy vedené Ministerstvem vnitra ČR a potvrzení o zveřejnění této smlouvy zašle neprodleně Poskytovateli na vědomí.</w:t>
      </w:r>
    </w:p>
    <w:p w14:paraId="17DDE080" w14:textId="77777777" w:rsidR="00C03AF4" w:rsidRPr="00131723" w:rsidRDefault="00C03AF4" w:rsidP="00486D40">
      <w:pPr>
        <w:numPr>
          <w:ilvl w:val="1"/>
          <w:numId w:val="18"/>
        </w:numPr>
        <w:spacing w:after="180"/>
        <w:ind w:left="567" w:hanging="567"/>
        <w:jc w:val="both"/>
        <w:rPr>
          <w:rFonts w:cs="Arial"/>
        </w:rPr>
      </w:pPr>
      <w:r w:rsidRPr="00131723">
        <w:rPr>
          <w:rFonts w:cs="Arial"/>
        </w:rPr>
        <w:t>Tato smlouva je vyhotovena ve dvou stejnopisech v českém jazykovém znění. Každá ze Smluvních stran obdrží vždy po jednom stejnopisu.</w:t>
      </w:r>
    </w:p>
    <w:p w14:paraId="35FA5B4D" w14:textId="77777777" w:rsidR="00C03AF4" w:rsidRPr="00865624" w:rsidRDefault="00C03AF4" w:rsidP="00486D40">
      <w:pPr>
        <w:numPr>
          <w:ilvl w:val="1"/>
          <w:numId w:val="18"/>
        </w:numPr>
        <w:spacing w:after="180"/>
        <w:ind w:left="567" w:hanging="567"/>
        <w:jc w:val="both"/>
        <w:rPr>
          <w:rFonts w:cs="Arial"/>
        </w:rPr>
      </w:pPr>
      <w:r w:rsidRPr="00865624">
        <w:rPr>
          <w:rFonts w:cs="Arial"/>
        </w:rPr>
        <w:t>Přílohy, které jsou uvedeny v textu této smlouvy a na něž tato smlouva odkazuje, jsou její nedílnou součástí.</w:t>
      </w:r>
    </w:p>
    <w:p w14:paraId="608D79C7" w14:textId="77777777" w:rsidR="00C03AF4" w:rsidRPr="00865624" w:rsidRDefault="00C03AF4" w:rsidP="00486D40">
      <w:pPr>
        <w:numPr>
          <w:ilvl w:val="1"/>
          <w:numId w:val="18"/>
        </w:numPr>
        <w:spacing w:after="180"/>
        <w:ind w:left="567" w:hanging="567"/>
        <w:jc w:val="both"/>
        <w:rPr>
          <w:rFonts w:cs="Arial"/>
        </w:rPr>
      </w:pPr>
      <w:r w:rsidRPr="00865624">
        <w:rPr>
          <w:rFonts w:cs="Arial"/>
        </w:rPr>
        <w:t>Smluvní strany tímto prohlašují a potvrzují, že veškerá ustanovení a podmínky této smlouvy byly mezi nimi dohodnuty svobodně, vážně a určitě a na důkaz toho připojují své podpisy.</w:t>
      </w:r>
    </w:p>
    <w:p w14:paraId="2E85BB35" w14:textId="77777777" w:rsidR="00C03AF4" w:rsidRPr="00865624" w:rsidRDefault="00C03AF4" w:rsidP="00C03AF4">
      <w:pPr>
        <w:spacing w:after="120"/>
      </w:pPr>
    </w:p>
    <w:p w14:paraId="5B6BBA04" w14:textId="77777777" w:rsidR="00C03AF4" w:rsidRDefault="00C03AF4" w:rsidP="00C03AF4">
      <w:pPr>
        <w:widowControl w:val="0"/>
        <w:rPr>
          <w:rFonts w:cs="Arial"/>
        </w:rPr>
      </w:pPr>
      <w:r>
        <w:rPr>
          <w:rFonts w:cs="Arial"/>
          <w:u w:val="single"/>
        </w:rPr>
        <w:t>Seznam příloh, jež tvoří nedílnou součást smlouvy:</w:t>
      </w:r>
    </w:p>
    <w:p w14:paraId="4ECC1C85" w14:textId="77777777" w:rsidR="00C03AF4" w:rsidRPr="00865624" w:rsidRDefault="00C03AF4" w:rsidP="00C03AF4">
      <w:r w:rsidRPr="00865624">
        <w:t xml:space="preserve">Příloha č. 1 – Specifikace a popis sjednaného rozsahu Licencí HELIOS </w:t>
      </w:r>
      <w:r>
        <w:t>Nephrite</w:t>
      </w:r>
    </w:p>
    <w:p w14:paraId="0E0C75DB" w14:textId="60E32D2B" w:rsidR="0000755C" w:rsidRDefault="00C03AF4" w:rsidP="00C03AF4">
      <w:r w:rsidRPr="00865624">
        <w:t xml:space="preserve">Příloha č. 2 – </w:t>
      </w:r>
      <w:r w:rsidR="0000755C">
        <w:t>Členění ceny</w:t>
      </w:r>
    </w:p>
    <w:p w14:paraId="076EF7D5" w14:textId="5422D4B4" w:rsidR="00C03AF4" w:rsidRPr="00865624" w:rsidRDefault="0000755C" w:rsidP="00C03AF4">
      <w:r w:rsidRPr="00865624">
        <w:t xml:space="preserve">Příloha č. 3 – </w:t>
      </w:r>
      <w:r w:rsidR="00C03AF4" w:rsidRPr="00865624">
        <w:t>Harmonogram prací</w:t>
      </w:r>
    </w:p>
    <w:p w14:paraId="47264DDE" w14:textId="5403A0DF" w:rsidR="00C03AF4" w:rsidRDefault="00C03AF4" w:rsidP="00C03AF4">
      <w:r w:rsidRPr="00865624">
        <w:t xml:space="preserve">Příloha č. </w:t>
      </w:r>
      <w:r w:rsidR="0000755C">
        <w:t>4</w:t>
      </w:r>
      <w:r w:rsidRPr="00865624">
        <w:t xml:space="preserve"> – Ceník poskytovaných služeb</w:t>
      </w:r>
    </w:p>
    <w:p w14:paraId="23860CED" w14:textId="4432ED53" w:rsidR="00C03AF4" w:rsidRDefault="00C03AF4" w:rsidP="00C03AF4">
      <w:r>
        <w:t xml:space="preserve">Příloha č. </w:t>
      </w:r>
      <w:r w:rsidR="0000755C">
        <w:t>5</w:t>
      </w:r>
      <w:r>
        <w:t xml:space="preserve"> – Specifikace funkčního rozsahu dodávaného řešení</w:t>
      </w:r>
    </w:p>
    <w:p w14:paraId="75A2E42F" w14:textId="2AC06C5F" w:rsidR="00486D40" w:rsidRDefault="00486D40" w:rsidP="00C03AF4">
      <w:r>
        <w:t xml:space="preserve">Příloha č. </w:t>
      </w:r>
      <w:r w:rsidR="0000755C">
        <w:t>6</w:t>
      </w:r>
      <w:r>
        <w:t xml:space="preserve"> – Požadavky zadavatele na smlouvu</w:t>
      </w:r>
    </w:p>
    <w:p w14:paraId="68AA9A51" w14:textId="647BEA3B" w:rsidR="00C03AF4" w:rsidRDefault="00C03AF4" w:rsidP="00C03AF4">
      <w:pPr>
        <w:spacing w:after="120"/>
      </w:pPr>
    </w:p>
    <w:p w14:paraId="00D5D020" w14:textId="259E0450" w:rsidR="00DC31DD" w:rsidRDefault="00DC31DD" w:rsidP="00C03AF4">
      <w:pPr>
        <w:spacing w:after="120"/>
      </w:pPr>
    </w:p>
    <w:p w14:paraId="3A183CBE" w14:textId="77777777" w:rsidR="00DC31DD" w:rsidRPr="00865624" w:rsidRDefault="00DC31DD" w:rsidP="00C03AF4">
      <w:pPr>
        <w:spacing w:after="120"/>
      </w:pPr>
    </w:p>
    <w:tbl>
      <w:tblPr>
        <w:tblW w:w="9750" w:type="dxa"/>
        <w:tblLayout w:type="fixed"/>
        <w:tblCellMar>
          <w:left w:w="0" w:type="dxa"/>
          <w:right w:w="0" w:type="dxa"/>
        </w:tblCellMar>
        <w:tblLook w:val="01E0" w:firstRow="1" w:lastRow="1" w:firstColumn="1" w:lastColumn="1" w:noHBand="0" w:noVBand="0"/>
      </w:tblPr>
      <w:tblGrid>
        <w:gridCol w:w="4875"/>
        <w:gridCol w:w="4875"/>
      </w:tblGrid>
      <w:tr w:rsidR="00C03AF4" w:rsidRPr="0017505F" w14:paraId="3B86C244" w14:textId="77777777" w:rsidTr="000F2E84">
        <w:tc>
          <w:tcPr>
            <w:tcW w:w="4876" w:type="dxa"/>
          </w:tcPr>
          <w:p w14:paraId="73EEF46F" w14:textId="77777777" w:rsidR="00C03AF4" w:rsidRPr="0017505F" w:rsidRDefault="00C03AF4" w:rsidP="000F2E84">
            <w:pPr>
              <w:widowControl w:val="0"/>
              <w:tabs>
                <w:tab w:val="center" w:pos="2127"/>
                <w:tab w:val="center" w:pos="6379"/>
              </w:tabs>
              <w:rPr>
                <w:rFonts w:cs="Arial"/>
              </w:rPr>
            </w:pPr>
            <w:r w:rsidRPr="0017505F">
              <w:rPr>
                <w:rFonts w:cs="Arial"/>
              </w:rPr>
              <w:t>V</w:t>
            </w:r>
            <w:r>
              <w:rPr>
                <w:rFonts w:cs="Arial"/>
              </w:rPr>
              <w:t> Hradci Králové</w:t>
            </w:r>
            <w:r w:rsidRPr="0017505F">
              <w:rPr>
                <w:rFonts w:cs="Arial"/>
              </w:rPr>
              <w:t xml:space="preserve"> dne </w:t>
            </w:r>
            <w:r>
              <w:rPr>
                <w:rFonts w:cs="Arial"/>
              </w:rPr>
              <w:t>10.08.2021</w:t>
            </w:r>
          </w:p>
          <w:p w14:paraId="31242C74" w14:textId="77777777" w:rsidR="00C03AF4" w:rsidRPr="0017505F" w:rsidRDefault="00C03AF4" w:rsidP="000F2E84">
            <w:pPr>
              <w:widowControl w:val="0"/>
              <w:tabs>
                <w:tab w:val="center" w:pos="2127"/>
                <w:tab w:val="center" w:pos="6379"/>
              </w:tabs>
            </w:pPr>
          </w:p>
          <w:p w14:paraId="53CA27CB" w14:textId="77777777" w:rsidR="00C03AF4" w:rsidRPr="0017505F" w:rsidRDefault="00C03AF4" w:rsidP="000F2E84">
            <w:pPr>
              <w:widowControl w:val="0"/>
              <w:tabs>
                <w:tab w:val="center" w:pos="2127"/>
                <w:tab w:val="center" w:pos="6379"/>
              </w:tabs>
            </w:pPr>
          </w:p>
          <w:p w14:paraId="0D6585CB" w14:textId="77777777" w:rsidR="00C03AF4" w:rsidRPr="0017505F" w:rsidRDefault="00C03AF4" w:rsidP="000F2E84">
            <w:pPr>
              <w:widowControl w:val="0"/>
              <w:tabs>
                <w:tab w:val="center" w:pos="2127"/>
                <w:tab w:val="center" w:pos="6379"/>
              </w:tabs>
            </w:pPr>
            <w:r w:rsidRPr="0017505F">
              <w:t xml:space="preserve">Za </w:t>
            </w:r>
            <w:r>
              <w:t>Koncept Hradec Králové</w:t>
            </w:r>
            <w:r w:rsidRPr="0017505F">
              <w:t xml:space="preserve">, </w:t>
            </w:r>
            <w:r>
              <w:t>s</w:t>
            </w:r>
            <w:r w:rsidRPr="0017505F">
              <w:t>.</w:t>
            </w:r>
            <w:r>
              <w:t>r.o.</w:t>
            </w:r>
          </w:p>
          <w:p w14:paraId="0ACA7792" w14:textId="77777777" w:rsidR="00C03AF4" w:rsidRPr="0017505F" w:rsidRDefault="00C03AF4" w:rsidP="000F2E84">
            <w:pPr>
              <w:widowControl w:val="0"/>
              <w:tabs>
                <w:tab w:val="center" w:pos="2127"/>
                <w:tab w:val="center" w:pos="6379"/>
              </w:tabs>
            </w:pPr>
          </w:p>
          <w:p w14:paraId="1459BFB5" w14:textId="77777777" w:rsidR="00C03AF4" w:rsidRPr="0017505F" w:rsidRDefault="00C03AF4" w:rsidP="000F2E84">
            <w:pPr>
              <w:widowControl w:val="0"/>
              <w:tabs>
                <w:tab w:val="center" w:pos="2127"/>
                <w:tab w:val="center" w:pos="6379"/>
              </w:tabs>
            </w:pPr>
          </w:p>
          <w:p w14:paraId="521C47E9" w14:textId="77777777" w:rsidR="00C03AF4" w:rsidRPr="0017505F" w:rsidRDefault="00C03AF4" w:rsidP="000F2E84">
            <w:pPr>
              <w:widowControl w:val="0"/>
              <w:tabs>
                <w:tab w:val="center" w:pos="2127"/>
                <w:tab w:val="center" w:pos="6379"/>
              </w:tabs>
            </w:pPr>
          </w:p>
          <w:p w14:paraId="21FFA896" w14:textId="77777777" w:rsidR="00C03AF4" w:rsidRPr="0017505F" w:rsidRDefault="00C03AF4" w:rsidP="000F2E84">
            <w:pPr>
              <w:widowControl w:val="0"/>
              <w:tabs>
                <w:tab w:val="center" w:pos="2552"/>
                <w:tab w:val="center" w:pos="6804"/>
              </w:tabs>
            </w:pPr>
            <w:r w:rsidRPr="0017505F">
              <w:t>…………………………………………………</w:t>
            </w:r>
          </w:p>
          <w:p w14:paraId="67F34E64" w14:textId="77777777" w:rsidR="00C03AF4" w:rsidRPr="0017505F" w:rsidRDefault="00C03AF4" w:rsidP="000F2E84">
            <w:pPr>
              <w:widowControl w:val="0"/>
              <w:tabs>
                <w:tab w:val="center" w:pos="2552"/>
                <w:tab w:val="center" w:pos="6804"/>
              </w:tabs>
            </w:pPr>
            <w:r w:rsidRPr="0017505F">
              <w:t xml:space="preserve">Ing. </w:t>
            </w:r>
            <w:r>
              <w:t>Zdeněk Stuchlík</w:t>
            </w:r>
          </w:p>
          <w:p w14:paraId="7C13529A" w14:textId="77777777" w:rsidR="00C03AF4" w:rsidRPr="0017505F" w:rsidRDefault="00C03AF4" w:rsidP="000F2E84">
            <w:pPr>
              <w:widowControl w:val="0"/>
              <w:tabs>
                <w:tab w:val="center" w:pos="2127"/>
                <w:tab w:val="center" w:pos="6379"/>
              </w:tabs>
            </w:pPr>
            <w:r>
              <w:t>jednatel</w:t>
            </w:r>
            <w:r w:rsidRPr="0017505F">
              <w:t xml:space="preserve"> </w:t>
            </w:r>
          </w:p>
        </w:tc>
        <w:tc>
          <w:tcPr>
            <w:tcW w:w="4876" w:type="dxa"/>
          </w:tcPr>
          <w:p w14:paraId="0C54DCF4" w14:textId="77777777" w:rsidR="00C03AF4" w:rsidRPr="0017505F" w:rsidRDefault="00C03AF4" w:rsidP="000F2E84">
            <w:pPr>
              <w:widowControl w:val="0"/>
              <w:tabs>
                <w:tab w:val="center" w:pos="2127"/>
                <w:tab w:val="center" w:pos="6379"/>
              </w:tabs>
            </w:pPr>
            <w:r>
              <w:rPr>
                <w:rFonts w:cs="Arial"/>
              </w:rPr>
              <w:t>V Pelhřimově dne</w:t>
            </w:r>
          </w:p>
          <w:p w14:paraId="2EAD2B9F" w14:textId="77777777" w:rsidR="00C03AF4" w:rsidRPr="0017505F" w:rsidRDefault="00C03AF4" w:rsidP="000F2E84">
            <w:pPr>
              <w:widowControl w:val="0"/>
              <w:tabs>
                <w:tab w:val="center" w:pos="2127"/>
                <w:tab w:val="center" w:pos="6379"/>
              </w:tabs>
            </w:pPr>
          </w:p>
          <w:p w14:paraId="446F4854" w14:textId="77777777" w:rsidR="00C03AF4" w:rsidRPr="0017505F" w:rsidRDefault="00C03AF4" w:rsidP="000F2E84">
            <w:pPr>
              <w:widowControl w:val="0"/>
              <w:tabs>
                <w:tab w:val="center" w:pos="2127"/>
                <w:tab w:val="center" w:pos="6379"/>
              </w:tabs>
            </w:pPr>
          </w:p>
          <w:p w14:paraId="7C36A8FC" w14:textId="77777777" w:rsidR="00C03AF4" w:rsidRDefault="00C03AF4" w:rsidP="000F2E84">
            <w:pPr>
              <w:widowControl w:val="0"/>
              <w:tabs>
                <w:tab w:val="center" w:pos="2127"/>
                <w:tab w:val="center" w:pos="6379"/>
              </w:tabs>
            </w:pPr>
            <w:r w:rsidRPr="00DC5BF2">
              <w:t>Za Technické služby města Pelhřimova, p. o.</w:t>
            </w:r>
          </w:p>
          <w:p w14:paraId="57FDD005" w14:textId="77777777" w:rsidR="00C03AF4" w:rsidRPr="0017505F" w:rsidRDefault="00C03AF4" w:rsidP="000F2E84">
            <w:pPr>
              <w:widowControl w:val="0"/>
              <w:tabs>
                <w:tab w:val="center" w:pos="2127"/>
                <w:tab w:val="center" w:pos="6379"/>
              </w:tabs>
            </w:pPr>
          </w:p>
          <w:p w14:paraId="3F222F0D" w14:textId="77777777" w:rsidR="00C03AF4" w:rsidRPr="0017505F" w:rsidRDefault="00C03AF4" w:rsidP="000F2E84">
            <w:pPr>
              <w:widowControl w:val="0"/>
              <w:tabs>
                <w:tab w:val="center" w:pos="2127"/>
                <w:tab w:val="center" w:pos="6379"/>
              </w:tabs>
            </w:pPr>
          </w:p>
          <w:p w14:paraId="1D73DA65" w14:textId="77777777" w:rsidR="00C03AF4" w:rsidRPr="0017505F" w:rsidRDefault="00C03AF4" w:rsidP="000F2E84">
            <w:pPr>
              <w:widowControl w:val="0"/>
              <w:tabs>
                <w:tab w:val="center" w:pos="2127"/>
                <w:tab w:val="center" w:pos="6379"/>
              </w:tabs>
            </w:pPr>
          </w:p>
          <w:p w14:paraId="008E11E9" w14:textId="77777777" w:rsidR="00C03AF4" w:rsidRPr="0017505F" w:rsidRDefault="00C03AF4" w:rsidP="000F2E84">
            <w:pPr>
              <w:widowControl w:val="0"/>
              <w:tabs>
                <w:tab w:val="center" w:pos="2552"/>
                <w:tab w:val="center" w:pos="6804"/>
              </w:tabs>
            </w:pPr>
            <w:r w:rsidRPr="0017505F">
              <w:t>…………………………………………………………</w:t>
            </w:r>
          </w:p>
          <w:p w14:paraId="6551DA7B" w14:textId="17FBD217" w:rsidR="00C03AF4" w:rsidRPr="000C11A2" w:rsidRDefault="00C03AF4" w:rsidP="000F2E84">
            <w:pPr>
              <w:widowControl w:val="0"/>
              <w:tabs>
                <w:tab w:val="center" w:pos="2552"/>
                <w:tab w:val="center" w:pos="6804"/>
              </w:tabs>
            </w:pPr>
          </w:p>
          <w:p w14:paraId="10377B6D" w14:textId="77777777" w:rsidR="00C03AF4" w:rsidRPr="0017505F" w:rsidRDefault="00C03AF4" w:rsidP="000F2E84">
            <w:pPr>
              <w:widowControl w:val="0"/>
              <w:tabs>
                <w:tab w:val="center" w:pos="2552"/>
                <w:tab w:val="center" w:pos="6804"/>
              </w:tabs>
            </w:pPr>
            <w:r w:rsidRPr="000C11A2">
              <w:t>ředitel</w:t>
            </w:r>
          </w:p>
        </w:tc>
      </w:tr>
    </w:tbl>
    <w:p w14:paraId="3BD770FD" w14:textId="77777777" w:rsidR="00C03AF4" w:rsidRDefault="00C03AF4" w:rsidP="00C03AF4">
      <w:pPr>
        <w:spacing w:after="120"/>
      </w:pPr>
    </w:p>
    <w:p w14:paraId="53165BEC" w14:textId="2B2C252D" w:rsidR="00C03AF4" w:rsidRDefault="00C03AF4" w:rsidP="00C03AF4">
      <w:pPr>
        <w:pStyle w:val="Nzev"/>
      </w:pPr>
      <w:r>
        <w:br w:type="page"/>
      </w:r>
      <w:bookmarkStart w:id="11" w:name="_Toc79487378"/>
      <w:r w:rsidRPr="00DC5BF2">
        <w:lastRenderedPageBreak/>
        <w:t xml:space="preserve">Příloha </w:t>
      </w:r>
      <w:r w:rsidR="00811614">
        <w:t xml:space="preserve">č. </w:t>
      </w:r>
      <w:r w:rsidRPr="00DC5BF2">
        <w:t>1 Specifikace a popis sjednaného rozsahu Licencí HELIOS Nephrite</w:t>
      </w:r>
      <w:bookmarkEnd w:id="11"/>
    </w:p>
    <w:p w14:paraId="1BD1478D" w14:textId="77777777" w:rsidR="00C03AF4" w:rsidRDefault="00C03AF4" w:rsidP="00C03AF4">
      <w:pPr>
        <w:spacing w:after="120"/>
      </w:pPr>
    </w:p>
    <w:tbl>
      <w:tblPr>
        <w:tblW w:w="0" w:type="auto"/>
        <w:tblInd w:w="2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1"/>
        <w:gridCol w:w="1667"/>
      </w:tblGrid>
      <w:tr w:rsidR="00C03AF4" w14:paraId="1A6F871C" w14:textId="77777777" w:rsidTr="000F2E84">
        <w:trPr>
          <w:trHeight w:val="290"/>
        </w:trPr>
        <w:tc>
          <w:tcPr>
            <w:tcW w:w="2191" w:type="dxa"/>
          </w:tcPr>
          <w:p w14:paraId="46B2A565" w14:textId="77777777" w:rsidR="00C03AF4" w:rsidRDefault="00C03AF4" w:rsidP="000F2E84">
            <w:pPr>
              <w:autoSpaceDE w:val="0"/>
              <w:autoSpaceDN w:val="0"/>
              <w:adjustRightInd w:val="0"/>
              <w:rPr>
                <w:rFonts w:cs="Calibri"/>
                <w:color w:val="000000"/>
              </w:rPr>
            </w:pPr>
            <w:r>
              <w:rPr>
                <w:rFonts w:cs="Calibri"/>
                <w:color w:val="000000"/>
              </w:rPr>
              <w:t>Funkční oblast</w:t>
            </w:r>
          </w:p>
        </w:tc>
        <w:tc>
          <w:tcPr>
            <w:tcW w:w="1667" w:type="dxa"/>
          </w:tcPr>
          <w:p w14:paraId="4E7FDDDF" w14:textId="77777777" w:rsidR="00C03AF4" w:rsidRDefault="00C03AF4" w:rsidP="000F2E84">
            <w:pPr>
              <w:autoSpaceDE w:val="0"/>
              <w:autoSpaceDN w:val="0"/>
              <w:adjustRightInd w:val="0"/>
              <w:rPr>
                <w:rFonts w:cs="Calibri"/>
                <w:color w:val="000000"/>
              </w:rPr>
            </w:pPr>
            <w:r>
              <w:rPr>
                <w:rFonts w:cs="Calibri"/>
                <w:color w:val="000000"/>
              </w:rPr>
              <w:t>Počet</w:t>
            </w:r>
          </w:p>
        </w:tc>
      </w:tr>
      <w:tr w:rsidR="00C03AF4" w14:paraId="7B071E9B" w14:textId="77777777" w:rsidTr="000F2E84">
        <w:trPr>
          <w:trHeight w:val="290"/>
        </w:trPr>
        <w:tc>
          <w:tcPr>
            <w:tcW w:w="2191" w:type="dxa"/>
          </w:tcPr>
          <w:p w14:paraId="439F0182" w14:textId="77777777" w:rsidR="00C03AF4" w:rsidRDefault="00C03AF4" w:rsidP="000F2E84">
            <w:pPr>
              <w:autoSpaceDE w:val="0"/>
              <w:autoSpaceDN w:val="0"/>
              <w:adjustRightInd w:val="0"/>
              <w:rPr>
                <w:rFonts w:cs="Calibri"/>
                <w:color w:val="000000"/>
              </w:rPr>
            </w:pPr>
            <w:r>
              <w:rPr>
                <w:rFonts w:cs="Calibri"/>
                <w:color w:val="000000"/>
              </w:rPr>
              <w:t>Základ</w:t>
            </w:r>
          </w:p>
        </w:tc>
        <w:tc>
          <w:tcPr>
            <w:tcW w:w="1667" w:type="dxa"/>
          </w:tcPr>
          <w:p w14:paraId="4609A4E1"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08F25482" w14:textId="77777777" w:rsidTr="000F2E84">
        <w:trPr>
          <w:trHeight w:val="290"/>
        </w:trPr>
        <w:tc>
          <w:tcPr>
            <w:tcW w:w="2191" w:type="dxa"/>
          </w:tcPr>
          <w:p w14:paraId="5B2E1C77" w14:textId="77777777" w:rsidR="00C03AF4" w:rsidRDefault="00C03AF4" w:rsidP="000F2E84">
            <w:pPr>
              <w:autoSpaceDE w:val="0"/>
              <w:autoSpaceDN w:val="0"/>
              <w:adjustRightInd w:val="0"/>
              <w:rPr>
                <w:rFonts w:cs="Calibri"/>
                <w:color w:val="000000"/>
              </w:rPr>
            </w:pPr>
            <w:r>
              <w:rPr>
                <w:rFonts w:cs="Calibri"/>
                <w:color w:val="000000"/>
              </w:rPr>
              <w:t>HR - Personalistika</w:t>
            </w:r>
          </w:p>
        </w:tc>
        <w:tc>
          <w:tcPr>
            <w:tcW w:w="1667" w:type="dxa"/>
          </w:tcPr>
          <w:p w14:paraId="1306DA53"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4408FCB4" w14:textId="77777777" w:rsidTr="000F2E84">
        <w:trPr>
          <w:trHeight w:val="290"/>
        </w:trPr>
        <w:tc>
          <w:tcPr>
            <w:tcW w:w="2191" w:type="dxa"/>
          </w:tcPr>
          <w:p w14:paraId="53A0B519" w14:textId="77777777" w:rsidR="00C03AF4" w:rsidRDefault="00C03AF4" w:rsidP="000F2E84">
            <w:pPr>
              <w:autoSpaceDE w:val="0"/>
              <w:autoSpaceDN w:val="0"/>
              <w:adjustRightInd w:val="0"/>
              <w:rPr>
                <w:rFonts w:cs="Calibri"/>
                <w:color w:val="000000"/>
              </w:rPr>
            </w:pPr>
            <w:r>
              <w:rPr>
                <w:rFonts w:cs="Calibri"/>
                <w:color w:val="000000"/>
              </w:rPr>
              <w:t>Zakázka - jen číselník</w:t>
            </w:r>
          </w:p>
        </w:tc>
        <w:tc>
          <w:tcPr>
            <w:tcW w:w="1667" w:type="dxa"/>
          </w:tcPr>
          <w:p w14:paraId="575070EC"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037DF2A8" w14:textId="77777777" w:rsidTr="000F2E84">
        <w:trPr>
          <w:trHeight w:val="290"/>
        </w:trPr>
        <w:tc>
          <w:tcPr>
            <w:tcW w:w="2191" w:type="dxa"/>
          </w:tcPr>
          <w:p w14:paraId="27D35F9B" w14:textId="77777777" w:rsidR="00C03AF4" w:rsidRDefault="00C03AF4" w:rsidP="000F2E84">
            <w:pPr>
              <w:autoSpaceDE w:val="0"/>
              <w:autoSpaceDN w:val="0"/>
              <w:adjustRightInd w:val="0"/>
              <w:rPr>
                <w:rFonts w:cs="Calibri"/>
                <w:color w:val="000000"/>
              </w:rPr>
            </w:pPr>
            <w:r>
              <w:rPr>
                <w:rFonts w:cs="Calibri"/>
                <w:color w:val="000000"/>
              </w:rPr>
              <w:t>Odpisy pohledávek</w:t>
            </w:r>
          </w:p>
        </w:tc>
        <w:tc>
          <w:tcPr>
            <w:tcW w:w="1667" w:type="dxa"/>
          </w:tcPr>
          <w:p w14:paraId="73078B75"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71A094F0" w14:textId="77777777" w:rsidTr="000F2E84">
        <w:trPr>
          <w:trHeight w:val="290"/>
        </w:trPr>
        <w:tc>
          <w:tcPr>
            <w:tcW w:w="2191" w:type="dxa"/>
          </w:tcPr>
          <w:p w14:paraId="11D2C0EB" w14:textId="77777777" w:rsidR="00C03AF4" w:rsidRDefault="00C03AF4" w:rsidP="000F2E84">
            <w:pPr>
              <w:autoSpaceDE w:val="0"/>
              <w:autoSpaceDN w:val="0"/>
              <w:adjustRightInd w:val="0"/>
              <w:rPr>
                <w:rFonts w:cs="Calibri"/>
                <w:color w:val="000000"/>
              </w:rPr>
            </w:pPr>
            <w:r>
              <w:rPr>
                <w:rFonts w:cs="Calibri"/>
                <w:color w:val="000000"/>
              </w:rPr>
              <w:t>Finanční plány základ</w:t>
            </w:r>
          </w:p>
        </w:tc>
        <w:tc>
          <w:tcPr>
            <w:tcW w:w="1667" w:type="dxa"/>
          </w:tcPr>
          <w:p w14:paraId="5D3FBF73"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1D737356" w14:textId="77777777" w:rsidTr="000F2E84">
        <w:trPr>
          <w:trHeight w:val="290"/>
        </w:trPr>
        <w:tc>
          <w:tcPr>
            <w:tcW w:w="2191" w:type="dxa"/>
          </w:tcPr>
          <w:p w14:paraId="387EA630" w14:textId="77777777" w:rsidR="00C03AF4" w:rsidRDefault="00C03AF4" w:rsidP="000F2E84">
            <w:pPr>
              <w:autoSpaceDE w:val="0"/>
              <w:autoSpaceDN w:val="0"/>
              <w:adjustRightInd w:val="0"/>
              <w:rPr>
                <w:rFonts w:cs="Calibri"/>
                <w:color w:val="000000"/>
              </w:rPr>
            </w:pPr>
            <w:r>
              <w:rPr>
                <w:rFonts w:cs="Calibri"/>
                <w:color w:val="000000"/>
              </w:rPr>
              <w:t>Státní správa</w:t>
            </w:r>
          </w:p>
        </w:tc>
        <w:tc>
          <w:tcPr>
            <w:tcW w:w="1667" w:type="dxa"/>
          </w:tcPr>
          <w:p w14:paraId="6DBA4199"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51C5BDFE" w14:textId="77777777" w:rsidTr="000F2E84">
        <w:trPr>
          <w:trHeight w:val="290"/>
        </w:trPr>
        <w:tc>
          <w:tcPr>
            <w:tcW w:w="2191" w:type="dxa"/>
          </w:tcPr>
          <w:p w14:paraId="711C5B51" w14:textId="77777777" w:rsidR="00C03AF4" w:rsidRDefault="00C03AF4" w:rsidP="000F2E84">
            <w:pPr>
              <w:autoSpaceDE w:val="0"/>
              <w:autoSpaceDN w:val="0"/>
              <w:adjustRightInd w:val="0"/>
              <w:rPr>
                <w:rFonts w:cs="Calibri"/>
                <w:color w:val="000000"/>
              </w:rPr>
            </w:pPr>
            <w:r>
              <w:rPr>
                <w:rFonts w:cs="Calibri"/>
                <w:color w:val="000000"/>
              </w:rPr>
              <w:t>Provozní modul</w:t>
            </w:r>
          </w:p>
        </w:tc>
        <w:tc>
          <w:tcPr>
            <w:tcW w:w="1667" w:type="dxa"/>
          </w:tcPr>
          <w:p w14:paraId="67E831A7"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4E521BBF" w14:textId="77777777" w:rsidTr="000F2E84">
        <w:trPr>
          <w:trHeight w:val="290"/>
        </w:trPr>
        <w:tc>
          <w:tcPr>
            <w:tcW w:w="2191" w:type="dxa"/>
          </w:tcPr>
          <w:p w14:paraId="2A168973" w14:textId="77777777" w:rsidR="00C03AF4" w:rsidRDefault="00C03AF4" w:rsidP="000F2E84">
            <w:pPr>
              <w:autoSpaceDE w:val="0"/>
              <w:autoSpaceDN w:val="0"/>
              <w:adjustRightInd w:val="0"/>
              <w:rPr>
                <w:rFonts w:cs="Calibri"/>
                <w:color w:val="000000"/>
              </w:rPr>
            </w:pPr>
            <w:r>
              <w:rPr>
                <w:rFonts w:cs="Calibri"/>
                <w:color w:val="000000"/>
              </w:rPr>
              <w:t>Hřbitovní agenda</w:t>
            </w:r>
          </w:p>
        </w:tc>
        <w:tc>
          <w:tcPr>
            <w:tcW w:w="1667" w:type="dxa"/>
          </w:tcPr>
          <w:p w14:paraId="3DA3C1E4"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4779BBEC" w14:textId="77777777" w:rsidTr="000F2E84">
        <w:trPr>
          <w:trHeight w:val="290"/>
        </w:trPr>
        <w:tc>
          <w:tcPr>
            <w:tcW w:w="2191" w:type="dxa"/>
          </w:tcPr>
          <w:p w14:paraId="3EFF5903" w14:textId="77777777" w:rsidR="00C03AF4" w:rsidRDefault="00C03AF4" w:rsidP="000F2E84">
            <w:pPr>
              <w:autoSpaceDE w:val="0"/>
              <w:autoSpaceDN w:val="0"/>
              <w:adjustRightInd w:val="0"/>
              <w:rPr>
                <w:rFonts w:cs="Calibri"/>
                <w:color w:val="000000"/>
              </w:rPr>
            </w:pPr>
            <w:r>
              <w:rPr>
                <w:rFonts w:cs="Calibri"/>
                <w:color w:val="000000"/>
              </w:rPr>
              <w:t>Přeúčtování režií</w:t>
            </w:r>
          </w:p>
        </w:tc>
        <w:tc>
          <w:tcPr>
            <w:tcW w:w="1667" w:type="dxa"/>
          </w:tcPr>
          <w:p w14:paraId="65068DC5"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53A2F5BE" w14:textId="77777777" w:rsidTr="000F2E84">
        <w:trPr>
          <w:trHeight w:val="290"/>
        </w:trPr>
        <w:tc>
          <w:tcPr>
            <w:tcW w:w="2191" w:type="dxa"/>
          </w:tcPr>
          <w:p w14:paraId="242B2228" w14:textId="77777777" w:rsidR="00C03AF4" w:rsidRDefault="00C03AF4" w:rsidP="000F2E84">
            <w:pPr>
              <w:autoSpaceDE w:val="0"/>
              <w:autoSpaceDN w:val="0"/>
              <w:adjustRightInd w:val="0"/>
              <w:rPr>
                <w:rFonts w:cs="Calibri"/>
                <w:color w:val="000000"/>
              </w:rPr>
            </w:pPr>
            <w:r>
              <w:rPr>
                <w:rFonts w:cs="Calibri"/>
                <w:color w:val="000000"/>
              </w:rPr>
              <w:t>Rozhraní na Mzdy</w:t>
            </w:r>
          </w:p>
        </w:tc>
        <w:tc>
          <w:tcPr>
            <w:tcW w:w="1667" w:type="dxa"/>
          </w:tcPr>
          <w:p w14:paraId="25CA0EB5"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64FB339D" w14:textId="77777777" w:rsidTr="000F2E84">
        <w:trPr>
          <w:trHeight w:val="290"/>
        </w:trPr>
        <w:tc>
          <w:tcPr>
            <w:tcW w:w="2191" w:type="dxa"/>
          </w:tcPr>
          <w:p w14:paraId="2DBA5882" w14:textId="77777777" w:rsidR="00C03AF4" w:rsidRDefault="00C03AF4" w:rsidP="000F2E84">
            <w:pPr>
              <w:autoSpaceDE w:val="0"/>
              <w:autoSpaceDN w:val="0"/>
              <w:adjustRightInd w:val="0"/>
              <w:rPr>
                <w:rFonts w:cs="Calibri"/>
                <w:color w:val="000000"/>
              </w:rPr>
            </w:pPr>
            <w:r>
              <w:rPr>
                <w:rFonts w:cs="Calibri"/>
                <w:color w:val="000000"/>
              </w:rPr>
              <w:t>Uživatelé 1-10</w:t>
            </w:r>
          </w:p>
        </w:tc>
        <w:tc>
          <w:tcPr>
            <w:tcW w:w="1667" w:type="dxa"/>
          </w:tcPr>
          <w:p w14:paraId="60E24EF0" w14:textId="77777777" w:rsidR="00C03AF4" w:rsidRDefault="00C03AF4" w:rsidP="000F2E84">
            <w:pPr>
              <w:autoSpaceDE w:val="0"/>
              <w:autoSpaceDN w:val="0"/>
              <w:adjustRightInd w:val="0"/>
              <w:rPr>
                <w:rFonts w:cs="Calibri"/>
                <w:color w:val="000000"/>
              </w:rPr>
            </w:pPr>
            <w:r>
              <w:rPr>
                <w:rFonts w:cs="Calibri"/>
                <w:color w:val="000000"/>
              </w:rPr>
              <w:t>1</w:t>
            </w:r>
          </w:p>
        </w:tc>
      </w:tr>
      <w:tr w:rsidR="00C03AF4" w14:paraId="2E6C18CE" w14:textId="77777777" w:rsidTr="000F2E84">
        <w:trPr>
          <w:trHeight w:val="290"/>
        </w:trPr>
        <w:tc>
          <w:tcPr>
            <w:tcW w:w="2191" w:type="dxa"/>
          </w:tcPr>
          <w:p w14:paraId="13F7F37E" w14:textId="77777777" w:rsidR="00C03AF4" w:rsidRDefault="00C03AF4" w:rsidP="000F2E84">
            <w:pPr>
              <w:autoSpaceDE w:val="0"/>
              <w:autoSpaceDN w:val="0"/>
              <w:adjustRightInd w:val="0"/>
              <w:rPr>
                <w:rFonts w:cs="Calibri"/>
                <w:color w:val="000000"/>
              </w:rPr>
            </w:pPr>
            <w:r>
              <w:rPr>
                <w:rFonts w:cs="Calibri"/>
                <w:color w:val="000000"/>
              </w:rPr>
              <w:t>Uživatelé 11-15</w:t>
            </w:r>
          </w:p>
        </w:tc>
        <w:tc>
          <w:tcPr>
            <w:tcW w:w="1667" w:type="dxa"/>
          </w:tcPr>
          <w:p w14:paraId="2A44DA01" w14:textId="77777777" w:rsidR="00C03AF4" w:rsidRDefault="00C03AF4" w:rsidP="000F2E84">
            <w:pPr>
              <w:autoSpaceDE w:val="0"/>
              <w:autoSpaceDN w:val="0"/>
              <w:adjustRightInd w:val="0"/>
              <w:rPr>
                <w:rFonts w:cs="Calibri"/>
                <w:color w:val="000000"/>
              </w:rPr>
            </w:pPr>
            <w:r>
              <w:rPr>
                <w:rFonts w:cs="Calibri"/>
                <w:color w:val="000000"/>
              </w:rPr>
              <w:t>1</w:t>
            </w:r>
          </w:p>
        </w:tc>
      </w:tr>
    </w:tbl>
    <w:p w14:paraId="04005268" w14:textId="77777777" w:rsidR="00C03AF4" w:rsidRDefault="00C03AF4" w:rsidP="00C03AF4">
      <w:pPr>
        <w:spacing w:after="120"/>
      </w:pPr>
    </w:p>
    <w:p w14:paraId="1B6622C5" w14:textId="77777777" w:rsidR="00C03AF4" w:rsidRDefault="00C03AF4" w:rsidP="003F45F0">
      <w:pPr>
        <w:pStyle w:val="Akce"/>
      </w:pPr>
      <w:r>
        <w:t>Licence MS SQL Serveru</w:t>
      </w:r>
    </w:p>
    <w:tbl>
      <w:tblPr>
        <w:tblW w:w="6088" w:type="dxa"/>
        <w:tblInd w:w="75" w:type="dxa"/>
        <w:tblCellMar>
          <w:left w:w="70" w:type="dxa"/>
          <w:right w:w="70" w:type="dxa"/>
        </w:tblCellMar>
        <w:tblLook w:val="04A0" w:firstRow="1" w:lastRow="0" w:firstColumn="1" w:lastColumn="0" w:noHBand="0" w:noVBand="1"/>
      </w:tblPr>
      <w:tblGrid>
        <w:gridCol w:w="2200"/>
        <w:gridCol w:w="1620"/>
        <w:gridCol w:w="2268"/>
      </w:tblGrid>
      <w:tr w:rsidR="003F45F0" w:rsidRPr="009339E3" w14:paraId="6781E9A9" w14:textId="77777777" w:rsidTr="003F45F0">
        <w:trPr>
          <w:trHeight w:val="300"/>
        </w:trPr>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0A1E1" w14:textId="77777777" w:rsidR="003F45F0" w:rsidRPr="009339E3" w:rsidRDefault="003F45F0" w:rsidP="000F2E84">
            <w:pPr>
              <w:jc w:val="both"/>
              <w:rPr>
                <w:rFonts w:cs="Calibri"/>
                <w:i/>
                <w:iCs/>
                <w:color w:val="333333"/>
                <w:sz w:val="20"/>
                <w:szCs w:val="20"/>
              </w:rPr>
            </w:pPr>
            <w:r w:rsidRPr="009339E3">
              <w:rPr>
                <w:rFonts w:cs="Calibri"/>
                <w:i/>
                <w:iCs/>
                <w:color w:val="333333"/>
                <w:sz w:val="20"/>
                <w:szCs w:val="20"/>
              </w:rPr>
              <w:t>Licence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085F0511" w14:textId="77777777" w:rsidR="003F45F0" w:rsidRPr="009339E3" w:rsidRDefault="003F45F0" w:rsidP="000F2E84">
            <w:pPr>
              <w:jc w:val="both"/>
              <w:rPr>
                <w:rFonts w:cs="Calibri"/>
                <w:i/>
                <w:iCs/>
                <w:color w:val="333333"/>
                <w:sz w:val="20"/>
                <w:szCs w:val="20"/>
              </w:rPr>
            </w:pPr>
            <w:r w:rsidRPr="009339E3">
              <w:rPr>
                <w:rFonts w:cs="Calibri"/>
                <w:i/>
                <w:iCs/>
                <w:color w:val="333333"/>
                <w:sz w:val="20"/>
                <w:szCs w:val="20"/>
              </w:rPr>
              <w:t>Počet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48C5ABE" w14:textId="77777777" w:rsidR="003F45F0" w:rsidRPr="009339E3" w:rsidRDefault="003F45F0" w:rsidP="000F2E84">
            <w:pPr>
              <w:jc w:val="both"/>
              <w:rPr>
                <w:rFonts w:cs="Calibri"/>
                <w:i/>
                <w:iCs/>
                <w:color w:val="333333"/>
                <w:sz w:val="20"/>
                <w:szCs w:val="20"/>
              </w:rPr>
            </w:pPr>
            <w:r w:rsidRPr="009339E3">
              <w:rPr>
                <w:rFonts w:cs="Calibri"/>
                <w:i/>
                <w:iCs/>
                <w:color w:val="333333"/>
                <w:sz w:val="20"/>
                <w:szCs w:val="20"/>
              </w:rPr>
              <w:t>Poznámka</w:t>
            </w:r>
          </w:p>
        </w:tc>
      </w:tr>
      <w:tr w:rsidR="003F45F0" w:rsidRPr="009339E3" w14:paraId="0E763A2B" w14:textId="77777777" w:rsidTr="003F45F0">
        <w:trPr>
          <w:trHeight w:val="510"/>
        </w:trPr>
        <w:tc>
          <w:tcPr>
            <w:tcW w:w="2200" w:type="dxa"/>
            <w:tcBorders>
              <w:top w:val="nil"/>
              <w:left w:val="single" w:sz="4" w:space="0" w:color="auto"/>
              <w:bottom w:val="single" w:sz="4" w:space="0" w:color="auto"/>
              <w:right w:val="single" w:sz="4" w:space="0" w:color="auto"/>
            </w:tcBorders>
            <w:shd w:val="clear" w:color="000000" w:fill="FFFFFF"/>
            <w:vAlign w:val="center"/>
            <w:hideMark/>
          </w:tcPr>
          <w:p w14:paraId="7DEDF2E6" w14:textId="77777777" w:rsidR="003F45F0" w:rsidRPr="009339E3" w:rsidRDefault="003F45F0" w:rsidP="000F2E84">
            <w:pPr>
              <w:jc w:val="both"/>
              <w:rPr>
                <w:rFonts w:cs="Calibri"/>
                <w:color w:val="333333"/>
                <w:sz w:val="20"/>
                <w:szCs w:val="20"/>
              </w:rPr>
            </w:pPr>
            <w:r w:rsidRPr="009339E3">
              <w:rPr>
                <w:rFonts w:cs="Calibri"/>
                <w:color w:val="333333"/>
                <w:sz w:val="20"/>
                <w:szCs w:val="20"/>
              </w:rPr>
              <w:t>SQLSvrStdRuntime 2019 ALNG Emb MVL 1Clt</w:t>
            </w:r>
          </w:p>
        </w:tc>
        <w:tc>
          <w:tcPr>
            <w:tcW w:w="1620" w:type="dxa"/>
            <w:tcBorders>
              <w:top w:val="nil"/>
              <w:left w:val="nil"/>
              <w:bottom w:val="single" w:sz="4" w:space="0" w:color="auto"/>
              <w:right w:val="single" w:sz="4" w:space="0" w:color="auto"/>
            </w:tcBorders>
            <w:shd w:val="clear" w:color="000000" w:fill="FFFFFF"/>
            <w:vAlign w:val="center"/>
            <w:hideMark/>
          </w:tcPr>
          <w:p w14:paraId="2C8C6116" w14:textId="77777777" w:rsidR="003F45F0" w:rsidRPr="009339E3" w:rsidRDefault="003F45F0" w:rsidP="000F2E84">
            <w:pPr>
              <w:jc w:val="center"/>
              <w:rPr>
                <w:rFonts w:cs="Calibri"/>
                <w:color w:val="333333"/>
                <w:sz w:val="20"/>
                <w:szCs w:val="20"/>
              </w:rPr>
            </w:pPr>
            <w:r w:rsidRPr="009339E3">
              <w:rPr>
                <w:rFonts w:cs="Calibri"/>
                <w:color w:val="333333"/>
                <w:sz w:val="20"/>
                <w:szCs w:val="20"/>
              </w:rPr>
              <w:t>1</w:t>
            </w:r>
          </w:p>
        </w:tc>
        <w:tc>
          <w:tcPr>
            <w:tcW w:w="2268" w:type="dxa"/>
            <w:tcBorders>
              <w:top w:val="nil"/>
              <w:left w:val="nil"/>
              <w:bottom w:val="single" w:sz="4" w:space="0" w:color="auto"/>
              <w:right w:val="single" w:sz="4" w:space="0" w:color="auto"/>
            </w:tcBorders>
            <w:shd w:val="clear" w:color="000000" w:fill="FFFFFF"/>
            <w:vAlign w:val="center"/>
            <w:hideMark/>
          </w:tcPr>
          <w:p w14:paraId="4B0EB658" w14:textId="77777777" w:rsidR="003F45F0" w:rsidRPr="009339E3" w:rsidRDefault="003F45F0" w:rsidP="000F2E84">
            <w:pPr>
              <w:jc w:val="both"/>
              <w:rPr>
                <w:rFonts w:cs="Calibri"/>
                <w:color w:val="333333"/>
                <w:sz w:val="20"/>
                <w:szCs w:val="20"/>
              </w:rPr>
            </w:pPr>
            <w:r w:rsidRPr="009339E3">
              <w:rPr>
                <w:rFonts w:cs="Calibri"/>
                <w:color w:val="333333"/>
                <w:sz w:val="20"/>
                <w:szCs w:val="20"/>
              </w:rPr>
              <w:t>Licence pro server +1 uživatele</w:t>
            </w:r>
          </w:p>
        </w:tc>
      </w:tr>
      <w:tr w:rsidR="003F45F0" w:rsidRPr="009339E3" w14:paraId="031C014E" w14:textId="77777777" w:rsidTr="003F45F0">
        <w:trPr>
          <w:trHeight w:val="510"/>
        </w:trPr>
        <w:tc>
          <w:tcPr>
            <w:tcW w:w="2200" w:type="dxa"/>
            <w:tcBorders>
              <w:top w:val="nil"/>
              <w:left w:val="single" w:sz="4" w:space="0" w:color="auto"/>
              <w:bottom w:val="single" w:sz="4" w:space="0" w:color="auto"/>
              <w:right w:val="single" w:sz="4" w:space="0" w:color="auto"/>
            </w:tcBorders>
            <w:shd w:val="clear" w:color="000000" w:fill="FFFFFF"/>
            <w:vAlign w:val="center"/>
            <w:hideMark/>
          </w:tcPr>
          <w:p w14:paraId="68A2422F" w14:textId="77777777" w:rsidR="003F45F0" w:rsidRPr="009339E3" w:rsidRDefault="003F45F0" w:rsidP="000F2E84">
            <w:pPr>
              <w:jc w:val="both"/>
              <w:rPr>
                <w:rFonts w:cs="Calibri"/>
                <w:color w:val="333333"/>
                <w:sz w:val="20"/>
                <w:szCs w:val="20"/>
              </w:rPr>
            </w:pPr>
            <w:r w:rsidRPr="009339E3">
              <w:rPr>
                <w:rFonts w:cs="Calibri"/>
                <w:color w:val="333333"/>
                <w:sz w:val="20"/>
                <w:szCs w:val="20"/>
              </w:rPr>
              <w:t>SQLCALRuntime 2019 ALNG Emb MVL</w:t>
            </w:r>
          </w:p>
        </w:tc>
        <w:tc>
          <w:tcPr>
            <w:tcW w:w="1620" w:type="dxa"/>
            <w:tcBorders>
              <w:top w:val="nil"/>
              <w:left w:val="nil"/>
              <w:bottom w:val="single" w:sz="4" w:space="0" w:color="auto"/>
              <w:right w:val="single" w:sz="4" w:space="0" w:color="auto"/>
            </w:tcBorders>
            <w:shd w:val="clear" w:color="auto" w:fill="auto"/>
            <w:noWrap/>
            <w:vAlign w:val="bottom"/>
            <w:hideMark/>
          </w:tcPr>
          <w:p w14:paraId="33D1F89D" w14:textId="77777777" w:rsidR="003F45F0" w:rsidRPr="009339E3" w:rsidRDefault="003F45F0" w:rsidP="000F2E84">
            <w:pPr>
              <w:jc w:val="center"/>
              <w:rPr>
                <w:rFonts w:cs="Calibri"/>
                <w:color w:val="000000"/>
              </w:rPr>
            </w:pPr>
            <w:r w:rsidRPr="009339E3">
              <w:rPr>
                <w:rFonts w:cs="Calibri"/>
                <w:color w:val="000000"/>
              </w:rPr>
              <w:t>25</w:t>
            </w:r>
          </w:p>
        </w:tc>
        <w:tc>
          <w:tcPr>
            <w:tcW w:w="2268" w:type="dxa"/>
            <w:tcBorders>
              <w:top w:val="nil"/>
              <w:left w:val="nil"/>
              <w:bottom w:val="single" w:sz="4" w:space="0" w:color="auto"/>
              <w:right w:val="single" w:sz="4" w:space="0" w:color="auto"/>
            </w:tcBorders>
            <w:shd w:val="clear" w:color="auto" w:fill="auto"/>
            <w:noWrap/>
            <w:vAlign w:val="bottom"/>
            <w:hideMark/>
          </w:tcPr>
          <w:p w14:paraId="6D8ADBB8" w14:textId="77777777" w:rsidR="003F45F0" w:rsidRPr="009339E3" w:rsidRDefault="003F45F0" w:rsidP="000F2E84">
            <w:pPr>
              <w:rPr>
                <w:rFonts w:cs="Calibri"/>
                <w:color w:val="000000"/>
              </w:rPr>
            </w:pPr>
            <w:r w:rsidRPr="009339E3">
              <w:rPr>
                <w:rFonts w:cs="Calibri"/>
                <w:color w:val="000000"/>
              </w:rPr>
              <w:t> </w:t>
            </w:r>
          </w:p>
        </w:tc>
      </w:tr>
    </w:tbl>
    <w:p w14:paraId="030A4397" w14:textId="77777777" w:rsidR="00C03AF4" w:rsidRDefault="00C03AF4" w:rsidP="00C03AF4">
      <w:pPr>
        <w:spacing w:after="120"/>
      </w:pPr>
    </w:p>
    <w:p w14:paraId="2BE9B0AF" w14:textId="77777777" w:rsidR="0000755C" w:rsidRDefault="00C03AF4" w:rsidP="00C03AF4">
      <w:pPr>
        <w:pStyle w:val="Nzev"/>
      </w:pPr>
      <w:r>
        <w:br w:type="page"/>
      </w:r>
    </w:p>
    <w:p w14:paraId="11DA413E" w14:textId="0F426361" w:rsidR="0000755C" w:rsidRDefault="0000755C" w:rsidP="00C03AF4">
      <w:pPr>
        <w:pStyle w:val="Nzev"/>
      </w:pPr>
      <w:bookmarkStart w:id="12" w:name="_Toc79487379"/>
      <w:r>
        <w:lastRenderedPageBreak/>
        <w:t>Příloha č. 2 Členění ceny</w:t>
      </w:r>
      <w:bookmarkEnd w:id="12"/>
    </w:p>
    <w:p w14:paraId="00EB38AA" w14:textId="5AE97C9E" w:rsidR="0000755C" w:rsidRDefault="0000755C" w:rsidP="00C03AF4">
      <w:pPr>
        <w:pStyle w:val="Nzev"/>
      </w:pPr>
    </w:p>
    <w:tbl>
      <w:tblPr>
        <w:tblW w:w="8921" w:type="dxa"/>
        <w:tblCellMar>
          <w:left w:w="70" w:type="dxa"/>
          <w:right w:w="70" w:type="dxa"/>
        </w:tblCellMar>
        <w:tblLook w:val="04A0" w:firstRow="1" w:lastRow="0" w:firstColumn="1" w:lastColumn="0" w:noHBand="0" w:noVBand="1"/>
      </w:tblPr>
      <w:tblGrid>
        <w:gridCol w:w="3534"/>
        <w:gridCol w:w="1843"/>
        <w:gridCol w:w="1843"/>
        <w:gridCol w:w="1701"/>
      </w:tblGrid>
      <w:tr w:rsidR="0000755C" w:rsidRPr="0000755C" w14:paraId="4078660B" w14:textId="77777777" w:rsidTr="0000755C">
        <w:trPr>
          <w:trHeight w:val="615"/>
        </w:trPr>
        <w:tc>
          <w:tcPr>
            <w:tcW w:w="3534" w:type="dxa"/>
            <w:tcBorders>
              <w:top w:val="single" w:sz="8" w:space="0" w:color="auto"/>
              <w:left w:val="single" w:sz="8" w:space="0" w:color="auto"/>
              <w:bottom w:val="single" w:sz="8" w:space="0" w:color="auto"/>
              <w:right w:val="nil"/>
            </w:tcBorders>
            <w:shd w:val="clear" w:color="auto" w:fill="auto"/>
            <w:vAlign w:val="center"/>
            <w:hideMark/>
          </w:tcPr>
          <w:p w14:paraId="19A4FFF1" w14:textId="77777777" w:rsidR="0000755C" w:rsidRPr="0000755C" w:rsidRDefault="0000755C" w:rsidP="0000755C">
            <w:pPr>
              <w:rPr>
                <w:rFonts w:eastAsia="Times New Roman" w:cs="Calibri"/>
                <w:b/>
                <w:bCs/>
                <w:color w:val="000000"/>
                <w:szCs w:val="22"/>
                <w:lang w:eastAsia="cs-CZ"/>
              </w:rPr>
            </w:pPr>
            <w:r w:rsidRPr="0000755C">
              <w:rPr>
                <w:rFonts w:eastAsia="Times New Roman" w:cs="Calibri"/>
                <w:b/>
                <w:bCs/>
                <w:color w:val="000000"/>
                <w:szCs w:val="22"/>
                <w:lang w:eastAsia="cs-CZ"/>
              </w:rPr>
              <w:t>Položka</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FB851C" w14:textId="77777777" w:rsidR="0000755C" w:rsidRPr="0000755C" w:rsidRDefault="0000755C" w:rsidP="0000755C">
            <w:pPr>
              <w:jc w:val="right"/>
              <w:rPr>
                <w:rFonts w:eastAsia="Times New Roman" w:cs="Calibri"/>
                <w:b/>
                <w:bCs/>
                <w:color w:val="000000"/>
                <w:szCs w:val="22"/>
                <w:lang w:eastAsia="cs-CZ"/>
              </w:rPr>
            </w:pPr>
            <w:r w:rsidRPr="0000755C">
              <w:rPr>
                <w:rFonts w:eastAsia="Times New Roman" w:cs="Calibri"/>
                <w:b/>
                <w:bCs/>
                <w:color w:val="000000"/>
                <w:szCs w:val="22"/>
                <w:lang w:eastAsia="cs-CZ"/>
              </w:rPr>
              <w:t>Cena bez DPH [Kč]</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712E64BA" w14:textId="77777777" w:rsidR="0000755C" w:rsidRPr="0000755C" w:rsidRDefault="0000755C" w:rsidP="0000755C">
            <w:pPr>
              <w:jc w:val="right"/>
              <w:rPr>
                <w:rFonts w:eastAsia="Times New Roman" w:cs="Calibri"/>
                <w:b/>
                <w:bCs/>
                <w:color w:val="000000"/>
                <w:szCs w:val="22"/>
                <w:lang w:eastAsia="cs-CZ"/>
              </w:rPr>
            </w:pPr>
            <w:r w:rsidRPr="0000755C">
              <w:rPr>
                <w:rFonts w:eastAsia="Times New Roman" w:cs="Calibri"/>
                <w:b/>
                <w:bCs/>
                <w:color w:val="000000"/>
                <w:szCs w:val="22"/>
                <w:lang w:eastAsia="cs-CZ"/>
              </w:rPr>
              <w:t>DPH [Kč]</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1BDB2072" w14:textId="77777777" w:rsidR="0000755C" w:rsidRPr="0000755C" w:rsidRDefault="0000755C" w:rsidP="0000755C">
            <w:pPr>
              <w:jc w:val="right"/>
              <w:rPr>
                <w:rFonts w:eastAsia="Times New Roman" w:cs="Calibri"/>
                <w:b/>
                <w:bCs/>
                <w:color w:val="000000"/>
                <w:szCs w:val="22"/>
                <w:lang w:eastAsia="cs-CZ"/>
              </w:rPr>
            </w:pPr>
            <w:r w:rsidRPr="0000755C">
              <w:rPr>
                <w:rFonts w:eastAsia="Times New Roman" w:cs="Calibri"/>
                <w:b/>
                <w:bCs/>
                <w:color w:val="000000"/>
                <w:szCs w:val="22"/>
                <w:lang w:eastAsia="cs-CZ"/>
              </w:rPr>
              <w:t>Cena včetně DPH [Kč]</w:t>
            </w:r>
          </w:p>
        </w:tc>
      </w:tr>
      <w:tr w:rsidR="0000755C" w:rsidRPr="0000755C" w14:paraId="69A691A3" w14:textId="77777777" w:rsidTr="0000755C">
        <w:trPr>
          <w:trHeight w:val="499"/>
        </w:trPr>
        <w:tc>
          <w:tcPr>
            <w:tcW w:w="3534" w:type="dxa"/>
            <w:tcBorders>
              <w:top w:val="nil"/>
              <w:left w:val="single" w:sz="8" w:space="0" w:color="auto"/>
              <w:bottom w:val="single" w:sz="8" w:space="0" w:color="auto"/>
              <w:right w:val="single" w:sz="8" w:space="0" w:color="auto"/>
            </w:tcBorders>
            <w:shd w:val="clear" w:color="auto" w:fill="auto"/>
            <w:noWrap/>
            <w:vAlign w:val="bottom"/>
            <w:hideMark/>
          </w:tcPr>
          <w:p w14:paraId="65EF896A" w14:textId="77777777" w:rsidR="0000755C" w:rsidRPr="0000755C" w:rsidRDefault="0000755C" w:rsidP="0000755C">
            <w:pPr>
              <w:rPr>
                <w:rFonts w:eastAsia="Times New Roman" w:cs="Calibri"/>
                <w:color w:val="000000"/>
                <w:szCs w:val="22"/>
                <w:lang w:eastAsia="cs-CZ"/>
              </w:rPr>
            </w:pPr>
            <w:r w:rsidRPr="0000755C">
              <w:rPr>
                <w:rFonts w:eastAsia="Times New Roman" w:cs="Calibri"/>
                <w:color w:val="000000"/>
                <w:szCs w:val="22"/>
                <w:lang w:eastAsia="cs-CZ"/>
              </w:rPr>
              <w:t>Celková cena za předmět veřejné zakázky</w:t>
            </w:r>
          </w:p>
        </w:tc>
        <w:tc>
          <w:tcPr>
            <w:tcW w:w="1843" w:type="dxa"/>
            <w:tcBorders>
              <w:top w:val="nil"/>
              <w:left w:val="nil"/>
              <w:bottom w:val="single" w:sz="8" w:space="0" w:color="auto"/>
              <w:right w:val="single" w:sz="8" w:space="0" w:color="auto"/>
            </w:tcBorders>
            <w:shd w:val="clear" w:color="auto" w:fill="auto"/>
            <w:noWrap/>
            <w:vAlign w:val="bottom"/>
            <w:hideMark/>
          </w:tcPr>
          <w:p w14:paraId="3177840C" w14:textId="67DB15D1" w:rsidR="0000755C" w:rsidRPr="0000755C" w:rsidRDefault="0000755C" w:rsidP="0000755C">
            <w:pPr>
              <w:jc w:val="right"/>
              <w:rPr>
                <w:rFonts w:eastAsia="Times New Roman" w:cs="Calibri"/>
                <w:b/>
                <w:bCs/>
                <w:color w:val="000000"/>
                <w:sz w:val="28"/>
                <w:szCs w:val="28"/>
                <w:lang w:eastAsia="cs-CZ"/>
              </w:rPr>
            </w:pPr>
            <w:r>
              <w:rPr>
                <w:rFonts w:eastAsia="Times New Roman" w:cs="Calibri"/>
                <w:b/>
                <w:bCs/>
                <w:color w:val="000000"/>
                <w:sz w:val="28"/>
                <w:szCs w:val="28"/>
                <w:lang w:eastAsia="cs-CZ"/>
              </w:rPr>
              <w:t>1.894.689,50</w:t>
            </w:r>
          </w:p>
        </w:tc>
        <w:tc>
          <w:tcPr>
            <w:tcW w:w="1843" w:type="dxa"/>
            <w:tcBorders>
              <w:top w:val="nil"/>
              <w:left w:val="nil"/>
              <w:bottom w:val="single" w:sz="8" w:space="0" w:color="auto"/>
              <w:right w:val="single" w:sz="8" w:space="0" w:color="auto"/>
            </w:tcBorders>
            <w:shd w:val="clear" w:color="auto" w:fill="auto"/>
            <w:noWrap/>
            <w:vAlign w:val="bottom"/>
            <w:hideMark/>
          </w:tcPr>
          <w:p w14:paraId="51118059" w14:textId="112A073B" w:rsidR="0000755C" w:rsidRPr="0000755C" w:rsidRDefault="0000755C" w:rsidP="0000755C">
            <w:pPr>
              <w:jc w:val="right"/>
              <w:rPr>
                <w:rFonts w:eastAsia="Times New Roman" w:cs="Calibri"/>
                <w:b/>
                <w:bCs/>
                <w:color w:val="000000"/>
                <w:sz w:val="28"/>
                <w:szCs w:val="28"/>
                <w:lang w:eastAsia="cs-CZ"/>
              </w:rPr>
            </w:pPr>
            <w:r>
              <w:rPr>
                <w:rFonts w:eastAsia="Times New Roman" w:cs="Calibri"/>
                <w:b/>
                <w:bCs/>
                <w:color w:val="000000"/>
                <w:sz w:val="28"/>
                <w:szCs w:val="28"/>
                <w:lang w:eastAsia="cs-CZ"/>
              </w:rPr>
              <w:t>397.884,80</w:t>
            </w:r>
          </w:p>
        </w:tc>
        <w:tc>
          <w:tcPr>
            <w:tcW w:w="1701" w:type="dxa"/>
            <w:tcBorders>
              <w:top w:val="nil"/>
              <w:left w:val="nil"/>
              <w:bottom w:val="single" w:sz="8" w:space="0" w:color="auto"/>
              <w:right w:val="single" w:sz="8" w:space="0" w:color="auto"/>
            </w:tcBorders>
            <w:shd w:val="clear" w:color="auto" w:fill="auto"/>
            <w:noWrap/>
            <w:vAlign w:val="bottom"/>
            <w:hideMark/>
          </w:tcPr>
          <w:p w14:paraId="2775B4D2" w14:textId="732BC069" w:rsidR="0000755C" w:rsidRPr="0000755C" w:rsidRDefault="0000755C" w:rsidP="0000755C">
            <w:pPr>
              <w:jc w:val="right"/>
              <w:rPr>
                <w:rFonts w:eastAsia="Times New Roman" w:cs="Calibri"/>
                <w:b/>
                <w:bCs/>
                <w:color w:val="000000"/>
                <w:sz w:val="28"/>
                <w:szCs w:val="28"/>
                <w:lang w:eastAsia="cs-CZ"/>
              </w:rPr>
            </w:pPr>
            <w:r>
              <w:rPr>
                <w:rFonts w:eastAsia="Times New Roman" w:cs="Calibri"/>
                <w:b/>
                <w:bCs/>
                <w:color w:val="000000"/>
                <w:sz w:val="28"/>
                <w:szCs w:val="28"/>
                <w:lang w:eastAsia="cs-CZ"/>
              </w:rPr>
              <w:t>2.292.574</w:t>
            </w:r>
            <w:r w:rsidRPr="0000755C">
              <w:rPr>
                <w:rFonts w:eastAsia="Times New Roman" w:cs="Calibri"/>
                <w:b/>
                <w:bCs/>
                <w:color w:val="000000"/>
                <w:sz w:val="28"/>
                <w:szCs w:val="28"/>
                <w:lang w:eastAsia="cs-CZ"/>
              </w:rPr>
              <w:t>,</w:t>
            </w:r>
            <w:r>
              <w:rPr>
                <w:rFonts w:eastAsia="Times New Roman" w:cs="Calibri"/>
                <w:b/>
                <w:bCs/>
                <w:color w:val="000000"/>
                <w:sz w:val="28"/>
                <w:szCs w:val="28"/>
                <w:lang w:eastAsia="cs-CZ"/>
              </w:rPr>
              <w:t>3</w:t>
            </w:r>
            <w:r w:rsidRPr="0000755C">
              <w:rPr>
                <w:rFonts w:eastAsia="Times New Roman" w:cs="Calibri"/>
                <w:b/>
                <w:bCs/>
                <w:color w:val="000000"/>
                <w:sz w:val="28"/>
                <w:szCs w:val="28"/>
                <w:lang w:eastAsia="cs-CZ"/>
              </w:rPr>
              <w:t>0</w:t>
            </w:r>
          </w:p>
        </w:tc>
      </w:tr>
      <w:tr w:rsidR="0000755C" w:rsidRPr="0000755C" w14:paraId="0B57861F" w14:textId="77777777" w:rsidTr="0000755C">
        <w:trPr>
          <w:trHeight w:val="402"/>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362E00A5" w14:textId="77777777" w:rsidR="0000755C" w:rsidRPr="0000755C" w:rsidRDefault="0000755C" w:rsidP="0000755C">
            <w:pPr>
              <w:rPr>
                <w:rFonts w:eastAsia="Times New Roman" w:cs="Calibri"/>
                <w:color w:val="000000"/>
                <w:szCs w:val="22"/>
                <w:lang w:eastAsia="cs-CZ"/>
              </w:rPr>
            </w:pPr>
            <w:r w:rsidRPr="0000755C">
              <w:rPr>
                <w:rFonts w:eastAsia="Times New Roman" w:cs="Calibri"/>
                <w:color w:val="000000"/>
                <w:szCs w:val="22"/>
                <w:lang w:eastAsia="cs-CZ"/>
              </w:rPr>
              <w:t xml:space="preserve">  - z toho cena licencí SQL</w:t>
            </w:r>
          </w:p>
        </w:tc>
        <w:tc>
          <w:tcPr>
            <w:tcW w:w="1843" w:type="dxa"/>
            <w:tcBorders>
              <w:top w:val="nil"/>
              <w:left w:val="nil"/>
              <w:bottom w:val="single" w:sz="4" w:space="0" w:color="auto"/>
              <w:right w:val="single" w:sz="4" w:space="0" w:color="auto"/>
            </w:tcBorders>
            <w:shd w:val="clear" w:color="auto" w:fill="auto"/>
            <w:noWrap/>
            <w:vAlign w:val="bottom"/>
            <w:hideMark/>
          </w:tcPr>
          <w:p w14:paraId="1DDB7909" w14:textId="37460802" w:rsidR="0000755C" w:rsidRPr="0000755C" w:rsidRDefault="0000755C" w:rsidP="00901620">
            <w:pPr>
              <w:jc w:val="right"/>
              <w:rPr>
                <w:rFonts w:eastAsia="Times New Roman" w:cs="Calibri"/>
                <w:color w:val="000000"/>
                <w:sz w:val="24"/>
                <w:lang w:eastAsia="cs-CZ"/>
              </w:rPr>
            </w:pPr>
            <w:r w:rsidRPr="0000755C">
              <w:rPr>
                <w:rFonts w:eastAsia="Times New Roman" w:cs="Calibri"/>
                <w:color w:val="000000"/>
                <w:sz w:val="24"/>
                <w:lang w:eastAsia="cs-CZ"/>
              </w:rPr>
              <w:t> </w:t>
            </w:r>
            <w:r w:rsidR="00901620" w:rsidRPr="00901620">
              <w:rPr>
                <w:rFonts w:eastAsia="Times New Roman" w:cs="Calibri"/>
                <w:color w:val="000000"/>
                <w:sz w:val="24"/>
                <w:lang w:eastAsia="cs-CZ"/>
              </w:rPr>
              <w:t>93.277,00</w:t>
            </w:r>
          </w:p>
        </w:tc>
        <w:tc>
          <w:tcPr>
            <w:tcW w:w="1843" w:type="dxa"/>
            <w:tcBorders>
              <w:top w:val="nil"/>
              <w:left w:val="nil"/>
              <w:bottom w:val="single" w:sz="4" w:space="0" w:color="auto"/>
              <w:right w:val="single" w:sz="4" w:space="0" w:color="auto"/>
            </w:tcBorders>
            <w:shd w:val="clear" w:color="auto" w:fill="auto"/>
            <w:noWrap/>
            <w:vAlign w:val="bottom"/>
            <w:hideMark/>
          </w:tcPr>
          <w:p w14:paraId="07BEFF80" w14:textId="766B47E6" w:rsidR="0000755C" w:rsidRPr="0000755C" w:rsidRDefault="0000755C" w:rsidP="00901620">
            <w:pPr>
              <w:jc w:val="right"/>
              <w:rPr>
                <w:rFonts w:eastAsia="Times New Roman" w:cs="Calibri"/>
                <w:color w:val="000000"/>
                <w:sz w:val="24"/>
                <w:lang w:eastAsia="cs-CZ"/>
              </w:rPr>
            </w:pPr>
            <w:r w:rsidRPr="0000755C">
              <w:rPr>
                <w:rFonts w:eastAsia="Times New Roman" w:cs="Calibri"/>
                <w:color w:val="000000"/>
                <w:sz w:val="24"/>
                <w:lang w:eastAsia="cs-CZ"/>
              </w:rPr>
              <w:t> </w:t>
            </w:r>
            <w:r w:rsidR="00901620" w:rsidRPr="0093756E">
              <w:rPr>
                <w:rFonts w:eastAsia="Times New Roman" w:cs="Calibri"/>
                <w:color w:val="000000"/>
                <w:sz w:val="24"/>
                <w:lang w:eastAsia="cs-CZ"/>
              </w:rPr>
              <w:t>19.588,17</w:t>
            </w:r>
          </w:p>
        </w:tc>
        <w:tc>
          <w:tcPr>
            <w:tcW w:w="1701" w:type="dxa"/>
            <w:tcBorders>
              <w:top w:val="nil"/>
              <w:left w:val="nil"/>
              <w:bottom w:val="single" w:sz="4" w:space="0" w:color="auto"/>
              <w:right w:val="single" w:sz="4" w:space="0" w:color="auto"/>
            </w:tcBorders>
            <w:shd w:val="clear" w:color="auto" w:fill="auto"/>
            <w:noWrap/>
            <w:vAlign w:val="bottom"/>
            <w:hideMark/>
          </w:tcPr>
          <w:p w14:paraId="455C91F0" w14:textId="2128533C" w:rsidR="0000755C" w:rsidRPr="0000755C" w:rsidRDefault="00901620" w:rsidP="0093756E">
            <w:pPr>
              <w:jc w:val="right"/>
              <w:rPr>
                <w:rFonts w:eastAsia="Times New Roman" w:cs="Calibri"/>
                <w:color w:val="000000"/>
                <w:szCs w:val="22"/>
                <w:lang w:eastAsia="cs-CZ"/>
              </w:rPr>
            </w:pPr>
            <w:r w:rsidRPr="0093756E">
              <w:rPr>
                <w:rFonts w:eastAsia="Times New Roman" w:cs="Calibri"/>
                <w:color w:val="000000"/>
                <w:sz w:val="24"/>
                <w:lang w:eastAsia="cs-CZ"/>
              </w:rPr>
              <w:t>112.</w:t>
            </w:r>
            <w:r w:rsidR="0093756E" w:rsidRPr="0093756E">
              <w:rPr>
                <w:rFonts w:eastAsia="Times New Roman" w:cs="Calibri"/>
                <w:color w:val="000000"/>
                <w:sz w:val="24"/>
                <w:lang w:eastAsia="cs-CZ"/>
              </w:rPr>
              <w:t>865,17</w:t>
            </w:r>
            <w:r w:rsidR="0000755C" w:rsidRPr="0000755C">
              <w:rPr>
                <w:rFonts w:eastAsia="Times New Roman" w:cs="Calibri"/>
                <w:color w:val="000000"/>
                <w:szCs w:val="22"/>
                <w:lang w:eastAsia="cs-CZ"/>
              </w:rPr>
              <w:t> </w:t>
            </w:r>
          </w:p>
        </w:tc>
      </w:tr>
      <w:tr w:rsidR="0000755C" w:rsidRPr="0000755C" w14:paraId="18CEFF62" w14:textId="77777777" w:rsidTr="0000755C">
        <w:trPr>
          <w:trHeight w:val="402"/>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37C11640" w14:textId="77777777" w:rsidR="0000755C" w:rsidRPr="0000755C" w:rsidRDefault="0000755C" w:rsidP="0000755C">
            <w:pPr>
              <w:rPr>
                <w:rFonts w:eastAsia="Times New Roman" w:cs="Calibri"/>
                <w:color w:val="000000"/>
                <w:szCs w:val="22"/>
                <w:lang w:eastAsia="cs-CZ"/>
              </w:rPr>
            </w:pPr>
            <w:r w:rsidRPr="0000755C">
              <w:rPr>
                <w:rFonts w:eastAsia="Times New Roman" w:cs="Calibri"/>
                <w:color w:val="000000"/>
                <w:szCs w:val="22"/>
                <w:lang w:eastAsia="cs-CZ"/>
              </w:rPr>
              <w:t xml:space="preserve">  - z toho cena za instalaci a implementaci systému</w:t>
            </w:r>
          </w:p>
        </w:tc>
        <w:tc>
          <w:tcPr>
            <w:tcW w:w="1843" w:type="dxa"/>
            <w:tcBorders>
              <w:top w:val="nil"/>
              <w:left w:val="nil"/>
              <w:bottom w:val="single" w:sz="4" w:space="0" w:color="auto"/>
              <w:right w:val="single" w:sz="4" w:space="0" w:color="auto"/>
            </w:tcBorders>
            <w:shd w:val="clear" w:color="auto" w:fill="auto"/>
            <w:noWrap/>
            <w:vAlign w:val="bottom"/>
            <w:hideMark/>
          </w:tcPr>
          <w:p w14:paraId="057F5791" w14:textId="412B9EE5" w:rsidR="0000755C" w:rsidRPr="0000755C" w:rsidRDefault="0000755C"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0093756E" w:rsidRPr="0093756E">
              <w:rPr>
                <w:rFonts w:eastAsia="Times New Roman" w:cs="Calibri"/>
                <w:color w:val="000000"/>
                <w:sz w:val="24"/>
                <w:lang w:eastAsia="cs-CZ"/>
              </w:rPr>
              <w:t>600.000,00</w:t>
            </w:r>
          </w:p>
        </w:tc>
        <w:tc>
          <w:tcPr>
            <w:tcW w:w="1843" w:type="dxa"/>
            <w:tcBorders>
              <w:top w:val="nil"/>
              <w:left w:val="nil"/>
              <w:bottom w:val="single" w:sz="4" w:space="0" w:color="auto"/>
              <w:right w:val="single" w:sz="4" w:space="0" w:color="auto"/>
            </w:tcBorders>
            <w:shd w:val="clear" w:color="auto" w:fill="auto"/>
            <w:noWrap/>
            <w:vAlign w:val="bottom"/>
            <w:hideMark/>
          </w:tcPr>
          <w:p w14:paraId="014EFFA4" w14:textId="2C52C2B3" w:rsidR="0000755C" w:rsidRPr="0000755C" w:rsidRDefault="0093756E" w:rsidP="0093756E">
            <w:pPr>
              <w:jc w:val="right"/>
              <w:rPr>
                <w:rFonts w:eastAsia="Times New Roman" w:cs="Calibri"/>
                <w:color w:val="000000"/>
                <w:sz w:val="24"/>
                <w:lang w:eastAsia="cs-CZ"/>
              </w:rPr>
            </w:pPr>
            <w:r w:rsidRPr="0093756E">
              <w:rPr>
                <w:rFonts w:eastAsia="Times New Roman" w:cs="Calibri"/>
                <w:color w:val="000000"/>
                <w:sz w:val="24"/>
                <w:lang w:eastAsia="cs-CZ"/>
              </w:rPr>
              <w:t>126.000,00</w:t>
            </w:r>
            <w:r w:rsidR="0000755C" w:rsidRPr="0000755C">
              <w:rPr>
                <w:rFonts w:eastAsia="Times New Roman" w:cs="Calibri"/>
                <w:color w:val="000000"/>
                <w:sz w:val="24"/>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14:paraId="4EB1DF43" w14:textId="7D6A0B3C" w:rsidR="0000755C" w:rsidRPr="0000755C" w:rsidRDefault="0000755C"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0093756E" w:rsidRPr="0093756E">
              <w:rPr>
                <w:rFonts w:eastAsia="Times New Roman" w:cs="Calibri"/>
                <w:color w:val="000000"/>
                <w:sz w:val="24"/>
                <w:lang w:eastAsia="cs-CZ"/>
              </w:rPr>
              <w:t>726.000,00</w:t>
            </w:r>
          </w:p>
        </w:tc>
      </w:tr>
      <w:tr w:rsidR="0000755C" w:rsidRPr="0000755C" w14:paraId="6518E4D3" w14:textId="77777777" w:rsidTr="0000755C">
        <w:trPr>
          <w:trHeight w:val="402"/>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58282313" w14:textId="77777777" w:rsidR="0000755C" w:rsidRPr="0000755C" w:rsidRDefault="0000755C" w:rsidP="0000755C">
            <w:pPr>
              <w:rPr>
                <w:rFonts w:eastAsia="Times New Roman" w:cs="Calibri"/>
                <w:color w:val="000000"/>
                <w:szCs w:val="22"/>
                <w:lang w:eastAsia="cs-CZ"/>
              </w:rPr>
            </w:pPr>
            <w:r w:rsidRPr="0000755C">
              <w:rPr>
                <w:rFonts w:eastAsia="Times New Roman" w:cs="Calibri"/>
                <w:color w:val="000000"/>
                <w:szCs w:val="22"/>
                <w:lang w:eastAsia="cs-CZ"/>
              </w:rPr>
              <w:t xml:space="preserve">  - z toho celková cena za maintenance za 2 roky</w:t>
            </w:r>
          </w:p>
        </w:tc>
        <w:tc>
          <w:tcPr>
            <w:tcW w:w="1843" w:type="dxa"/>
            <w:tcBorders>
              <w:top w:val="nil"/>
              <w:left w:val="nil"/>
              <w:bottom w:val="single" w:sz="4" w:space="0" w:color="auto"/>
              <w:right w:val="single" w:sz="4" w:space="0" w:color="auto"/>
            </w:tcBorders>
            <w:shd w:val="clear" w:color="auto" w:fill="auto"/>
            <w:noWrap/>
            <w:vAlign w:val="bottom"/>
            <w:hideMark/>
          </w:tcPr>
          <w:p w14:paraId="16D66CE4" w14:textId="4FC03289" w:rsidR="0000755C" w:rsidRPr="0000755C" w:rsidRDefault="0000755C"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0093756E" w:rsidRPr="0093756E">
              <w:rPr>
                <w:rFonts w:eastAsia="Times New Roman" w:cs="Calibri"/>
                <w:color w:val="000000"/>
                <w:sz w:val="24"/>
                <w:lang w:eastAsia="cs-CZ"/>
              </w:rPr>
              <w:t>474.100,00</w:t>
            </w:r>
          </w:p>
        </w:tc>
        <w:tc>
          <w:tcPr>
            <w:tcW w:w="1843" w:type="dxa"/>
            <w:tcBorders>
              <w:top w:val="nil"/>
              <w:left w:val="nil"/>
              <w:bottom w:val="single" w:sz="4" w:space="0" w:color="auto"/>
              <w:right w:val="single" w:sz="4" w:space="0" w:color="auto"/>
            </w:tcBorders>
            <w:shd w:val="clear" w:color="auto" w:fill="auto"/>
            <w:noWrap/>
            <w:vAlign w:val="bottom"/>
            <w:hideMark/>
          </w:tcPr>
          <w:p w14:paraId="3B1C2A44" w14:textId="112F7C06" w:rsidR="0000755C" w:rsidRPr="0000755C" w:rsidRDefault="0093756E" w:rsidP="0093756E">
            <w:pPr>
              <w:jc w:val="right"/>
              <w:rPr>
                <w:rFonts w:eastAsia="Times New Roman" w:cs="Calibri"/>
                <w:color w:val="000000"/>
                <w:sz w:val="24"/>
                <w:lang w:eastAsia="cs-CZ"/>
              </w:rPr>
            </w:pPr>
            <w:r w:rsidRPr="0093756E">
              <w:rPr>
                <w:rFonts w:eastAsia="Times New Roman" w:cs="Calibri"/>
                <w:color w:val="000000"/>
                <w:sz w:val="24"/>
                <w:lang w:eastAsia="cs-CZ"/>
              </w:rPr>
              <w:t>99.561,00</w:t>
            </w:r>
          </w:p>
        </w:tc>
        <w:tc>
          <w:tcPr>
            <w:tcW w:w="1701" w:type="dxa"/>
            <w:tcBorders>
              <w:top w:val="nil"/>
              <w:left w:val="nil"/>
              <w:bottom w:val="single" w:sz="4" w:space="0" w:color="auto"/>
              <w:right w:val="single" w:sz="4" w:space="0" w:color="auto"/>
            </w:tcBorders>
            <w:shd w:val="clear" w:color="auto" w:fill="auto"/>
            <w:noWrap/>
            <w:vAlign w:val="bottom"/>
            <w:hideMark/>
          </w:tcPr>
          <w:p w14:paraId="428E3876" w14:textId="10637222" w:rsidR="0000755C" w:rsidRPr="0000755C" w:rsidRDefault="0093756E" w:rsidP="0093756E">
            <w:pPr>
              <w:jc w:val="right"/>
              <w:rPr>
                <w:rFonts w:eastAsia="Times New Roman" w:cs="Calibri"/>
                <w:color w:val="000000"/>
                <w:sz w:val="24"/>
                <w:lang w:eastAsia="cs-CZ"/>
              </w:rPr>
            </w:pPr>
            <w:r w:rsidRPr="0093756E">
              <w:rPr>
                <w:rFonts w:eastAsia="Times New Roman" w:cs="Calibri"/>
                <w:color w:val="000000"/>
                <w:sz w:val="24"/>
                <w:lang w:eastAsia="cs-CZ"/>
              </w:rPr>
              <w:t>573.661,00</w:t>
            </w:r>
            <w:r w:rsidR="0000755C" w:rsidRPr="0000755C">
              <w:rPr>
                <w:rFonts w:eastAsia="Times New Roman" w:cs="Calibri"/>
                <w:color w:val="000000"/>
                <w:sz w:val="24"/>
                <w:lang w:eastAsia="cs-CZ"/>
              </w:rPr>
              <w:t> </w:t>
            </w:r>
          </w:p>
        </w:tc>
      </w:tr>
      <w:tr w:rsidR="0000755C" w:rsidRPr="0000755C" w14:paraId="786A284B" w14:textId="77777777" w:rsidTr="0000755C">
        <w:trPr>
          <w:trHeight w:val="402"/>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070F6A51" w14:textId="77777777" w:rsidR="0000755C" w:rsidRPr="0000755C" w:rsidRDefault="0000755C" w:rsidP="0000755C">
            <w:pPr>
              <w:rPr>
                <w:rFonts w:eastAsia="Times New Roman" w:cs="Calibri"/>
                <w:color w:val="000000"/>
                <w:szCs w:val="22"/>
                <w:lang w:eastAsia="cs-CZ"/>
              </w:rPr>
            </w:pPr>
            <w:r w:rsidRPr="0000755C">
              <w:rPr>
                <w:rFonts w:eastAsia="Times New Roman" w:cs="Calibri"/>
                <w:color w:val="000000"/>
                <w:szCs w:val="22"/>
                <w:lang w:eastAsia="cs-CZ"/>
              </w:rPr>
              <w:t xml:space="preserve">        - cena za rok 2022</w:t>
            </w:r>
          </w:p>
        </w:tc>
        <w:tc>
          <w:tcPr>
            <w:tcW w:w="1843" w:type="dxa"/>
            <w:tcBorders>
              <w:top w:val="nil"/>
              <w:left w:val="nil"/>
              <w:bottom w:val="single" w:sz="4" w:space="0" w:color="auto"/>
              <w:right w:val="single" w:sz="4" w:space="0" w:color="auto"/>
            </w:tcBorders>
            <w:shd w:val="clear" w:color="auto" w:fill="auto"/>
            <w:noWrap/>
            <w:vAlign w:val="bottom"/>
            <w:hideMark/>
          </w:tcPr>
          <w:p w14:paraId="756E5BF8" w14:textId="709E727E" w:rsidR="0000755C" w:rsidRPr="0000755C" w:rsidRDefault="0000755C"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0093756E" w:rsidRPr="0093756E">
              <w:rPr>
                <w:rFonts w:eastAsia="Times New Roman" w:cs="Calibri"/>
                <w:color w:val="000000"/>
                <w:sz w:val="24"/>
                <w:lang w:eastAsia="cs-CZ"/>
              </w:rPr>
              <w:t>237.050,00</w:t>
            </w:r>
          </w:p>
        </w:tc>
        <w:tc>
          <w:tcPr>
            <w:tcW w:w="1843" w:type="dxa"/>
            <w:tcBorders>
              <w:top w:val="nil"/>
              <w:left w:val="nil"/>
              <w:bottom w:val="single" w:sz="4" w:space="0" w:color="auto"/>
              <w:right w:val="single" w:sz="4" w:space="0" w:color="auto"/>
            </w:tcBorders>
            <w:shd w:val="clear" w:color="auto" w:fill="auto"/>
            <w:noWrap/>
            <w:vAlign w:val="bottom"/>
            <w:hideMark/>
          </w:tcPr>
          <w:p w14:paraId="25CB424A" w14:textId="7BC993DA" w:rsidR="0000755C" w:rsidRPr="0000755C" w:rsidRDefault="0000755C"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0093756E" w:rsidRPr="0093756E">
              <w:rPr>
                <w:rFonts w:eastAsia="Times New Roman" w:cs="Calibri"/>
                <w:color w:val="000000"/>
                <w:sz w:val="24"/>
                <w:lang w:eastAsia="cs-CZ"/>
              </w:rPr>
              <w:t>49.780,50</w:t>
            </w:r>
          </w:p>
        </w:tc>
        <w:tc>
          <w:tcPr>
            <w:tcW w:w="1701" w:type="dxa"/>
            <w:tcBorders>
              <w:top w:val="nil"/>
              <w:left w:val="nil"/>
              <w:bottom w:val="single" w:sz="4" w:space="0" w:color="auto"/>
              <w:right w:val="single" w:sz="4" w:space="0" w:color="auto"/>
            </w:tcBorders>
            <w:shd w:val="clear" w:color="auto" w:fill="auto"/>
            <w:noWrap/>
            <w:vAlign w:val="bottom"/>
            <w:hideMark/>
          </w:tcPr>
          <w:p w14:paraId="01BADAD7" w14:textId="6F7B4EB5" w:rsidR="0000755C" w:rsidRPr="0000755C" w:rsidRDefault="0000755C"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0093756E" w:rsidRPr="0093756E">
              <w:rPr>
                <w:rFonts w:eastAsia="Times New Roman" w:cs="Calibri"/>
                <w:color w:val="000000"/>
                <w:sz w:val="24"/>
                <w:lang w:eastAsia="cs-CZ"/>
              </w:rPr>
              <w:t>286.830,50</w:t>
            </w:r>
          </w:p>
        </w:tc>
      </w:tr>
      <w:tr w:rsidR="0093756E" w:rsidRPr="0000755C" w14:paraId="1B3C51D2" w14:textId="77777777" w:rsidTr="0000755C">
        <w:trPr>
          <w:trHeight w:val="402"/>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1B98BC50" w14:textId="77777777" w:rsidR="0093756E" w:rsidRPr="0000755C" w:rsidRDefault="0093756E" w:rsidP="0093756E">
            <w:pPr>
              <w:rPr>
                <w:rFonts w:eastAsia="Times New Roman" w:cs="Calibri"/>
                <w:color w:val="000000"/>
                <w:szCs w:val="22"/>
                <w:lang w:eastAsia="cs-CZ"/>
              </w:rPr>
            </w:pPr>
            <w:r w:rsidRPr="0000755C">
              <w:rPr>
                <w:rFonts w:eastAsia="Times New Roman" w:cs="Calibri"/>
                <w:color w:val="000000"/>
                <w:szCs w:val="22"/>
                <w:lang w:eastAsia="cs-CZ"/>
              </w:rPr>
              <w:t xml:space="preserve">        - cena za rok 2023</w:t>
            </w:r>
          </w:p>
        </w:tc>
        <w:tc>
          <w:tcPr>
            <w:tcW w:w="1843" w:type="dxa"/>
            <w:tcBorders>
              <w:top w:val="nil"/>
              <w:left w:val="nil"/>
              <w:bottom w:val="single" w:sz="4" w:space="0" w:color="auto"/>
              <w:right w:val="single" w:sz="4" w:space="0" w:color="auto"/>
            </w:tcBorders>
            <w:shd w:val="clear" w:color="auto" w:fill="auto"/>
            <w:noWrap/>
            <w:vAlign w:val="bottom"/>
            <w:hideMark/>
          </w:tcPr>
          <w:p w14:paraId="4D7D053B" w14:textId="013B2D27" w:rsidR="0093756E" w:rsidRPr="0000755C" w:rsidRDefault="0093756E"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Pr="0093756E">
              <w:rPr>
                <w:rFonts w:eastAsia="Times New Roman" w:cs="Calibri"/>
                <w:color w:val="000000"/>
                <w:sz w:val="24"/>
                <w:lang w:eastAsia="cs-CZ"/>
              </w:rPr>
              <w:t>237.050,00</w:t>
            </w:r>
          </w:p>
        </w:tc>
        <w:tc>
          <w:tcPr>
            <w:tcW w:w="1843" w:type="dxa"/>
            <w:tcBorders>
              <w:top w:val="nil"/>
              <w:left w:val="nil"/>
              <w:bottom w:val="single" w:sz="4" w:space="0" w:color="auto"/>
              <w:right w:val="single" w:sz="4" w:space="0" w:color="auto"/>
            </w:tcBorders>
            <w:shd w:val="clear" w:color="auto" w:fill="auto"/>
            <w:noWrap/>
            <w:vAlign w:val="bottom"/>
            <w:hideMark/>
          </w:tcPr>
          <w:p w14:paraId="503E7CCD" w14:textId="6E75259E" w:rsidR="0093756E" w:rsidRPr="0000755C" w:rsidRDefault="0093756E"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Pr="0093756E">
              <w:rPr>
                <w:rFonts w:eastAsia="Times New Roman" w:cs="Calibri"/>
                <w:color w:val="000000"/>
                <w:sz w:val="24"/>
                <w:lang w:eastAsia="cs-CZ"/>
              </w:rPr>
              <w:t>49.780,50</w:t>
            </w:r>
          </w:p>
        </w:tc>
        <w:tc>
          <w:tcPr>
            <w:tcW w:w="1701" w:type="dxa"/>
            <w:tcBorders>
              <w:top w:val="nil"/>
              <w:left w:val="nil"/>
              <w:bottom w:val="single" w:sz="4" w:space="0" w:color="auto"/>
              <w:right w:val="single" w:sz="4" w:space="0" w:color="auto"/>
            </w:tcBorders>
            <w:shd w:val="clear" w:color="auto" w:fill="auto"/>
            <w:noWrap/>
            <w:vAlign w:val="bottom"/>
            <w:hideMark/>
          </w:tcPr>
          <w:p w14:paraId="0846B28C" w14:textId="38AF5FDE" w:rsidR="0093756E" w:rsidRPr="0000755C" w:rsidRDefault="0093756E" w:rsidP="0093756E">
            <w:pPr>
              <w:jc w:val="right"/>
              <w:rPr>
                <w:rFonts w:eastAsia="Times New Roman" w:cs="Calibri"/>
                <w:color w:val="000000"/>
                <w:sz w:val="24"/>
                <w:lang w:eastAsia="cs-CZ"/>
              </w:rPr>
            </w:pPr>
            <w:r w:rsidRPr="0000755C">
              <w:rPr>
                <w:rFonts w:eastAsia="Times New Roman" w:cs="Calibri"/>
                <w:color w:val="000000"/>
                <w:sz w:val="24"/>
                <w:lang w:eastAsia="cs-CZ"/>
              </w:rPr>
              <w:t> </w:t>
            </w:r>
            <w:r w:rsidRPr="0093756E">
              <w:rPr>
                <w:rFonts w:eastAsia="Times New Roman" w:cs="Calibri"/>
                <w:color w:val="000000"/>
                <w:sz w:val="24"/>
                <w:lang w:eastAsia="cs-CZ"/>
              </w:rPr>
              <w:t>286.830,50</w:t>
            </w:r>
          </w:p>
        </w:tc>
      </w:tr>
    </w:tbl>
    <w:p w14:paraId="4A5E8F58" w14:textId="336AF961" w:rsidR="0000755C" w:rsidRDefault="0000755C" w:rsidP="0000755C"/>
    <w:p w14:paraId="29EDD8C1" w14:textId="24A127C7" w:rsidR="0000755C" w:rsidRDefault="0000755C" w:rsidP="0000755C"/>
    <w:p w14:paraId="557FB198" w14:textId="077046C7" w:rsidR="0000755C" w:rsidRDefault="0000755C" w:rsidP="0000755C">
      <w:r>
        <w:t>V Hradci Králové 10. 08. 2021</w:t>
      </w:r>
    </w:p>
    <w:p w14:paraId="7958079F" w14:textId="41295BF8" w:rsidR="0000755C" w:rsidRDefault="0000755C" w:rsidP="0000755C"/>
    <w:p w14:paraId="6ABA00A6" w14:textId="2CD8A146" w:rsidR="0000755C" w:rsidRDefault="0000755C" w:rsidP="0000755C"/>
    <w:p w14:paraId="0DAFBCBF" w14:textId="77777777" w:rsidR="0000755C" w:rsidRDefault="0000755C" w:rsidP="0000755C"/>
    <w:p w14:paraId="321BF035" w14:textId="29E89559" w:rsidR="0000755C" w:rsidRDefault="0000755C" w:rsidP="0000755C">
      <w:r>
        <w:tab/>
      </w:r>
      <w:r>
        <w:tab/>
      </w:r>
      <w:r>
        <w:tab/>
      </w:r>
      <w:r>
        <w:tab/>
      </w:r>
      <w:r>
        <w:tab/>
      </w:r>
      <w:r>
        <w:tab/>
      </w:r>
      <w:r>
        <w:tab/>
      </w:r>
      <w:r>
        <w:tab/>
        <w:t>……………………………………………………..</w:t>
      </w:r>
    </w:p>
    <w:p w14:paraId="5AB64661" w14:textId="0963A690" w:rsidR="0000755C" w:rsidRDefault="0000755C" w:rsidP="0000755C">
      <w:r>
        <w:tab/>
      </w:r>
      <w:r>
        <w:tab/>
      </w:r>
      <w:r>
        <w:tab/>
      </w:r>
      <w:r>
        <w:tab/>
      </w:r>
      <w:r>
        <w:tab/>
      </w:r>
      <w:r>
        <w:tab/>
      </w:r>
      <w:r>
        <w:tab/>
      </w:r>
      <w:r>
        <w:tab/>
        <w:t>Ing. Zdeněk Stuchlík, jednatel</w:t>
      </w:r>
    </w:p>
    <w:p w14:paraId="3FA6E21A" w14:textId="1029C0DD" w:rsidR="0000755C" w:rsidRDefault="0000755C" w:rsidP="0000755C">
      <w:r>
        <w:tab/>
      </w:r>
      <w:r>
        <w:tab/>
      </w:r>
      <w:r>
        <w:tab/>
      </w:r>
      <w:r>
        <w:tab/>
      </w:r>
      <w:r>
        <w:tab/>
      </w:r>
      <w:r>
        <w:tab/>
      </w:r>
      <w:r>
        <w:tab/>
      </w:r>
      <w:r>
        <w:tab/>
        <w:t>Podpis a razítko</w:t>
      </w:r>
    </w:p>
    <w:p w14:paraId="33B77AAB" w14:textId="77777777" w:rsidR="0000755C" w:rsidRDefault="0000755C">
      <w:pPr>
        <w:rPr>
          <w:rFonts w:ascii="Verdana" w:eastAsia="Times New Roman" w:hAnsi="Verdana" w:cs="Arial"/>
          <w:b/>
          <w:bCs/>
          <w:kern w:val="28"/>
          <w:sz w:val="32"/>
          <w:szCs w:val="32"/>
          <w:lang w:eastAsia="cs-CZ"/>
        </w:rPr>
      </w:pPr>
      <w:r>
        <w:br w:type="page"/>
      </w:r>
    </w:p>
    <w:p w14:paraId="3BCF9E72" w14:textId="42D83E56" w:rsidR="00C03AF4" w:rsidRDefault="00C03AF4" w:rsidP="00C03AF4">
      <w:pPr>
        <w:pStyle w:val="Nzev"/>
      </w:pPr>
      <w:bookmarkStart w:id="13" w:name="_Toc79487380"/>
      <w:r w:rsidRPr="005D6FD9">
        <w:lastRenderedPageBreak/>
        <w:t xml:space="preserve">Příloha </w:t>
      </w:r>
      <w:r w:rsidR="00811614">
        <w:t xml:space="preserve">č. </w:t>
      </w:r>
      <w:r w:rsidR="0000755C">
        <w:t>3</w:t>
      </w:r>
      <w:r w:rsidRPr="005D6FD9">
        <w:t xml:space="preserve"> Harmonogram prací</w:t>
      </w:r>
      <w:bookmarkEnd w:id="13"/>
    </w:p>
    <w:p w14:paraId="26FE522C" w14:textId="77777777" w:rsidR="00C03AF4" w:rsidRDefault="00C03AF4" w:rsidP="00C03AF4">
      <w:pPr>
        <w:spacing w:after="120"/>
      </w:pPr>
    </w:p>
    <w:p w14:paraId="05A32294" w14:textId="77777777" w:rsidR="00C03AF4" w:rsidRDefault="00C03AF4" w:rsidP="00C03AF4">
      <w:pPr>
        <w:spacing w:after="120"/>
      </w:pPr>
    </w:p>
    <w:tbl>
      <w:tblPr>
        <w:tblW w:w="8580" w:type="dxa"/>
        <w:tblInd w:w="75" w:type="dxa"/>
        <w:tblCellMar>
          <w:left w:w="70" w:type="dxa"/>
          <w:right w:w="70" w:type="dxa"/>
        </w:tblCellMar>
        <w:tblLook w:val="04A0" w:firstRow="1" w:lastRow="0" w:firstColumn="1" w:lastColumn="0" w:noHBand="0" w:noVBand="1"/>
      </w:tblPr>
      <w:tblGrid>
        <w:gridCol w:w="580"/>
        <w:gridCol w:w="1660"/>
        <w:gridCol w:w="4600"/>
        <w:gridCol w:w="1740"/>
      </w:tblGrid>
      <w:tr w:rsidR="00C03AF4" w:rsidRPr="001E0703" w14:paraId="633537DF" w14:textId="77777777" w:rsidTr="000F2E84">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22AE8" w14:textId="77777777" w:rsidR="00C03AF4" w:rsidRPr="001E0703" w:rsidRDefault="00C03AF4" w:rsidP="000F2E84">
            <w:pPr>
              <w:jc w:val="center"/>
              <w:rPr>
                <w:rFonts w:ascii="Verdana" w:hAnsi="Verdana" w:cs="Calibri"/>
                <w:b/>
                <w:bCs/>
                <w:color w:val="000000"/>
                <w:sz w:val="20"/>
                <w:szCs w:val="20"/>
              </w:rPr>
            </w:pPr>
            <w:r w:rsidRPr="001E0703">
              <w:rPr>
                <w:rFonts w:ascii="Verdana" w:hAnsi="Verdana" w:cs="Calibri"/>
                <w:b/>
                <w:bCs/>
                <w:color w:val="000000"/>
                <w:sz w:val="20"/>
                <w:szCs w:val="20"/>
              </w:rPr>
              <w:t>Č</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14:paraId="5CE4E763" w14:textId="77777777" w:rsidR="00C03AF4" w:rsidRPr="001E0703" w:rsidRDefault="00C03AF4" w:rsidP="000F2E84">
            <w:pPr>
              <w:jc w:val="center"/>
              <w:rPr>
                <w:rFonts w:ascii="Verdana" w:hAnsi="Verdana" w:cs="Calibri"/>
                <w:b/>
                <w:bCs/>
                <w:color w:val="000000"/>
                <w:sz w:val="20"/>
                <w:szCs w:val="20"/>
              </w:rPr>
            </w:pPr>
            <w:r w:rsidRPr="001E0703">
              <w:rPr>
                <w:rFonts w:ascii="Verdana" w:hAnsi="Verdana" w:cs="Calibri"/>
                <w:b/>
                <w:bCs/>
                <w:color w:val="000000"/>
                <w:sz w:val="20"/>
                <w:szCs w:val="20"/>
              </w:rPr>
              <w:t>Oblast</w:t>
            </w:r>
          </w:p>
        </w:tc>
        <w:tc>
          <w:tcPr>
            <w:tcW w:w="4600" w:type="dxa"/>
            <w:tcBorders>
              <w:top w:val="single" w:sz="4" w:space="0" w:color="auto"/>
              <w:left w:val="nil"/>
              <w:bottom w:val="single" w:sz="4" w:space="0" w:color="auto"/>
              <w:right w:val="single" w:sz="4" w:space="0" w:color="auto"/>
            </w:tcBorders>
            <w:shd w:val="clear" w:color="000000" w:fill="D9D9D9"/>
            <w:vAlign w:val="center"/>
            <w:hideMark/>
          </w:tcPr>
          <w:p w14:paraId="548DAA63" w14:textId="77777777" w:rsidR="00C03AF4" w:rsidRPr="001E0703" w:rsidRDefault="00C03AF4" w:rsidP="000F2E84">
            <w:pPr>
              <w:jc w:val="center"/>
              <w:rPr>
                <w:rFonts w:ascii="Verdana" w:hAnsi="Verdana" w:cs="Calibri"/>
                <w:b/>
                <w:bCs/>
                <w:color w:val="000000"/>
                <w:sz w:val="20"/>
                <w:szCs w:val="20"/>
              </w:rPr>
            </w:pPr>
            <w:r w:rsidRPr="001E0703">
              <w:rPr>
                <w:rFonts w:ascii="Verdana" w:hAnsi="Verdana" w:cs="Calibri"/>
                <w:b/>
                <w:bCs/>
                <w:color w:val="000000"/>
                <w:sz w:val="20"/>
                <w:szCs w:val="20"/>
              </w:rPr>
              <w:t>Popis</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59CE879B" w14:textId="77777777" w:rsidR="00C03AF4" w:rsidRPr="001E0703" w:rsidRDefault="00C03AF4" w:rsidP="000F2E84">
            <w:pPr>
              <w:jc w:val="center"/>
              <w:rPr>
                <w:rFonts w:ascii="Verdana" w:hAnsi="Verdana" w:cs="Calibri"/>
                <w:b/>
                <w:bCs/>
                <w:color w:val="000000"/>
                <w:sz w:val="20"/>
                <w:szCs w:val="20"/>
              </w:rPr>
            </w:pPr>
            <w:r w:rsidRPr="001E0703">
              <w:rPr>
                <w:rFonts w:ascii="Verdana" w:hAnsi="Verdana" w:cs="Calibri"/>
                <w:b/>
                <w:bCs/>
                <w:color w:val="000000"/>
                <w:sz w:val="20"/>
                <w:szCs w:val="20"/>
              </w:rPr>
              <w:t>Termín</w:t>
            </w:r>
          </w:p>
        </w:tc>
      </w:tr>
      <w:tr w:rsidR="00C03AF4" w:rsidRPr="001E0703" w14:paraId="5E0FF262" w14:textId="77777777" w:rsidTr="000F2E84">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BAD5BCD" w14:textId="77777777" w:rsidR="00C03AF4" w:rsidRPr="001E0703" w:rsidRDefault="00C03AF4" w:rsidP="000F2E84">
            <w:pPr>
              <w:jc w:val="center"/>
              <w:rPr>
                <w:rFonts w:cs="Calibri"/>
                <w:color w:val="000000"/>
              </w:rPr>
            </w:pPr>
            <w:r w:rsidRPr="001E0703">
              <w:rPr>
                <w:rFonts w:cs="Calibri"/>
                <w:color w:val="000000"/>
              </w:rPr>
              <w:t>M1</w:t>
            </w:r>
          </w:p>
        </w:tc>
        <w:tc>
          <w:tcPr>
            <w:tcW w:w="1660" w:type="dxa"/>
            <w:tcBorders>
              <w:top w:val="nil"/>
              <w:left w:val="nil"/>
              <w:bottom w:val="single" w:sz="4" w:space="0" w:color="auto"/>
              <w:right w:val="single" w:sz="4" w:space="0" w:color="auto"/>
            </w:tcBorders>
            <w:shd w:val="clear" w:color="auto" w:fill="auto"/>
            <w:vAlign w:val="center"/>
            <w:hideMark/>
          </w:tcPr>
          <w:p w14:paraId="14A78FA2" w14:textId="77777777" w:rsidR="00C03AF4" w:rsidRPr="001E0703" w:rsidRDefault="00C03AF4" w:rsidP="000F2E84">
            <w:pPr>
              <w:rPr>
                <w:rFonts w:cs="Calibri"/>
                <w:color w:val="000000"/>
              </w:rPr>
            </w:pPr>
            <w:r w:rsidRPr="001E0703">
              <w:rPr>
                <w:rFonts w:cs="Calibri"/>
                <w:color w:val="000000"/>
              </w:rPr>
              <w:t>Podpis smlouvy</w:t>
            </w:r>
          </w:p>
        </w:tc>
        <w:tc>
          <w:tcPr>
            <w:tcW w:w="4600" w:type="dxa"/>
            <w:tcBorders>
              <w:top w:val="nil"/>
              <w:left w:val="nil"/>
              <w:bottom w:val="single" w:sz="4" w:space="0" w:color="auto"/>
              <w:right w:val="single" w:sz="4" w:space="0" w:color="auto"/>
            </w:tcBorders>
            <w:shd w:val="clear" w:color="auto" w:fill="auto"/>
            <w:vAlign w:val="center"/>
            <w:hideMark/>
          </w:tcPr>
          <w:p w14:paraId="7B3DEA41" w14:textId="77777777" w:rsidR="00C03AF4" w:rsidRPr="001E0703" w:rsidRDefault="00C03AF4" w:rsidP="000F2E84">
            <w:pPr>
              <w:rPr>
                <w:rFonts w:cs="Calibri"/>
                <w:color w:val="000000"/>
              </w:rPr>
            </w:pPr>
            <w:r w:rsidRPr="001E0703">
              <w:rPr>
                <w:rFonts w:cs="Calibri"/>
                <w:color w:val="000000"/>
              </w:rPr>
              <w:t>Předání licenčního klíče</w:t>
            </w:r>
          </w:p>
        </w:tc>
        <w:tc>
          <w:tcPr>
            <w:tcW w:w="1740" w:type="dxa"/>
            <w:tcBorders>
              <w:top w:val="nil"/>
              <w:left w:val="nil"/>
              <w:bottom w:val="single" w:sz="4" w:space="0" w:color="auto"/>
              <w:right w:val="single" w:sz="4" w:space="0" w:color="auto"/>
            </w:tcBorders>
            <w:shd w:val="clear" w:color="auto" w:fill="auto"/>
            <w:vAlign w:val="center"/>
            <w:hideMark/>
          </w:tcPr>
          <w:p w14:paraId="1150A67E" w14:textId="1CC82D3F" w:rsidR="00C03AF4" w:rsidRPr="001E0703" w:rsidRDefault="003A5444" w:rsidP="000F2E84">
            <w:pPr>
              <w:jc w:val="center"/>
              <w:rPr>
                <w:rFonts w:cs="Calibri"/>
                <w:color w:val="000000"/>
              </w:rPr>
            </w:pPr>
            <w:r>
              <w:rPr>
                <w:rFonts w:cs="Calibri"/>
                <w:color w:val="000000"/>
              </w:rPr>
              <w:t>15</w:t>
            </w:r>
            <w:r w:rsidR="00C03AF4" w:rsidRPr="001E0703">
              <w:rPr>
                <w:rFonts w:cs="Calibri"/>
                <w:color w:val="000000"/>
              </w:rPr>
              <w:t>.</w:t>
            </w:r>
            <w:r w:rsidR="00C03AF4">
              <w:rPr>
                <w:rFonts w:cs="Calibri"/>
                <w:color w:val="000000"/>
              </w:rPr>
              <w:t>0</w:t>
            </w:r>
            <w:r>
              <w:rPr>
                <w:rFonts w:cs="Calibri"/>
                <w:color w:val="000000"/>
              </w:rPr>
              <w:t>9</w:t>
            </w:r>
            <w:r w:rsidR="00C03AF4" w:rsidRPr="001E0703">
              <w:rPr>
                <w:rFonts w:cs="Calibri"/>
                <w:color w:val="000000"/>
              </w:rPr>
              <w:t>.</w:t>
            </w:r>
            <w:r w:rsidR="00C03AF4">
              <w:rPr>
                <w:rFonts w:cs="Calibri"/>
                <w:color w:val="000000"/>
              </w:rPr>
              <w:t>21</w:t>
            </w:r>
          </w:p>
        </w:tc>
      </w:tr>
      <w:tr w:rsidR="003A5444" w:rsidRPr="001E0703" w14:paraId="09497C29" w14:textId="77777777" w:rsidTr="000F2E8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68754A40" w14:textId="45AAA923" w:rsidR="003A5444" w:rsidRPr="001E0703" w:rsidRDefault="003A5444" w:rsidP="003A5444">
            <w:pPr>
              <w:jc w:val="center"/>
              <w:rPr>
                <w:rFonts w:cs="Calibri"/>
                <w:color w:val="000000"/>
              </w:rPr>
            </w:pPr>
            <w:r w:rsidRPr="001E0703">
              <w:rPr>
                <w:rFonts w:cs="Calibri"/>
                <w:color w:val="000000"/>
              </w:rPr>
              <w:t>M2</w:t>
            </w:r>
          </w:p>
        </w:tc>
        <w:tc>
          <w:tcPr>
            <w:tcW w:w="1660" w:type="dxa"/>
            <w:tcBorders>
              <w:top w:val="nil"/>
              <w:left w:val="nil"/>
              <w:bottom w:val="single" w:sz="4" w:space="0" w:color="auto"/>
              <w:right w:val="single" w:sz="4" w:space="0" w:color="auto"/>
            </w:tcBorders>
            <w:shd w:val="clear" w:color="auto" w:fill="auto"/>
            <w:vAlign w:val="center"/>
          </w:tcPr>
          <w:p w14:paraId="76AE625F" w14:textId="6A8FFD72" w:rsidR="003A5444" w:rsidRPr="001E0703" w:rsidRDefault="003A5444" w:rsidP="003A5444">
            <w:pPr>
              <w:rPr>
                <w:rFonts w:cs="Calibri"/>
                <w:color w:val="000000"/>
              </w:rPr>
            </w:pPr>
            <w:r>
              <w:rPr>
                <w:rFonts w:cs="Calibri"/>
                <w:color w:val="000000"/>
              </w:rPr>
              <w:t>Dodání systému</w:t>
            </w:r>
          </w:p>
        </w:tc>
        <w:tc>
          <w:tcPr>
            <w:tcW w:w="4600" w:type="dxa"/>
            <w:tcBorders>
              <w:top w:val="nil"/>
              <w:left w:val="nil"/>
              <w:bottom w:val="single" w:sz="4" w:space="0" w:color="auto"/>
              <w:right w:val="single" w:sz="4" w:space="0" w:color="auto"/>
            </w:tcBorders>
            <w:shd w:val="clear" w:color="auto" w:fill="auto"/>
            <w:vAlign w:val="center"/>
          </w:tcPr>
          <w:p w14:paraId="1B00D0A6" w14:textId="769A0745" w:rsidR="003A5444" w:rsidRPr="001E0703" w:rsidRDefault="003A5444" w:rsidP="003A5444">
            <w:pPr>
              <w:rPr>
                <w:rFonts w:cs="Calibri"/>
                <w:color w:val="000000"/>
              </w:rPr>
            </w:pPr>
            <w:r>
              <w:rPr>
                <w:rFonts w:cs="Calibri"/>
                <w:color w:val="000000"/>
              </w:rPr>
              <w:t>Dodání licencí, spolupráce s nestavení serveru</w:t>
            </w:r>
          </w:p>
        </w:tc>
        <w:tc>
          <w:tcPr>
            <w:tcW w:w="1740" w:type="dxa"/>
            <w:tcBorders>
              <w:top w:val="nil"/>
              <w:left w:val="nil"/>
              <w:bottom w:val="single" w:sz="4" w:space="0" w:color="auto"/>
              <w:right w:val="single" w:sz="4" w:space="0" w:color="auto"/>
            </w:tcBorders>
            <w:shd w:val="clear" w:color="auto" w:fill="auto"/>
            <w:vAlign w:val="center"/>
          </w:tcPr>
          <w:p w14:paraId="095126C8" w14:textId="7F219208" w:rsidR="003A5444" w:rsidRDefault="003A5444" w:rsidP="003A5444">
            <w:pPr>
              <w:jc w:val="center"/>
              <w:rPr>
                <w:rFonts w:cs="Calibri"/>
                <w:color w:val="000000"/>
              </w:rPr>
            </w:pPr>
            <w:r>
              <w:rPr>
                <w:rFonts w:cs="Calibri"/>
                <w:color w:val="000000"/>
              </w:rPr>
              <w:t>30.09.21</w:t>
            </w:r>
          </w:p>
        </w:tc>
      </w:tr>
      <w:tr w:rsidR="003A5444" w:rsidRPr="001E0703" w14:paraId="04E13753" w14:textId="77777777" w:rsidTr="000F2E8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2295E77C" w14:textId="3F277490" w:rsidR="003A5444" w:rsidRPr="001E0703" w:rsidRDefault="003A5444" w:rsidP="003A5444">
            <w:pPr>
              <w:jc w:val="center"/>
              <w:rPr>
                <w:rFonts w:cs="Calibri"/>
                <w:color w:val="000000"/>
              </w:rPr>
            </w:pPr>
            <w:r w:rsidRPr="001E0703">
              <w:rPr>
                <w:rFonts w:cs="Calibri"/>
                <w:color w:val="000000"/>
              </w:rPr>
              <w:t>M3</w:t>
            </w:r>
          </w:p>
        </w:tc>
        <w:tc>
          <w:tcPr>
            <w:tcW w:w="1660" w:type="dxa"/>
            <w:tcBorders>
              <w:top w:val="nil"/>
              <w:left w:val="nil"/>
              <w:bottom w:val="single" w:sz="4" w:space="0" w:color="auto"/>
              <w:right w:val="single" w:sz="4" w:space="0" w:color="auto"/>
            </w:tcBorders>
            <w:shd w:val="clear" w:color="auto" w:fill="auto"/>
            <w:vAlign w:val="center"/>
          </w:tcPr>
          <w:p w14:paraId="6BDE54DD" w14:textId="79603E60" w:rsidR="003A5444" w:rsidRPr="001E0703" w:rsidRDefault="003A5444" w:rsidP="003A5444">
            <w:pPr>
              <w:rPr>
                <w:rFonts w:cs="Calibri"/>
                <w:color w:val="000000"/>
              </w:rPr>
            </w:pPr>
            <w:r>
              <w:rPr>
                <w:rFonts w:cs="Calibri"/>
                <w:color w:val="000000"/>
              </w:rPr>
              <w:t>Koncepce</w:t>
            </w:r>
          </w:p>
        </w:tc>
        <w:tc>
          <w:tcPr>
            <w:tcW w:w="4600" w:type="dxa"/>
            <w:tcBorders>
              <w:top w:val="nil"/>
              <w:left w:val="nil"/>
              <w:bottom w:val="single" w:sz="4" w:space="0" w:color="auto"/>
              <w:right w:val="single" w:sz="4" w:space="0" w:color="auto"/>
            </w:tcBorders>
            <w:shd w:val="clear" w:color="auto" w:fill="auto"/>
            <w:vAlign w:val="center"/>
          </w:tcPr>
          <w:p w14:paraId="4B6A93CD" w14:textId="4B8EEA99" w:rsidR="003A5444" w:rsidRPr="001E0703" w:rsidRDefault="003A5444" w:rsidP="003A5444">
            <w:pPr>
              <w:rPr>
                <w:rFonts w:cs="Calibri"/>
                <w:color w:val="000000"/>
              </w:rPr>
            </w:pPr>
            <w:r>
              <w:rPr>
                <w:rFonts w:cs="Calibri"/>
                <w:color w:val="000000"/>
              </w:rPr>
              <w:t xml:space="preserve">Koncepce řešení </w:t>
            </w:r>
            <w:r w:rsidRPr="003A5444">
              <w:rPr>
                <w:rFonts w:cs="Calibri"/>
                <w:color w:val="000000"/>
              </w:rPr>
              <w:t xml:space="preserve">se zřetelem na splnění požadavků funkcionality IS </w:t>
            </w:r>
            <w:r>
              <w:rPr>
                <w:rFonts w:cs="Calibri"/>
                <w:color w:val="000000"/>
              </w:rPr>
              <w:t>podle</w:t>
            </w:r>
            <w:r w:rsidRPr="003A5444">
              <w:rPr>
                <w:rFonts w:cs="Calibri"/>
                <w:color w:val="000000"/>
              </w:rPr>
              <w:t xml:space="preserve"> Přílo</w:t>
            </w:r>
            <w:r>
              <w:rPr>
                <w:rFonts w:cs="Calibri"/>
                <w:color w:val="000000"/>
              </w:rPr>
              <w:t>hy</w:t>
            </w:r>
            <w:r w:rsidRPr="003A5444">
              <w:rPr>
                <w:rFonts w:cs="Calibri"/>
                <w:color w:val="000000"/>
              </w:rPr>
              <w:t xml:space="preserve"> č.1 </w:t>
            </w:r>
            <w:r>
              <w:rPr>
                <w:rFonts w:cs="Calibri"/>
                <w:color w:val="000000"/>
              </w:rPr>
              <w:t>ZD</w:t>
            </w:r>
          </w:p>
        </w:tc>
        <w:tc>
          <w:tcPr>
            <w:tcW w:w="1740" w:type="dxa"/>
            <w:tcBorders>
              <w:top w:val="nil"/>
              <w:left w:val="nil"/>
              <w:bottom w:val="single" w:sz="4" w:space="0" w:color="auto"/>
              <w:right w:val="single" w:sz="4" w:space="0" w:color="auto"/>
            </w:tcBorders>
            <w:shd w:val="clear" w:color="auto" w:fill="auto"/>
            <w:vAlign w:val="center"/>
          </w:tcPr>
          <w:p w14:paraId="52B50081" w14:textId="6C9EA2AD" w:rsidR="003A5444" w:rsidRDefault="003A5444" w:rsidP="003A5444">
            <w:pPr>
              <w:jc w:val="center"/>
              <w:rPr>
                <w:rFonts w:cs="Calibri"/>
                <w:color w:val="000000"/>
              </w:rPr>
            </w:pPr>
            <w:r>
              <w:rPr>
                <w:rFonts w:cs="Calibri"/>
                <w:color w:val="000000"/>
              </w:rPr>
              <w:t>15.10.21</w:t>
            </w:r>
          </w:p>
        </w:tc>
      </w:tr>
      <w:tr w:rsidR="003A5444" w:rsidRPr="001E0703" w14:paraId="7325226E" w14:textId="77777777" w:rsidTr="003A5444">
        <w:trPr>
          <w:trHeight w:val="1200"/>
        </w:trPr>
        <w:tc>
          <w:tcPr>
            <w:tcW w:w="580" w:type="dxa"/>
            <w:tcBorders>
              <w:top w:val="nil"/>
              <w:left w:val="single" w:sz="4" w:space="0" w:color="auto"/>
              <w:bottom w:val="single" w:sz="4" w:space="0" w:color="auto"/>
              <w:right w:val="single" w:sz="4" w:space="0" w:color="auto"/>
            </w:tcBorders>
            <w:shd w:val="clear" w:color="auto" w:fill="auto"/>
            <w:vAlign w:val="center"/>
          </w:tcPr>
          <w:p w14:paraId="24D285CD" w14:textId="67AF91C6" w:rsidR="003A5444" w:rsidRPr="001E0703" w:rsidRDefault="003A5444" w:rsidP="003A5444">
            <w:pPr>
              <w:jc w:val="center"/>
              <w:rPr>
                <w:rFonts w:cs="Calibri"/>
                <w:color w:val="000000"/>
              </w:rPr>
            </w:pPr>
            <w:r>
              <w:rPr>
                <w:rFonts w:cs="Calibri"/>
                <w:color w:val="000000"/>
              </w:rPr>
              <w:t>M4</w:t>
            </w:r>
          </w:p>
        </w:tc>
        <w:tc>
          <w:tcPr>
            <w:tcW w:w="1660" w:type="dxa"/>
            <w:tcBorders>
              <w:top w:val="nil"/>
              <w:left w:val="nil"/>
              <w:bottom w:val="single" w:sz="4" w:space="0" w:color="auto"/>
              <w:right w:val="single" w:sz="4" w:space="0" w:color="auto"/>
            </w:tcBorders>
            <w:shd w:val="clear" w:color="auto" w:fill="auto"/>
            <w:vAlign w:val="center"/>
            <w:hideMark/>
          </w:tcPr>
          <w:p w14:paraId="3B63C80A" w14:textId="77777777" w:rsidR="003A5444" w:rsidRPr="001E0703" w:rsidRDefault="003A5444" w:rsidP="003A5444">
            <w:pPr>
              <w:rPr>
                <w:rFonts w:cs="Calibri"/>
                <w:color w:val="000000"/>
              </w:rPr>
            </w:pPr>
            <w:r w:rsidRPr="001E0703">
              <w:rPr>
                <w:rFonts w:cs="Calibri"/>
                <w:color w:val="000000"/>
              </w:rPr>
              <w:t>Provoz ZÚK a Sklad</w:t>
            </w:r>
          </w:p>
        </w:tc>
        <w:tc>
          <w:tcPr>
            <w:tcW w:w="4600" w:type="dxa"/>
            <w:tcBorders>
              <w:top w:val="nil"/>
              <w:left w:val="nil"/>
              <w:bottom w:val="single" w:sz="4" w:space="0" w:color="auto"/>
              <w:right w:val="single" w:sz="4" w:space="0" w:color="auto"/>
            </w:tcBorders>
            <w:shd w:val="clear" w:color="auto" w:fill="auto"/>
            <w:vAlign w:val="center"/>
            <w:hideMark/>
          </w:tcPr>
          <w:p w14:paraId="7DFDF4CE" w14:textId="77777777" w:rsidR="003A5444" w:rsidRPr="001E0703" w:rsidRDefault="003A5444" w:rsidP="003A5444">
            <w:pPr>
              <w:rPr>
                <w:rFonts w:cs="Calibri"/>
                <w:color w:val="000000"/>
              </w:rPr>
            </w:pPr>
            <w:r w:rsidRPr="001E0703">
              <w:rPr>
                <w:rFonts w:cs="Calibri"/>
                <w:color w:val="000000"/>
              </w:rPr>
              <w:t>Implementace Provozního modulu pro Zimní údržbu komunikací a modulu Sklad a souvisejících číselníků účetních dimenzí a personalistiky</w:t>
            </w:r>
          </w:p>
        </w:tc>
        <w:tc>
          <w:tcPr>
            <w:tcW w:w="1740" w:type="dxa"/>
            <w:tcBorders>
              <w:top w:val="nil"/>
              <w:left w:val="nil"/>
              <w:bottom w:val="single" w:sz="4" w:space="0" w:color="auto"/>
              <w:right w:val="single" w:sz="4" w:space="0" w:color="auto"/>
            </w:tcBorders>
            <w:shd w:val="clear" w:color="auto" w:fill="auto"/>
            <w:vAlign w:val="center"/>
            <w:hideMark/>
          </w:tcPr>
          <w:p w14:paraId="12A5867D" w14:textId="77777777" w:rsidR="003A5444" w:rsidRPr="001E0703" w:rsidRDefault="003A5444" w:rsidP="003A5444">
            <w:pPr>
              <w:jc w:val="center"/>
              <w:rPr>
                <w:rFonts w:cs="Calibri"/>
                <w:color w:val="000000"/>
              </w:rPr>
            </w:pPr>
            <w:r w:rsidRPr="001E0703">
              <w:rPr>
                <w:rFonts w:cs="Calibri"/>
                <w:color w:val="000000"/>
              </w:rPr>
              <w:t>1</w:t>
            </w:r>
            <w:r>
              <w:rPr>
                <w:rFonts w:cs="Calibri"/>
                <w:color w:val="000000"/>
              </w:rPr>
              <w:t>5</w:t>
            </w:r>
            <w:r w:rsidRPr="001E0703">
              <w:rPr>
                <w:rFonts w:cs="Calibri"/>
                <w:color w:val="000000"/>
              </w:rPr>
              <w:t>.11.</w:t>
            </w:r>
            <w:r>
              <w:rPr>
                <w:rFonts w:cs="Calibri"/>
                <w:color w:val="000000"/>
              </w:rPr>
              <w:t>21</w:t>
            </w:r>
          </w:p>
        </w:tc>
      </w:tr>
      <w:tr w:rsidR="003A5444" w:rsidRPr="001E0703" w14:paraId="590E33A9" w14:textId="77777777" w:rsidTr="003A5444">
        <w:trPr>
          <w:trHeight w:val="600"/>
        </w:trPr>
        <w:tc>
          <w:tcPr>
            <w:tcW w:w="580" w:type="dxa"/>
            <w:tcBorders>
              <w:top w:val="nil"/>
              <w:left w:val="single" w:sz="4" w:space="0" w:color="auto"/>
              <w:bottom w:val="single" w:sz="4" w:space="0" w:color="auto"/>
              <w:right w:val="single" w:sz="4" w:space="0" w:color="auto"/>
            </w:tcBorders>
            <w:shd w:val="clear" w:color="auto" w:fill="auto"/>
            <w:vAlign w:val="center"/>
          </w:tcPr>
          <w:p w14:paraId="72A6B890" w14:textId="5578547C" w:rsidR="003A5444" w:rsidRPr="001E0703" w:rsidRDefault="003A5444" w:rsidP="003A5444">
            <w:pPr>
              <w:jc w:val="center"/>
              <w:rPr>
                <w:rFonts w:cs="Calibri"/>
                <w:color w:val="000000"/>
              </w:rPr>
            </w:pPr>
            <w:r>
              <w:rPr>
                <w:rFonts w:cs="Calibri"/>
                <w:color w:val="000000"/>
              </w:rPr>
              <w:t>M5</w:t>
            </w:r>
          </w:p>
        </w:tc>
        <w:tc>
          <w:tcPr>
            <w:tcW w:w="1660" w:type="dxa"/>
            <w:tcBorders>
              <w:top w:val="nil"/>
              <w:left w:val="nil"/>
              <w:bottom w:val="single" w:sz="4" w:space="0" w:color="auto"/>
              <w:right w:val="single" w:sz="4" w:space="0" w:color="auto"/>
            </w:tcBorders>
            <w:shd w:val="clear" w:color="auto" w:fill="auto"/>
            <w:vAlign w:val="center"/>
            <w:hideMark/>
          </w:tcPr>
          <w:p w14:paraId="01036E04" w14:textId="77777777" w:rsidR="003A5444" w:rsidRPr="001E0703" w:rsidRDefault="003A5444" w:rsidP="003A5444">
            <w:pPr>
              <w:rPr>
                <w:rFonts w:cs="Calibri"/>
                <w:color w:val="000000"/>
              </w:rPr>
            </w:pPr>
            <w:r w:rsidRPr="001E0703">
              <w:rPr>
                <w:rFonts w:cs="Calibri"/>
                <w:color w:val="000000"/>
              </w:rPr>
              <w:t>Provoz pro ostatní oblasti</w:t>
            </w:r>
          </w:p>
        </w:tc>
        <w:tc>
          <w:tcPr>
            <w:tcW w:w="4600" w:type="dxa"/>
            <w:tcBorders>
              <w:top w:val="nil"/>
              <w:left w:val="nil"/>
              <w:bottom w:val="single" w:sz="4" w:space="0" w:color="auto"/>
              <w:right w:val="single" w:sz="4" w:space="0" w:color="auto"/>
            </w:tcBorders>
            <w:shd w:val="clear" w:color="auto" w:fill="auto"/>
            <w:vAlign w:val="center"/>
            <w:hideMark/>
          </w:tcPr>
          <w:p w14:paraId="7BA0531C" w14:textId="77777777" w:rsidR="003A5444" w:rsidRPr="001E0703" w:rsidRDefault="003A5444" w:rsidP="003A5444">
            <w:pPr>
              <w:rPr>
                <w:rFonts w:cs="Calibri"/>
                <w:color w:val="000000"/>
              </w:rPr>
            </w:pPr>
            <w:r w:rsidRPr="001E0703">
              <w:rPr>
                <w:rFonts w:cs="Calibri"/>
                <w:color w:val="000000"/>
              </w:rPr>
              <w:t>Implementace Provozního modulu pro ostatní oblasti</w:t>
            </w:r>
          </w:p>
        </w:tc>
        <w:tc>
          <w:tcPr>
            <w:tcW w:w="1740" w:type="dxa"/>
            <w:tcBorders>
              <w:top w:val="nil"/>
              <w:left w:val="nil"/>
              <w:bottom w:val="single" w:sz="4" w:space="0" w:color="auto"/>
              <w:right w:val="single" w:sz="4" w:space="0" w:color="auto"/>
            </w:tcBorders>
            <w:shd w:val="clear" w:color="auto" w:fill="auto"/>
            <w:vAlign w:val="center"/>
            <w:hideMark/>
          </w:tcPr>
          <w:p w14:paraId="50A15A33" w14:textId="77777777" w:rsidR="003A5444" w:rsidRPr="001E0703" w:rsidRDefault="003A5444" w:rsidP="003A5444">
            <w:pPr>
              <w:jc w:val="center"/>
              <w:rPr>
                <w:rFonts w:cs="Calibri"/>
                <w:color w:val="000000"/>
              </w:rPr>
            </w:pPr>
            <w:r>
              <w:rPr>
                <w:rFonts w:cs="Calibri"/>
                <w:color w:val="000000"/>
              </w:rPr>
              <w:t>30</w:t>
            </w:r>
            <w:r w:rsidRPr="001E0703">
              <w:rPr>
                <w:rFonts w:cs="Calibri"/>
                <w:color w:val="000000"/>
              </w:rPr>
              <w:t>.1</w:t>
            </w:r>
            <w:r>
              <w:rPr>
                <w:rFonts w:cs="Calibri"/>
                <w:color w:val="000000"/>
              </w:rPr>
              <w:t>1</w:t>
            </w:r>
            <w:r w:rsidRPr="001E0703">
              <w:rPr>
                <w:rFonts w:cs="Calibri"/>
                <w:color w:val="000000"/>
              </w:rPr>
              <w:t>.</w:t>
            </w:r>
            <w:r>
              <w:rPr>
                <w:rFonts w:cs="Calibri"/>
                <w:color w:val="000000"/>
              </w:rPr>
              <w:t>2</w:t>
            </w:r>
            <w:r w:rsidRPr="001E0703">
              <w:rPr>
                <w:rFonts w:cs="Calibri"/>
                <w:color w:val="000000"/>
              </w:rPr>
              <w:t>1</w:t>
            </w:r>
          </w:p>
        </w:tc>
      </w:tr>
      <w:tr w:rsidR="003A5444" w:rsidRPr="001E0703" w14:paraId="6A7B43FC" w14:textId="77777777" w:rsidTr="003A544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10E0D222" w14:textId="044E070C" w:rsidR="003A5444" w:rsidRPr="001E0703" w:rsidRDefault="003A5444" w:rsidP="003A5444">
            <w:pPr>
              <w:jc w:val="center"/>
              <w:rPr>
                <w:rFonts w:cs="Calibri"/>
                <w:color w:val="000000"/>
              </w:rPr>
            </w:pPr>
            <w:r w:rsidRPr="001E0703">
              <w:rPr>
                <w:rFonts w:cs="Calibri"/>
                <w:color w:val="000000"/>
              </w:rPr>
              <w:t>M</w:t>
            </w:r>
            <w:r>
              <w:rPr>
                <w:rFonts w:cs="Calibri"/>
                <w:color w:val="000000"/>
              </w:rPr>
              <w:t>6</w:t>
            </w:r>
          </w:p>
        </w:tc>
        <w:tc>
          <w:tcPr>
            <w:tcW w:w="1660" w:type="dxa"/>
            <w:tcBorders>
              <w:top w:val="nil"/>
              <w:left w:val="nil"/>
              <w:bottom w:val="single" w:sz="4" w:space="0" w:color="auto"/>
              <w:right w:val="single" w:sz="4" w:space="0" w:color="auto"/>
            </w:tcBorders>
            <w:shd w:val="clear" w:color="auto" w:fill="auto"/>
            <w:vAlign w:val="center"/>
            <w:hideMark/>
          </w:tcPr>
          <w:p w14:paraId="1BEA1FDF" w14:textId="77777777" w:rsidR="003A5444" w:rsidRPr="001E0703" w:rsidRDefault="003A5444" w:rsidP="003A5444">
            <w:pPr>
              <w:rPr>
                <w:rFonts w:cs="Calibri"/>
                <w:color w:val="000000"/>
              </w:rPr>
            </w:pPr>
            <w:r w:rsidRPr="001E0703">
              <w:rPr>
                <w:rFonts w:cs="Calibri"/>
                <w:color w:val="000000"/>
              </w:rPr>
              <w:t>Ekonomika</w:t>
            </w:r>
          </w:p>
        </w:tc>
        <w:tc>
          <w:tcPr>
            <w:tcW w:w="4600" w:type="dxa"/>
            <w:tcBorders>
              <w:top w:val="nil"/>
              <w:left w:val="nil"/>
              <w:bottom w:val="single" w:sz="4" w:space="0" w:color="auto"/>
              <w:right w:val="single" w:sz="4" w:space="0" w:color="auto"/>
            </w:tcBorders>
            <w:shd w:val="clear" w:color="auto" w:fill="auto"/>
            <w:vAlign w:val="center"/>
            <w:hideMark/>
          </w:tcPr>
          <w:p w14:paraId="7FD5665B" w14:textId="77777777" w:rsidR="003A5444" w:rsidRPr="001E0703" w:rsidRDefault="003A5444" w:rsidP="003A5444">
            <w:pPr>
              <w:rPr>
                <w:rFonts w:cs="Calibri"/>
                <w:color w:val="000000"/>
              </w:rPr>
            </w:pPr>
            <w:r w:rsidRPr="001E0703">
              <w:rPr>
                <w:rFonts w:cs="Calibri"/>
                <w:color w:val="000000"/>
              </w:rPr>
              <w:t>Implementace ekonomiky</w:t>
            </w:r>
          </w:p>
        </w:tc>
        <w:tc>
          <w:tcPr>
            <w:tcW w:w="1740" w:type="dxa"/>
            <w:tcBorders>
              <w:top w:val="nil"/>
              <w:left w:val="nil"/>
              <w:bottom w:val="single" w:sz="4" w:space="0" w:color="auto"/>
              <w:right w:val="single" w:sz="4" w:space="0" w:color="auto"/>
            </w:tcBorders>
            <w:shd w:val="clear" w:color="auto" w:fill="auto"/>
            <w:vAlign w:val="center"/>
            <w:hideMark/>
          </w:tcPr>
          <w:p w14:paraId="38C4A1AD" w14:textId="77777777" w:rsidR="003A5444" w:rsidRPr="001E0703" w:rsidRDefault="003A5444" w:rsidP="003A5444">
            <w:pPr>
              <w:jc w:val="center"/>
              <w:rPr>
                <w:rFonts w:cs="Calibri"/>
                <w:color w:val="000000"/>
              </w:rPr>
            </w:pPr>
            <w:r>
              <w:rPr>
                <w:rFonts w:cs="Calibri"/>
                <w:color w:val="000000"/>
              </w:rPr>
              <w:t>15.12.21</w:t>
            </w:r>
          </w:p>
        </w:tc>
      </w:tr>
      <w:tr w:rsidR="003A5444" w:rsidRPr="001E0703" w14:paraId="4A67EA91" w14:textId="77777777" w:rsidTr="003A544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15EC0818" w14:textId="4070FD59" w:rsidR="003A5444" w:rsidRPr="001E0703" w:rsidRDefault="003A5444" w:rsidP="003A5444">
            <w:pPr>
              <w:jc w:val="center"/>
              <w:rPr>
                <w:rFonts w:cs="Calibri"/>
                <w:color w:val="000000"/>
              </w:rPr>
            </w:pPr>
            <w:r>
              <w:rPr>
                <w:rFonts w:cs="Calibri"/>
                <w:color w:val="000000"/>
              </w:rPr>
              <w:t>M7</w:t>
            </w:r>
          </w:p>
        </w:tc>
        <w:tc>
          <w:tcPr>
            <w:tcW w:w="1660" w:type="dxa"/>
            <w:tcBorders>
              <w:top w:val="nil"/>
              <w:left w:val="nil"/>
              <w:bottom w:val="single" w:sz="4" w:space="0" w:color="auto"/>
              <w:right w:val="single" w:sz="4" w:space="0" w:color="auto"/>
            </w:tcBorders>
            <w:shd w:val="clear" w:color="auto" w:fill="auto"/>
            <w:vAlign w:val="center"/>
            <w:hideMark/>
          </w:tcPr>
          <w:p w14:paraId="1AFF49A0" w14:textId="77777777" w:rsidR="003A5444" w:rsidRPr="001E0703" w:rsidRDefault="003A5444" w:rsidP="003A5444">
            <w:pPr>
              <w:rPr>
                <w:rFonts w:cs="Calibri"/>
                <w:color w:val="000000"/>
              </w:rPr>
            </w:pPr>
            <w:r w:rsidRPr="001E0703">
              <w:rPr>
                <w:rFonts w:cs="Calibri"/>
                <w:color w:val="000000"/>
              </w:rPr>
              <w:t>Majetek</w:t>
            </w:r>
          </w:p>
        </w:tc>
        <w:tc>
          <w:tcPr>
            <w:tcW w:w="4600" w:type="dxa"/>
            <w:tcBorders>
              <w:top w:val="nil"/>
              <w:left w:val="nil"/>
              <w:bottom w:val="single" w:sz="4" w:space="0" w:color="auto"/>
              <w:right w:val="single" w:sz="4" w:space="0" w:color="auto"/>
            </w:tcBorders>
            <w:shd w:val="clear" w:color="auto" w:fill="auto"/>
            <w:vAlign w:val="center"/>
            <w:hideMark/>
          </w:tcPr>
          <w:p w14:paraId="4EB84ED9" w14:textId="77777777" w:rsidR="003A5444" w:rsidRPr="001E0703" w:rsidRDefault="003A5444" w:rsidP="003A5444">
            <w:pPr>
              <w:rPr>
                <w:rFonts w:cs="Calibri"/>
                <w:color w:val="000000"/>
              </w:rPr>
            </w:pPr>
            <w:r w:rsidRPr="001E0703">
              <w:rPr>
                <w:rFonts w:cs="Calibri"/>
                <w:color w:val="000000"/>
              </w:rPr>
              <w:t>Implementace a nasazení evidence majetku</w:t>
            </w:r>
          </w:p>
        </w:tc>
        <w:tc>
          <w:tcPr>
            <w:tcW w:w="1740" w:type="dxa"/>
            <w:tcBorders>
              <w:top w:val="nil"/>
              <w:left w:val="nil"/>
              <w:bottom w:val="single" w:sz="4" w:space="0" w:color="auto"/>
              <w:right w:val="single" w:sz="4" w:space="0" w:color="auto"/>
            </w:tcBorders>
            <w:shd w:val="clear" w:color="auto" w:fill="auto"/>
            <w:vAlign w:val="center"/>
            <w:hideMark/>
          </w:tcPr>
          <w:p w14:paraId="0FB5BEDD" w14:textId="77777777" w:rsidR="003A5444" w:rsidRPr="001E0703" w:rsidRDefault="003A5444" w:rsidP="003A5444">
            <w:pPr>
              <w:jc w:val="center"/>
              <w:rPr>
                <w:rFonts w:cs="Calibri"/>
                <w:color w:val="000000"/>
              </w:rPr>
            </w:pPr>
            <w:r>
              <w:rPr>
                <w:rFonts w:cs="Calibri"/>
                <w:color w:val="000000"/>
              </w:rPr>
              <w:t>30</w:t>
            </w:r>
            <w:r w:rsidRPr="001E0703">
              <w:rPr>
                <w:rFonts w:cs="Calibri"/>
                <w:color w:val="000000"/>
              </w:rPr>
              <w:t>.</w:t>
            </w:r>
            <w:r>
              <w:rPr>
                <w:rFonts w:cs="Calibri"/>
                <w:color w:val="000000"/>
              </w:rPr>
              <w:t>11</w:t>
            </w:r>
            <w:r w:rsidRPr="001E0703">
              <w:rPr>
                <w:rFonts w:cs="Calibri"/>
                <w:color w:val="000000"/>
              </w:rPr>
              <w:t>.2</w:t>
            </w:r>
            <w:r>
              <w:rPr>
                <w:rFonts w:cs="Calibri"/>
                <w:color w:val="000000"/>
              </w:rPr>
              <w:t>1</w:t>
            </w:r>
          </w:p>
        </w:tc>
      </w:tr>
      <w:tr w:rsidR="003A5444" w:rsidRPr="001E0703" w14:paraId="27BF820D" w14:textId="77777777" w:rsidTr="000F2E8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0F9EA50E" w14:textId="49B41CB1" w:rsidR="003A5444" w:rsidRPr="001E0703" w:rsidRDefault="003A5444" w:rsidP="003A5444">
            <w:pPr>
              <w:jc w:val="center"/>
              <w:rPr>
                <w:rFonts w:cs="Calibri"/>
                <w:color w:val="000000"/>
              </w:rPr>
            </w:pPr>
            <w:r>
              <w:rPr>
                <w:rFonts w:cs="Calibri"/>
                <w:color w:val="000000"/>
              </w:rPr>
              <w:t>M8</w:t>
            </w:r>
          </w:p>
        </w:tc>
        <w:tc>
          <w:tcPr>
            <w:tcW w:w="1660" w:type="dxa"/>
            <w:tcBorders>
              <w:top w:val="nil"/>
              <w:left w:val="nil"/>
              <w:bottom w:val="single" w:sz="4" w:space="0" w:color="auto"/>
              <w:right w:val="single" w:sz="4" w:space="0" w:color="auto"/>
            </w:tcBorders>
            <w:shd w:val="clear" w:color="auto" w:fill="auto"/>
            <w:vAlign w:val="center"/>
          </w:tcPr>
          <w:p w14:paraId="542EBE89" w14:textId="77777777" w:rsidR="003A5444" w:rsidRPr="001E0703" w:rsidRDefault="003A5444" w:rsidP="003A5444">
            <w:pPr>
              <w:rPr>
                <w:rFonts w:cs="Calibri"/>
                <w:color w:val="000000"/>
              </w:rPr>
            </w:pPr>
            <w:r>
              <w:rPr>
                <w:rFonts w:cs="Calibri"/>
                <w:color w:val="000000"/>
              </w:rPr>
              <w:t>Smlouvy</w:t>
            </w:r>
          </w:p>
        </w:tc>
        <w:tc>
          <w:tcPr>
            <w:tcW w:w="4600" w:type="dxa"/>
            <w:tcBorders>
              <w:top w:val="nil"/>
              <w:left w:val="nil"/>
              <w:bottom w:val="single" w:sz="4" w:space="0" w:color="auto"/>
              <w:right w:val="single" w:sz="4" w:space="0" w:color="auto"/>
            </w:tcBorders>
            <w:shd w:val="clear" w:color="auto" w:fill="auto"/>
            <w:vAlign w:val="center"/>
          </w:tcPr>
          <w:p w14:paraId="20506D4E" w14:textId="77777777" w:rsidR="003A5444" w:rsidRPr="001E0703" w:rsidRDefault="003A5444" w:rsidP="003A5444">
            <w:pPr>
              <w:rPr>
                <w:rFonts w:cs="Calibri"/>
                <w:color w:val="000000"/>
              </w:rPr>
            </w:pPr>
            <w:r w:rsidRPr="001E0703">
              <w:rPr>
                <w:rFonts w:cs="Calibri"/>
                <w:color w:val="000000"/>
              </w:rPr>
              <w:t>Implementace a nasazení</w:t>
            </w:r>
            <w:r>
              <w:rPr>
                <w:rFonts w:cs="Calibri"/>
                <w:color w:val="000000"/>
              </w:rPr>
              <w:t xml:space="preserve"> správy smluv</w:t>
            </w:r>
          </w:p>
        </w:tc>
        <w:tc>
          <w:tcPr>
            <w:tcW w:w="1740" w:type="dxa"/>
            <w:tcBorders>
              <w:top w:val="nil"/>
              <w:left w:val="nil"/>
              <w:bottom w:val="single" w:sz="4" w:space="0" w:color="auto"/>
              <w:right w:val="single" w:sz="4" w:space="0" w:color="auto"/>
            </w:tcBorders>
            <w:shd w:val="clear" w:color="auto" w:fill="auto"/>
            <w:vAlign w:val="center"/>
          </w:tcPr>
          <w:p w14:paraId="487E1384" w14:textId="77777777" w:rsidR="003A5444" w:rsidRDefault="003A5444" w:rsidP="003A5444">
            <w:pPr>
              <w:jc w:val="center"/>
              <w:rPr>
                <w:rFonts w:cs="Calibri"/>
                <w:color w:val="000000"/>
              </w:rPr>
            </w:pPr>
            <w:r>
              <w:rPr>
                <w:rFonts w:cs="Calibri"/>
                <w:color w:val="000000"/>
              </w:rPr>
              <w:t>30</w:t>
            </w:r>
            <w:r w:rsidRPr="001E0703">
              <w:rPr>
                <w:rFonts w:cs="Calibri"/>
                <w:color w:val="000000"/>
              </w:rPr>
              <w:t>.</w:t>
            </w:r>
            <w:r>
              <w:rPr>
                <w:rFonts w:cs="Calibri"/>
                <w:color w:val="000000"/>
              </w:rPr>
              <w:t>11</w:t>
            </w:r>
            <w:r w:rsidRPr="001E0703">
              <w:rPr>
                <w:rFonts w:cs="Calibri"/>
                <w:color w:val="000000"/>
              </w:rPr>
              <w:t>.2</w:t>
            </w:r>
            <w:r>
              <w:rPr>
                <w:rFonts w:cs="Calibri"/>
                <w:color w:val="000000"/>
              </w:rPr>
              <w:t>1</w:t>
            </w:r>
          </w:p>
        </w:tc>
      </w:tr>
      <w:tr w:rsidR="003A5444" w:rsidRPr="001E0703" w14:paraId="51957978" w14:textId="77777777" w:rsidTr="000F2E8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4024165F" w14:textId="1DBD9895" w:rsidR="003A5444" w:rsidRPr="001E0703" w:rsidRDefault="003A5444" w:rsidP="003A5444">
            <w:pPr>
              <w:jc w:val="center"/>
              <w:rPr>
                <w:rFonts w:cs="Calibri"/>
                <w:color w:val="000000"/>
              </w:rPr>
            </w:pPr>
            <w:r>
              <w:rPr>
                <w:rFonts w:cs="Calibri"/>
                <w:color w:val="000000"/>
              </w:rPr>
              <w:t>M9</w:t>
            </w:r>
          </w:p>
        </w:tc>
        <w:tc>
          <w:tcPr>
            <w:tcW w:w="1660" w:type="dxa"/>
            <w:tcBorders>
              <w:top w:val="nil"/>
              <w:left w:val="nil"/>
              <w:bottom w:val="single" w:sz="4" w:space="0" w:color="auto"/>
              <w:right w:val="single" w:sz="4" w:space="0" w:color="auto"/>
            </w:tcBorders>
            <w:shd w:val="clear" w:color="auto" w:fill="auto"/>
            <w:vAlign w:val="center"/>
          </w:tcPr>
          <w:p w14:paraId="437B1759" w14:textId="77777777" w:rsidR="003A5444" w:rsidRDefault="003A5444" w:rsidP="003A5444">
            <w:pPr>
              <w:rPr>
                <w:rFonts w:cs="Calibri"/>
                <w:color w:val="000000"/>
              </w:rPr>
            </w:pPr>
            <w:r>
              <w:rPr>
                <w:rFonts w:cs="Calibri"/>
                <w:color w:val="000000"/>
              </w:rPr>
              <w:t>Hřbitovní agenda</w:t>
            </w:r>
          </w:p>
        </w:tc>
        <w:tc>
          <w:tcPr>
            <w:tcW w:w="4600" w:type="dxa"/>
            <w:tcBorders>
              <w:top w:val="nil"/>
              <w:left w:val="nil"/>
              <w:bottom w:val="single" w:sz="4" w:space="0" w:color="auto"/>
              <w:right w:val="single" w:sz="4" w:space="0" w:color="auto"/>
            </w:tcBorders>
            <w:shd w:val="clear" w:color="auto" w:fill="auto"/>
            <w:vAlign w:val="center"/>
          </w:tcPr>
          <w:p w14:paraId="643B8D31" w14:textId="77777777" w:rsidR="003A5444" w:rsidRPr="001E0703" w:rsidRDefault="003A5444" w:rsidP="003A5444">
            <w:pPr>
              <w:rPr>
                <w:rFonts w:cs="Calibri"/>
                <w:color w:val="000000"/>
              </w:rPr>
            </w:pPr>
            <w:r w:rsidRPr="001E0703">
              <w:rPr>
                <w:rFonts w:cs="Calibri"/>
                <w:color w:val="000000"/>
              </w:rPr>
              <w:t>Implementace a nasazení</w:t>
            </w:r>
            <w:r>
              <w:rPr>
                <w:rFonts w:cs="Calibri"/>
                <w:color w:val="000000"/>
              </w:rPr>
              <w:t xml:space="preserve"> správy Hřbitovní agendy</w:t>
            </w:r>
          </w:p>
        </w:tc>
        <w:tc>
          <w:tcPr>
            <w:tcW w:w="1740" w:type="dxa"/>
            <w:tcBorders>
              <w:top w:val="nil"/>
              <w:left w:val="nil"/>
              <w:bottom w:val="single" w:sz="4" w:space="0" w:color="auto"/>
              <w:right w:val="single" w:sz="4" w:space="0" w:color="auto"/>
            </w:tcBorders>
            <w:shd w:val="clear" w:color="auto" w:fill="auto"/>
            <w:vAlign w:val="center"/>
          </w:tcPr>
          <w:p w14:paraId="5BA4852A" w14:textId="77777777" w:rsidR="003A5444" w:rsidRDefault="003A5444" w:rsidP="003A5444">
            <w:pPr>
              <w:jc w:val="center"/>
              <w:rPr>
                <w:rFonts w:cs="Calibri"/>
                <w:color w:val="000000"/>
              </w:rPr>
            </w:pPr>
            <w:r>
              <w:rPr>
                <w:rFonts w:cs="Calibri"/>
                <w:color w:val="000000"/>
              </w:rPr>
              <w:t>30</w:t>
            </w:r>
            <w:r w:rsidRPr="001E0703">
              <w:rPr>
                <w:rFonts w:cs="Calibri"/>
                <w:color w:val="000000"/>
              </w:rPr>
              <w:t>.</w:t>
            </w:r>
            <w:r>
              <w:rPr>
                <w:rFonts w:cs="Calibri"/>
                <w:color w:val="000000"/>
              </w:rPr>
              <w:t>11</w:t>
            </w:r>
            <w:r w:rsidRPr="001E0703">
              <w:rPr>
                <w:rFonts w:cs="Calibri"/>
                <w:color w:val="000000"/>
              </w:rPr>
              <w:t>.2</w:t>
            </w:r>
            <w:r>
              <w:rPr>
                <w:rFonts w:cs="Calibri"/>
                <w:color w:val="000000"/>
              </w:rPr>
              <w:t>1</w:t>
            </w:r>
          </w:p>
        </w:tc>
      </w:tr>
      <w:tr w:rsidR="003A5444" w:rsidRPr="001E0703" w14:paraId="2A0E34F5" w14:textId="77777777" w:rsidTr="003A5444">
        <w:trPr>
          <w:trHeight w:val="600"/>
        </w:trPr>
        <w:tc>
          <w:tcPr>
            <w:tcW w:w="580" w:type="dxa"/>
            <w:tcBorders>
              <w:top w:val="nil"/>
              <w:left w:val="single" w:sz="4" w:space="0" w:color="auto"/>
              <w:bottom w:val="single" w:sz="4" w:space="0" w:color="auto"/>
              <w:right w:val="single" w:sz="4" w:space="0" w:color="auto"/>
            </w:tcBorders>
            <w:shd w:val="clear" w:color="auto" w:fill="auto"/>
            <w:vAlign w:val="center"/>
          </w:tcPr>
          <w:p w14:paraId="039B480C" w14:textId="0D933D49" w:rsidR="003A5444" w:rsidRPr="001E0703" w:rsidRDefault="003A5444" w:rsidP="003A5444">
            <w:pPr>
              <w:jc w:val="center"/>
              <w:rPr>
                <w:rFonts w:cs="Calibri"/>
                <w:color w:val="000000"/>
              </w:rPr>
            </w:pPr>
            <w:r>
              <w:rPr>
                <w:rFonts w:cs="Calibri"/>
                <w:color w:val="000000"/>
              </w:rPr>
              <w:t>M10</w:t>
            </w:r>
          </w:p>
        </w:tc>
        <w:tc>
          <w:tcPr>
            <w:tcW w:w="1660" w:type="dxa"/>
            <w:tcBorders>
              <w:top w:val="nil"/>
              <w:left w:val="nil"/>
              <w:bottom w:val="single" w:sz="4" w:space="0" w:color="auto"/>
              <w:right w:val="single" w:sz="4" w:space="0" w:color="auto"/>
            </w:tcBorders>
            <w:shd w:val="clear" w:color="auto" w:fill="auto"/>
            <w:vAlign w:val="center"/>
            <w:hideMark/>
          </w:tcPr>
          <w:p w14:paraId="7727A8BB" w14:textId="77777777" w:rsidR="003A5444" w:rsidRPr="001E0703" w:rsidRDefault="003A5444" w:rsidP="003A5444">
            <w:pPr>
              <w:rPr>
                <w:rFonts w:cs="Calibri"/>
                <w:color w:val="000000"/>
              </w:rPr>
            </w:pPr>
            <w:r w:rsidRPr="001E0703">
              <w:rPr>
                <w:rFonts w:cs="Calibri"/>
                <w:color w:val="000000"/>
              </w:rPr>
              <w:t>Rozhraní na Mzdy</w:t>
            </w:r>
          </w:p>
        </w:tc>
        <w:tc>
          <w:tcPr>
            <w:tcW w:w="4600" w:type="dxa"/>
            <w:tcBorders>
              <w:top w:val="nil"/>
              <w:left w:val="nil"/>
              <w:bottom w:val="single" w:sz="4" w:space="0" w:color="auto"/>
              <w:right w:val="single" w:sz="4" w:space="0" w:color="auto"/>
            </w:tcBorders>
            <w:shd w:val="clear" w:color="auto" w:fill="auto"/>
            <w:vAlign w:val="center"/>
            <w:hideMark/>
          </w:tcPr>
          <w:p w14:paraId="47810CDD" w14:textId="77777777" w:rsidR="003A5444" w:rsidRPr="001E0703" w:rsidRDefault="003A5444" w:rsidP="003A5444">
            <w:pPr>
              <w:rPr>
                <w:rFonts w:cs="Calibri"/>
                <w:color w:val="000000"/>
              </w:rPr>
            </w:pPr>
            <w:r w:rsidRPr="001E0703">
              <w:rPr>
                <w:rFonts w:cs="Calibri"/>
                <w:color w:val="000000"/>
              </w:rPr>
              <w:t>Zprovoznění rozhraní na Mzdový systém</w:t>
            </w:r>
          </w:p>
        </w:tc>
        <w:tc>
          <w:tcPr>
            <w:tcW w:w="1740" w:type="dxa"/>
            <w:tcBorders>
              <w:top w:val="nil"/>
              <w:left w:val="nil"/>
              <w:bottom w:val="single" w:sz="4" w:space="0" w:color="auto"/>
              <w:right w:val="single" w:sz="4" w:space="0" w:color="auto"/>
            </w:tcBorders>
            <w:shd w:val="clear" w:color="auto" w:fill="auto"/>
            <w:vAlign w:val="center"/>
            <w:hideMark/>
          </w:tcPr>
          <w:p w14:paraId="3CD748BC" w14:textId="77777777" w:rsidR="003A5444" w:rsidRPr="001E0703" w:rsidRDefault="003A5444" w:rsidP="003A5444">
            <w:pPr>
              <w:jc w:val="center"/>
              <w:rPr>
                <w:rFonts w:cs="Calibri"/>
                <w:color w:val="000000"/>
              </w:rPr>
            </w:pPr>
            <w:r>
              <w:rPr>
                <w:rFonts w:cs="Calibri"/>
                <w:color w:val="000000"/>
              </w:rPr>
              <w:t>15.12.21</w:t>
            </w:r>
            <w:r w:rsidRPr="001E0703">
              <w:rPr>
                <w:rFonts w:cs="Calibri"/>
                <w:color w:val="000000"/>
              </w:rPr>
              <w:t> </w:t>
            </w:r>
          </w:p>
        </w:tc>
      </w:tr>
      <w:tr w:rsidR="003A5444" w:rsidRPr="001E0703" w14:paraId="318227E5" w14:textId="77777777" w:rsidTr="003A5444">
        <w:trPr>
          <w:trHeight w:val="600"/>
        </w:trPr>
        <w:tc>
          <w:tcPr>
            <w:tcW w:w="580" w:type="dxa"/>
            <w:tcBorders>
              <w:top w:val="nil"/>
              <w:left w:val="single" w:sz="4" w:space="0" w:color="auto"/>
              <w:bottom w:val="single" w:sz="4" w:space="0" w:color="auto"/>
              <w:right w:val="single" w:sz="4" w:space="0" w:color="auto"/>
            </w:tcBorders>
            <w:shd w:val="clear" w:color="auto" w:fill="auto"/>
            <w:vAlign w:val="center"/>
          </w:tcPr>
          <w:p w14:paraId="7E125A9D" w14:textId="1A55EAF3" w:rsidR="003A5444" w:rsidRPr="001E0703" w:rsidRDefault="003A5444" w:rsidP="003A5444">
            <w:pPr>
              <w:jc w:val="center"/>
              <w:rPr>
                <w:rFonts w:cs="Calibri"/>
                <w:color w:val="000000"/>
              </w:rPr>
            </w:pPr>
            <w:r>
              <w:rPr>
                <w:rFonts w:cs="Calibri"/>
                <w:color w:val="000000"/>
              </w:rPr>
              <w:t>M11</w:t>
            </w:r>
          </w:p>
        </w:tc>
        <w:tc>
          <w:tcPr>
            <w:tcW w:w="1660" w:type="dxa"/>
            <w:tcBorders>
              <w:top w:val="nil"/>
              <w:left w:val="nil"/>
              <w:bottom w:val="single" w:sz="4" w:space="0" w:color="auto"/>
              <w:right w:val="single" w:sz="4" w:space="0" w:color="auto"/>
            </w:tcBorders>
            <w:shd w:val="clear" w:color="auto" w:fill="auto"/>
            <w:vAlign w:val="center"/>
            <w:hideMark/>
          </w:tcPr>
          <w:p w14:paraId="212B4168" w14:textId="77777777" w:rsidR="003A5444" w:rsidRPr="001E0703" w:rsidRDefault="003A5444" w:rsidP="003A5444">
            <w:pPr>
              <w:rPr>
                <w:rFonts w:cs="Calibri"/>
                <w:color w:val="000000"/>
              </w:rPr>
            </w:pPr>
            <w:r w:rsidRPr="001E0703">
              <w:rPr>
                <w:rFonts w:cs="Calibri"/>
                <w:color w:val="000000"/>
              </w:rPr>
              <w:t>Přeúčtování nákladů</w:t>
            </w:r>
          </w:p>
        </w:tc>
        <w:tc>
          <w:tcPr>
            <w:tcW w:w="4600" w:type="dxa"/>
            <w:tcBorders>
              <w:top w:val="nil"/>
              <w:left w:val="nil"/>
              <w:bottom w:val="single" w:sz="4" w:space="0" w:color="auto"/>
              <w:right w:val="single" w:sz="4" w:space="0" w:color="auto"/>
            </w:tcBorders>
            <w:shd w:val="clear" w:color="auto" w:fill="auto"/>
            <w:vAlign w:val="center"/>
            <w:hideMark/>
          </w:tcPr>
          <w:p w14:paraId="1378FCBD" w14:textId="77777777" w:rsidR="003A5444" w:rsidRPr="001E0703" w:rsidRDefault="003A5444" w:rsidP="003A5444">
            <w:pPr>
              <w:rPr>
                <w:rFonts w:cs="Calibri"/>
                <w:color w:val="000000"/>
              </w:rPr>
            </w:pPr>
            <w:r w:rsidRPr="001E0703">
              <w:rPr>
                <w:rFonts w:cs="Calibri"/>
                <w:color w:val="000000"/>
              </w:rPr>
              <w:t>Analýza, návrh a vývoj, testování, zprovoznění funkčnosti pro Přeúčtování nákladů</w:t>
            </w:r>
          </w:p>
        </w:tc>
        <w:tc>
          <w:tcPr>
            <w:tcW w:w="1740" w:type="dxa"/>
            <w:tcBorders>
              <w:top w:val="nil"/>
              <w:left w:val="nil"/>
              <w:bottom w:val="single" w:sz="4" w:space="0" w:color="auto"/>
              <w:right w:val="single" w:sz="4" w:space="0" w:color="auto"/>
            </w:tcBorders>
            <w:shd w:val="clear" w:color="auto" w:fill="auto"/>
            <w:vAlign w:val="center"/>
            <w:hideMark/>
          </w:tcPr>
          <w:p w14:paraId="23849CDA" w14:textId="77777777" w:rsidR="003A5444" w:rsidRPr="001E0703" w:rsidRDefault="003A5444" w:rsidP="003A5444">
            <w:pPr>
              <w:jc w:val="center"/>
              <w:rPr>
                <w:rFonts w:cs="Calibri"/>
                <w:color w:val="000000"/>
              </w:rPr>
            </w:pPr>
            <w:r>
              <w:rPr>
                <w:rFonts w:cs="Calibri"/>
                <w:color w:val="000000"/>
              </w:rPr>
              <w:t>30</w:t>
            </w:r>
            <w:r w:rsidRPr="001E0703">
              <w:rPr>
                <w:rFonts w:cs="Calibri"/>
                <w:color w:val="000000"/>
              </w:rPr>
              <w:t>.</w:t>
            </w:r>
            <w:r>
              <w:rPr>
                <w:rFonts w:cs="Calibri"/>
                <w:color w:val="000000"/>
              </w:rPr>
              <w:t>11</w:t>
            </w:r>
            <w:r w:rsidRPr="001E0703">
              <w:rPr>
                <w:rFonts w:cs="Calibri"/>
                <w:color w:val="000000"/>
              </w:rPr>
              <w:t>.2</w:t>
            </w:r>
            <w:r>
              <w:rPr>
                <w:rFonts w:cs="Calibri"/>
                <w:color w:val="000000"/>
              </w:rPr>
              <w:t>1</w:t>
            </w:r>
            <w:r w:rsidRPr="001E0703">
              <w:rPr>
                <w:rFonts w:cs="Calibri"/>
                <w:color w:val="000000"/>
              </w:rPr>
              <w:t> </w:t>
            </w:r>
          </w:p>
        </w:tc>
      </w:tr>
      <w:tr w:rsidR="003A5444" w:rsidRPr="001E0703" w14:paraId="6B4813C0" w14:textId="77777777" w:rsidTr="003A544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694147B8" w14:textId="43D6413E" w:rsidR="003A5444" w:rsidRPr="001E0703" w:rsidRDefault="003A5444" w:rsidP="003A5444">
            <w:pPr>
              <w:jc w:val="center"/>
              <w:rPr>
                <w:rFonts w:cs="Calibri"/>
                <w:color w:val="000000"/>
              </w:rPr>
            </w:pPr>
            <w:r>
              <w:rPr>
                <w:rFonts w:cs="Calibri"/>
                <w:color w:val="000000"/>
              </w:rPr>
              <w:t>M12</w:t>
            </w:r>
          </w:p>
        </w:tc>
        <w:tc>
          <w:tcPr>
            <w:tcW w:w="1660" w:type="dxa"/>
            <w:tcBorders>
              <w:top w:val="nil"/>
              <w:left w:val="nil"/>
              <w:bottom w:val="single" w:sz="4" w:space="0" w:color="auto"/>
              <w:right w:val="single" w:sz="4" w:space="0" w:color="auto"/>
            </w:tcBorders>
            <w:shd w:val="clear" w:color="auto" w:fill="auto"/>
            <w:vAlign w:val="center"/>
            <w:hideMark/>
          </w:tcPr>
          <w:p w14:paraId="08693B48" w14:textId="77777777" w:rsidR="003A5444" w:rsidRPr="001E0703" w:rsidRDefault="003A5444" w:rsidP="003A5444">
            <w:pPr>
              <w:rPr>
                <w:rFonts w:cs="Calibri"/>
                <w:color w:val="000000"/>
              </w:rPr>
            </w:pPr>
            <w:r w:rsidRPr="001E0703">
              <w:rPr>
                <w:rFonts w:cs="Calibri"/>
                <w:color w:val="000000"/>
              </w:rPr>
              <w:t>Výkaznictví</w:t>
            </w:r>
          </w:p>
        </w:tc>
        <w:tc>
          <w:tcPr>
            <w:tcW w:w="4600" w:type="dxa"/>
            <w:tcBorders>
              <w:top w:val="nil"/>
              <w:left w:val="nil"/>
              <w:bottom w:val="single" w:sz="4" w:space="0" w:color="auto"/>
              <w:right w:val="single" w:sz="4" w:space="0" w:color="auto"/>
            </w:tcBorders>
            <w:shd w:val="clear" w:color="auto" w:fill="auto"/>
            <w:vAlign w:val="center"/>
            <w:hideMark/>
          </w:tcPr>
          <w:p w14:paraId="4814000A" w14:textId="6DEBB19A" w:rsidR="003A5444" w:rsidRPr="001E0703" w:rsidRDefault="003A5444" w:rsidP="003A5444">
            <w:pPr>
              <w:rPr>
                <w:rFonts w:cs="Calibri"/>
                <w:color w:val="000000"/>
              </w:rPr>
            </w:pPr>
            <w:r w:rsidRPr="001E0703">
              <w:rPr>
                <w:rFonts w:cs="Calibri"/>
                <w:color w:val="000000"/>
              </w:rPr>
              <w:t xml:space="preserve">Nastavení pro </w:t>
            </w:r>
            <w:r>
              <w:rPr>
                <w:rFonts w:cs="Calibri"/>
                <w:color w:val="000000"/>
              </w:rPr>
              <w:t xml:space="preserve">integrované </w:t>
            </w:r>
            <w:r w:rsidRPr="001E0703">
              <w:rPr>
                <w:rFonts w:cs="Calibri"/>
                <w:color w:val="000000"/>
              </w:rPr>
              <w:t>výkaznictví</w:t>
            </w:r>
          </w:p>
        </w:tc>
        <w:tc>
          <w:tcPr>
            <w:tcW w:w="1740" w:type="dxa"/>
            <w:tcBorders>
              <w:top w:val="nil"/>
              <w:left w:val="nil"/>
              <w:bottom w:val="single" w:sz="4" w:space="0" w:color="auto"/>
              <w:right w:val="single" w:sz="4" w:space="0" w:color="auto"/>
            </w:tcBorders>
            <w:shd w:val="clear" w:color="auto" w:fill="auto"/>
            <w:vAlign w:val="center"/>
            <w:hideMark/>
          </w:tcPr>
          <w:p w14:paraId="42525307" w14:textId="77777777" w:rsidR="003A5444" w:rsidRPr="001E0703" w:rsidRDefault="003A5444" w:rsidP="003A5444">
            <w:pPr>
              <w:jc w:val="center"/>
              <w:rPr>
                <w:rFonts w:cs="Calibri"/>
                <w:color w:val="000000"/>
              </w:rPr>
            </w:pPr>
            <w:r>
              <w:rPr>
                <w:rFonts w:cs="Calibri"/>
                <w:color w:val="000000"/>
              </w:rPr>
              <w:t>30</w:t>
            </w:r>
            <w:r w:rsidRPr="001E0703">
              <w:rPr>
                <w:rFonts w:cs="Calibri"/>
                <w:color w:val="000000"/>
              </w:rPr>
              <w:t>.</w:t>
            </w:r>
            <w:r>
              <w:rPr>
                <w:rFonts w:cs="Calibri"/>
                <w:color w:val="000000"/>
              </w:rPr>
              <w:t>11</w:t>
            </w:r>
            <w:r w:rsidRPr="001E0703">
              <w:rPr>
                <w:rFonts w:cs="Calibri"/>
                <w:color w:val="000000"/>
              </w:rPr>
              <w:t>.2</w:t>
            </w:r>
            <w:r>
              <w:rPr>
                <w:rFonts w:cs="Calibri"/>
                <w:color w:val="000000"/>
              </w:rPr>
              <w:t>1</w:t>
            </w:r>
            <w:r w:rsidRPr="001E0703">
              <w:rPr>
                <w:rFonts w:cs="Calibri"/>
                <w:color w:val="000000"/>
              </w:rPr>
              <w:t> </w:t>
            </w:r>
          </w:p>
        </w:tc>
      </w:tr>
      <w:tr w:rsidR="003A5444" w:rsidRPr="001E0703" w14:paraId="21AB4A07" w14:textId="77777777" w:rsidTr="000F2E8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5A4DFBDA" w14:textId="26520336" w:rsidR="003A5444" w:rsidRDefault="003A5444" w:rsidP="003A5444">
            <w:pPr>
              <w:jc w:val="center"/>
              <w:rPr>
                <w:rFonts w:cs="Calibri"/>
                <w:color w:val="000000"/>
              </w:rPr>
            </w:pPr>
            <w:r>
              <w:rPr>
                <w:rFonts w:cs="Calibri"/>
                <w:color w:val="000000"/>
              </w:rPr>
              <w:t>M13</w:t>
            </w:r>
          </w:p>
        </w:tc>
        <w:tc>
          <w:tcPr>
            <w:tcW w:w="1660" w:type="dxa"/>
            <w:tcBorders>
              <w:top w:val="nil"/>
              <w:left w:val="nil"/>
              <w:bottom w:val="single" w:sz="4" w:space="0" w:color="auto"/>
              <w:right w:val="single" w:sz="4" w:space="0" w:color="auto"/>
            </w:tcBorders>
            <w:shd w:val="clear" w:color="auto" w:fill="auto"/>
            <w:vAlign w:val="center"/>
          </w:tcPr>
          <w:p w14:paraId="7CC3B4EE" w14:textId="5EEF8793" w:rsidR="003A5444" w:rsidRPr="001E0703" w:rsidRDefault="003A5444" w:rsidP="003A5444">
            <w:pPr>
              <w:rPr>
                <w:rFonts w:cs="Calibri"/>
                <w:color w:val="000000"/>
              </w:rPr>
            </w:pPr>
            <w:r>
              <w:rPr>
                <w:rFonts w:cs="Calibri"/>
                <w:color w:val="000000"/>
              </w:rPr>
              <w:t>Importy dat</w:t>
            </w:r>
          </w:p>
        </w:tc>
        <w:tc>
          <w:tcPr>
            <w:tcW w:w="4600" w:type="dxa"/>
            <w:tcBorders>
              <w:top w:val="nil"/>
              <w:left w:val="nil"/>
              <w:bottom w:val="single" w:sz="4" w:space="0" w:color="auto"/>
              <w:right w:val="single" w:sz="4" w:space="0" w:color="auto"/>
            </w:tcBorders>
            <w:shd w:val="clear" w:color="auto" w:fill="auto"/>
            <w:vAlign w:val="center"/>
          </w:tcPr>
          <w:p w14:paraId="7B010D63" w14:textId="76AC1D0E" w:rsidR="003A5444" w:rsidRPr="001E0703" w:rsidRDefault="003A5444" w:rsidP="003A5444">
            <w:pPr>
              <w:rPr>
                <w:rFonts w:cs="Calibri"/>
                <w:color w:val="000000"/>
              </w:rPr>
            </w:pPr>
            <w:r>
              <w:rPr>
                <w:rFonts w:cs="Calibri"/>
                <w:color w:val="000000"/>
              </w:rPr>
              <w:t>Importy dat v rozsahu podle ZD a nabídky</w:t>
            </w:r>
          </w:p>
        </w:tc>
        <w:tc>
          <w:tcPr>
            <w:tcW w:w="1740" w:type="dxa"/>
            <w:tcBorders>
              <w:top w:val="nil"/>
              <w:left w:val="nil"/>
              <w:bottom w:val="single" w:sz="4" w:space="0" w:color="auto"/>
              <w:right w:val="single" w:sz="4" w:space="0" w:color="auto"/>
            </w:tcBorders>
            <w:shd w:val="clear" w:color="auto" w:fill="auto"/>
            <w:vAlign w:val="center"/>
          </w:tcPr>
          <w:p w14:paraId="726B83C6" w14:textId="76FA3265" w:rsidR="003A5444" w:rsidRDefault="003A5444" w:rsidP="003A5444">
            <w:pPr>
              <w:jc w:val="center"/>
              <w:rPr>
                <w:rFonts w:cs="Calibri"/>
                <w:color w:val="000000"/>
              </w:rPr>
            </w:pPr>
            <w:r>
              <w:rPr>
                <w:rFonts w:cs="Calibri"/>
                <w:color w:val="000000"/>
              </w:rPr>
              <w:t>31.12.21</w:t>
            </w:r>
          </w:p>
        </w:tc>
      </w:tr>
      <w:tr w:rsidR="003A5444" w:rsidRPr="001E0703" w14:paraId="212D7B30" w14:textId="77777777" w:rsidTr="000F2E8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472A8F48" w14:textId="4FD89540" w:rsidR="003A5444" w:rsidRDefault="003A5444" w:rsidP="003A5444">
            <w:pPr>
              <w:jc w:val="center"/>
              <w:rPr>
                <w:rFonts w:cs="Calibri"/>
                <w:color w:val="000000"/>
              </w:rPr>
            </w:pPr>
            <w:r>
              <w:rPr>
                <w:rFonts w:cs="Calibri"/>
                <w:color w:val="000000"/>
              </w:rPr>
              <w:t>M14</w:t>
            </w:r>
          </w:p>
        </w:tc>
        <w:tc>
          <w:tcPr>
            <w:tcW w:w="1660" w:type="dxa"/>
            <w:tcBorders>
              <w:top w:val="nil"/>
              <w:left w:val="nil"/>
              <w:bottom w:val="single" w:sz="4" w:space="0" w:color="auto"/>
              <w:right w:val="single" w:sz="4" w:space="0" w:color="auto"/>
            </w:tcBorders>
            <w:shd w:val="clear" w:color="auto" w:fill="auto"/>
            <w:vAlign w:val="center"/>
          </w:tcPr>
          <w:p w14:paraId="46C7919A" w14:textId="77777777" w:rsidR="003A5444" w:rsidRPr="001E0703" w:rsidRDefault="003A5444" w:rsidP="003A5444">
            <w:pPr>
              <w:rPr>
                <w:rFonts w:cs="Calibri"/>
                <w:color w:val="000000"/>
              </w:rPr>
            </w:pPr>
            <w:r>
              <w:rPr>
                <w:rFonts w:cs="Calibri"/>
                <w:color w:val="000000"/>
              </w:rPr>
              <w:t>Školení správců a uživatelů</w:t>
            </w:r>
          </w:p>
        </w:tc>
        <w:tc>
          <w:tcPr>
            <w:tcW w:w="4600" w:type="dxa"/>
            <w:tcBorders>
              <w:top w:val="nil"/>
              <w:left w:val="nil"/>
              <w:bottom w:val="single" w:sz="4" w:space="0" w:color="auto"/>
              <w:right w:val="single" w:sz="4" w:space="0" w:color="auto"/>
            </w:tcBorders>
            <w:shd w:val="clear" w:color="auto" w:fill="auto"/>
            <w:vAlign w:val="center"/>
          </w:tcPr>
          <w:p w14:paraId="71298F9E" w14:textId="77777777" w:rsidR="003A5444" w:rsidRDefault="003A5444" w:rsidP="003A5444">
            <w:pPr>
              <w:rPr>
                <w:rFonts w:cs="Calibri"/>
                <w:color w:val="000000"/>
              </w:rPr>
            </w:pPr>
            <w:r>
              <w:rPr>
                <w:rFonts w:cs="Calibri"/>
                <w:color w:val="000000"/>
              </w:rPr>
              <w:t>Provedení školení správců – jednorázově</w:t>
            </w:r>
          </w:p>
          <w:p w14:paraId="627795F6" w14:textId="2C65D414" w:rsidR="003A5444" w:rsidRPr="001E0703" w:rsidRDefault="003A5444" w:rsidP="003A5444">
            <w:pPr>
              <w:rPr>
                <w:rFonts w:cs="Calibri"/>
                <w:color w:val="000000"/>
              </w:rPr>
            </w:pPr>
            <w:r>
              <w:rPr>
                <w:rFonts w:cs="Calibri"/>
                <w:color w:val="000000"/>
              </w:rPr>
              <w:t>Provedení školení uživatelů – obecné užívání systému a po oblastech</w:t>
            </w:r>
          </w:p>
        </w:tc>
        <w:tc>
          <w:tcPr>
            <w:tcW w:w="1740" w:type="dxa"/>
            <w:tcBorders>
              <w:top w:val="nil"/>
              <w:left w:val="nil"/>
              <w:bottom w:val="single" w:sz="4" w:space="0" w:color="auto"/>
              <w:right w:val="single" w:sz="4" w:space="0" w:color="auto"/>
            </w:tcBorders>
            <w:shd w:val="clear" w:color="auto" w:fill="auto"/>
            <w:vAlign w:val="center"/>
          </w:tcPr>
          <w:p w14:paraId="20C0D80F" w14:textId="2F34A2C9" w:rsidR="003A5444" w:rsidRDefault="003A5444" w:rsidP="003A5444">
            <w:pPr>
              <w:jc w:val="center"/>
              <w:rPr>
                <w:rFonts w:cs="Calibri"/>
                <w:color w:val="000000"/>
              </w:rPr>
            </w:pPr>
            <w:r>
              <w:rPr>
                <w:rFonts w:cs="Calibri"/>
                <w:color w:val="000000"/>
              </w:rPr>
              <w:t>31.12.21</w:t>
            </w:r>
          </w:p>
        </w:tc>
      </w:tr>
      <w:tr w:rsidR="003A5444" w:rsidRPr="001E0703" w14:paraId="5370EFEA" w14:textId="77777777" w:rsidTr="000F2E84">
        <w:trPr>
          <w:trHeight w:val="300"/>
        </w:trPr>
        <w:tc>
          <w:tcPr>
            <w:tcW w:w="580" w:type="dxa"/>
            <w:tcBorders>
              <w:top w:val="nil"/>
              <w:left w:val="single" w:sz="4" w:space="0" w:color="auto"/>
              <w:bottom w:val="single" w:sz="4" w:space="0" w:color="auto"/>
              <w:right w:val="single" w:sz="4" w:space="0" w:color="auto"/>
            </w:tcBorders>
            <w:shd w:val="clear" w:color="auto" w:fill="auto"/>
            <w:vAlign w:val="center"/>
          </w:tcPr>
          <w:p w14:paraId="65CF79C2" w14:textId="54D5CC3E" w:rsidR="003A5444" w:rsidRDefault="003A5444" w:rsidP="003A5444">
            <w:pPr>
              <w:jc w:val="center"/>
              <w:rPr>
                <w:rFonts w:cs="Calibri"/>
                <w:color w:val="000000"/>
              </w:rPr>
            </w:pPr>
            <w:r>
              <w:rPr>
                <w:rFonts w:cs="Calibri"/>
                <w:color w:val="000000"/>
              </w:rPr>
              <w:t>M15</w:t>
            </w:r>
          </w:p>
        </w:tc>
        <w:tc>
          <w:tcPr>
            <w:tcW w:w="1660" w:type="dxa"/>
            <w:tcBorders>
              <w:top w:val="nil"/>
              <w:left w:val="nil"/>
              <w:bottom w:val="single" w:sz="4" w:space="0" w:color="auto"/>
              <w:right w:val="single" w:sz="4" w:space="0" w:color="auto"/>
            </w:tcBorders>
            <w:shd w:val="clear" w:color="auto" w:fill="auto"/>
            <w:vAlign w:val="center"/>
          </w:tcPr>
          <w:p w14:paraId="637EF52B" w14:textId="52AE23EE" w:rsidR="003A5444" w:rsidRDefault="003A5444" w:rsidP="003A5444">
            <w:pPr>
              <w:rPr>
                <w:rFonts w:cs="Calibri"/>
                <w:color w:val="000000"/>
              </w:rPr>
            </w:pPr>
            <w:r>
              <w:rPr>
                <w:rFonts w:cs="Calibri"/>
                <w:color w:val="000000"/>
              </w:rPr>
              <w:t>Zvýšená podpora</w:t>
            </w:r>
          </w:p>
        </w:tc>
        <w:tc>
          <w:tcPr>
            <w:tcW w:w="4600" w:type="dxa"/>
            <w:tcBorders>
              <w:top w:val="nil"/>
              <w:left w:val="nil"/>
              <w:bottom w:val="single" w:sz="4" w:space="0" w:color="auto"/>
              <w:right w:val="single" w:sz="4" w:space="0" w:color="auto"/>
            </w:tcBorders>
            <w:shd w:val="clear" w:color="auto" w:fill="auto"/>
            <w:vAlign w:val="center"/>
          </w:tcPr>
          <w:p w14:paraId="18906FD4" w14:textId="4D524BD8" w:rsidR="003A5444" w:rsidRDefault="003A5444" w:rsidP="003A5444">
            <w:pPr>
              <w:rPr>
                <w:rFonts w:cs="Calibri"/>
                <w:color w:val="000000"/>
              </w:rPr>
            </w:pPr>
            <w:r>
              <w:rPr>
                <w:rFonts w:cs="Calibri"/>
                <w:color w:val="000000"/>
              </w:rPr>
              <w:t>Zvýšená podpora při nájezdu systému v průběhu 1.Q 2022</w:t>
            </w:r>
          </w:p>
        </w:tc>
        <w:tc>
          <w:tcPr>
            <w:tcW w:w="1740" w:type="dxa"/>
            <w:tcBorders>
              <w:top w:val="nil"/>
              <w:left w:val="nil"/>
              <w:bottom w:val="single" w:sz="4" w:space="0" w:color="auto"/>
              <w:right w:val="single" w:sz="4" w:space="0" w:color="auto"/>
            </w:tcBorders>
            <w:shd w:val="clear" w:color="auto" w:fill="auto"/>
            <w:vAlign w:val="center"/>
          </w:tcPr>
          <w:p w14:paraId="781EDF7E" w14:textId="6AC1FCB6" w:rsidR="003A5444" w:rsidRDefault="003A5444" w:rsidP="003A5444">
            <w:pPr>
              <w:jc w:val="center"/>
              <w:rPr>
                <w:rFonts w:cs="Calibri"/>
                <w:color w:val="000000"/>
              </w:rPr>
            </w:pPr>
            <w:r w:rsidRPr="001E0703">
              <w:rPr>
                <w:rFonts w:cs="Calibri"/>
                <w:color w:val="000000"/>
              </w:rPr>
              <w:t>30.04.2</w:t>
            </w:r>
            <w:r>
              <w:rPr>
                <w:rFonts w:cs="Calibri"/>
                <w:color w:val="000000"/>
              </w:rPr>
              <w:t>2</w:t>
            </w:r>
          </w:p>
        </w:tc>
      </w:tr>
      <w:tr w:rsidR="003A5444" w:rsidRPr="001E0703" w14:paraId="27B2B51E" w14:textId="77777777" w:rsidTr="000F2E84">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DB9BB4" w14:textId="50AC3B68" w:rsidR="003A5444" w:rsidRPr="001E0703" w:rsidRDefault="003A5444" w:rsidP="003A5444">
            <w:pPr>
              <w:jc w:val="center"/>
              <w:rPr>
                <w:rFonts w:cs="Calibri"/>
                <w:color w:val="000000"/>
              </w:rPr>
            </w:pPr>
            <w:r>
              <w:rPr>
                <w:rFonts w:cs="Calibri"/>
                <w:color w:val="000000"/>
              </w:rPr>
              <w:t>M16</w:t>
            </w:r>
          </w:p>
        </w:tc>
        <w:tc>
          <w:tcPr>
            <w:tcW w:w="1660" w:type="dxa"/>
            <w:tcBorders>
              <w:top w:val="nil"/>
              <w:left w:val="nil"/>
              <w:bottom w:val="single" w:sz="4" w:space="0" w:color="auto"/>
              <w:right w:val="single" w:sz="4" w:space="0" w:color="auto"/>
            </w:tcBorders>
            <w:shd w:val="clear" w:color="auto" w:fill="auto"/>
            <w:vAlign w:val="center"/>
            <w:hideMark/>
          </w:tcPr>
          <w:p w14:paraId="4BF13C3B" w14:textId="77777777" w:rsidR="003A5444" w:rsidRPr="001E0703" w:rsidRDefault="003A5444" w:rsidP="003A5444">
            <w:pPr>
              <w:rPr>
                <w:rFonts w:cs="Calibri"/>
                <w:color w:val="000000"/>
              </w:rPr>
            </w:pPr>
            <w:r w:rsidRPr="001E0703">
              <w:rPr>
                <w:rFonts w:cs="Calibri"/>
                <w:color w:val="000000"/>
              </w:rPr>
              <w:t>Čtvrtletní závěrka</w:t>
            </w:r>
          </w:p>
        </w:tc>
        <w:tc>
          <w:tcPr>
            <w:tcW w:w="4600" w:type="dxa"/>
            <w:tcBorders>
              <w:top w:val="nil"/>
              <w:left w:val="nil"/>
              <w:bottom w:val="single" w:sz="4" w:space="0" w:color="auto"/>
              <w:right w:val="single" w:sz="4" w:space="0" w:color="auto"/>
            </w:tcBorders>
            <w:shd w:val="clear" w:color="auto" w:fill="auto"/>
            <w:vAlign w:val="center"/>
            <w:hideMark/>
          </w:tcPr>
          <w:p w14:paraId="00A0763C" w14:textId="77777777" w:rsidR="003A5444" w:rsidRPr="001E0703" w:rsidRDefault="003A5444" w:rsidP="003A5444">
            <w:pPr>
              <w:rPr>
                <w:rFonts w:cs="Calibri"/>
                <w:color w:val="000000"/>
              </w:rPr>
            </w:pPr>
            <w:r w:rsidRPr="001E0703">
              <w:rPr>
                <w:rFonts w:cs="Calibri"/>
                <w:color w:val="000000"/>
              </w:rPr>
              <w:t>Úspěšné zpracování čtvrtletní závěrky za 1. Q 202</w:t>
            </w:r>
            <w:r>
              <w:rPr>
                <w:rFonts w:cs="Calibri"/>
                <w:color w:val="000000"/>
              </w:rPr>
              <w:t>2</w:t>
            </w:r>
            <w:r w:rsidRPr="001E0703">
              <w:rPr>
                <w:rFonts w:cs="Calibri"/>
                <w:color w:val="000000"/>
              </w:rPr>
              <w:t xml:space="preserve"> a její předání zřizovateli</w:t>
            </w:r>
          </w:p>
        </w:tc>
        <w:tc>
          <w:tcPr>
            <w:tcW w:w="1740" w:type="dxa"/>
            <w:tcBorders>
              <w:top w:val="nil"/>
              <w:left w:val="nil"/>
              <w:bottom w:val="single" w:sz="4" w:space="0" w:color="auto"/>
              <w:right w:val="single" w:sz="4" w:space="0" w:color="auto"/>
            </w:tcBorders>
            <w:shd w:val="clear" w:color="auto" w:fill="auto"/>
            <w:vAlign w:val="center"/>
            <w:hideMark/>
          </w:tcPr>
          <w:p w14:paraId="26E48443" w14:textId="77777777" w:rsidR="003A5444" w:rsidRPr="001E0703" w:rsidRDefault="003A5444" w:rsidP="003A5444">
            <w:pPr>
              <w:jc w:val="center"/>
              <w:rPr>
                <w:rFonts w:cs="Calibri"/>
                <w:color w:val="000000"/>
              </w:rPr>
            </w:pPr>
            <w:r w:rsidRPr="001E0703">
              <w:rPr>
                <w:rFonts w:cs="Calibri"/>
                <w:color w:val="000000"/>
              </w:rPr>
              <w:t>30.04.2</w:t>
            </w:r>
            <w:r>
              <w:rPr>
                <w:rFonts w:cs="Calibri"/>
                <w:color w:val="000000"/>
              </w:rPr>
              <w:t>2</w:t>
            </w:r>
          </w:p>
        </w:tc>
      </w:tr>
    </w:tbl>
    <w:p w14:paraId="0DDAF66A" w14:textId="77777777" w:rsidR="00C03AF4" w:rsidRDefault="00C03AF4" w:rsidP="00C03AF4">
      <w:pPr>
        <w:spacing w:after="120"/>
      </w:pPr>
    </w:p>
    <w:p w14:paraId="242BE650" w14:textId="77777777" w:rsidR="00C03AF4" w:rsidRDefault="00C03AF4" w:rsidP="00C03AF4">
      <w:pPr>
        <w:spacing w:after="120"/>
      </w:pPr>
    </w:p>
    <w:p w14:paraId="432F43D2" w14:textId="77777777" w:rsidR="00C03AF4" w:rsidRDefault="00C03AF4" w:rsidP="00C03AF4">
      <w:pPr>
        <w:spacing w:after="120"/>
      </w:pPr>
    </w:p>
    <w:p w14:paraId="0749ACB1" w14:textId="79C8C2F0" w:rsidR="00C03AF4" w:rsidRPr="00417A46" w:rsidRDefault="00C03AF4" w:rsidP="00C03AF4">
      <w:pPr>
        <w:pStyle w:val="Nzev"/>
      </w:pPr>
      <w:r>
        <w:br w:type="page"/>
      </w:r>
      <w:bookmarkStart w:id="14" w:name="_Hlk16831551"/>
      <w:bookmarkStart w:id="15" w:name="_Toc79487381"/>
      <w:r w:rsidRPr="00417A46">
        <w:lastRenderedPageBreak/>
        <w:t xml:space="preserve">Příloha č. </w:t>
      </w:r>
      <w:r w:rsidR="0000755C">
        <w:t>4</w:t>
      </w:r>
      <w:r w:rsidRPr="00417A46">
        <w:t xml:space="preserve"> Ceník poskytovaných služeb</w:t>
      </w:r>
      <w:bookmarkEnd w:id="14"/>
      <w:bookmarkEnd w:id="15"/>
    </w:p>
    <w:p w14:paraId="3072B28E" w14:textId="77777777" w:rsidR="00C03AF4" w:rsidRDefault="00C03AF4" w:rsidP="00C03AF4">
      <w:pPr>
        <w:spacing w:after="120"/>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2409"/>
      </w:tblGrid>
      <w:tr w:rsidR="00C03AF4" w:rsidRPr="00E850EE" w14:paraId="7C799A4B" w14:textId="77777777" w:rsidTr="000F2E84">
        <w:tc>
          <w:tcPr>
            <w:tcW w:w="3936" w:type="dxa"/>
            <w:shd w:val="clear" w:color="auto" w:fill="D9D9D9"/>
            <w:vAlign w:val="center"/>
          </w:tcPr>
          <w:p w14:paraId="3B38CA87" w14:textId="77777777" w:rsidR="00C03AF4" w:rsidRPr="00E850EE" w:rsidRDefault="00C03AF4" w:rsidP="000F2E84">
            <w:pPr>
              <w:spacing w:before="60" w:after="60"/>
              <w:rPr>
                <w:rFonts w:ascii="Verdana" w:hAnsi="Verdana" w:cs="Arial"/>
                <w:b/>
                <w:bCs/>
                <w:sz w:val="20"/>
                <w:szCs w:val="20"/>
              </w:rPr>
            </w:pPr>
            <w:r w:rsidRPr="00E850EE">
              <w:rPr>
                <w:rFonts w:ascii="Verdana" w:hAnsi="Verdana" w:cs="Arial"/>
                <w:b/>
                <w:bCs/>
                <w:sz w:val="20"/>
                <w:szCs w:val="20"/>
              </w:rPr>
              <w:t>Typ služby</w:t>
            </w:r>
          </w:p>
        </w:tc>
        <w:tc>
          <w:tcPr>
            <w:tcW w:w="2409" w:type="dxa"/>
            <w:shd w:val="clear" w:color="auto" w:fill="D9D9D9"/>
            <w:vAlign w:val="center"/>
          </w:tcPr>
          <w:p w14:paraId="0CBE67D3" w14:textId="77777777" w:rsidR="00C03AF4" w:rsidRPr="00E850EE" w:rsidRDefault="00C03AF4" w:rsidP="000F2E84">
            <w:pPr>
              <w:spacing w:before="60" w:after="60"/>
              <w:jc w:val="right"/>
              <w:rPr>
                <w:rFonts w:ascii="Verdana" w:hAnsi="Verdana" w:cs="Arial"/>
                <w:b/>
                <w:bCs/>
                <w:sz w:val="20"/>
                <w:szCs w:val="20"/>
              </w:rPr>
            </w:pPr>
            <w:r w:rsidRPr="00E850EE">
              <w:rPr>
                <w:rFonts w:ascii="Verdana" w:hAnsi="Verdana" w:cs="Arial"/>
                <w:b/>
                <w:bCs/>
                <w:sz w:val="20"/>
                <w:szCs w:val="20"/>
              </w:rPr>
              <w:t>Cena za hodinu</w:t>
            </w:r>
          </w:p>
        </w:tc>
        <w:tc>
          <w:tcPr>
            <w:tcW w:w="2409" w:type="dxa"/>
            <w:shd w:val="clear" w:color="auto" w:fill="D9D9D9"/>
          </w:tcPr>
          <w:p w14:paraId="7FA1C7C4" w14:textId="77777777" w:rsidR="00C03AF4" w:rsidRPr="00E850EE" w:rsidRDefault="00C03AF4" w:rsidP="000F2E84">
            <w:pPr>
              <w:spacing w:before="60" w:after="60"/>
              <w:jc w:val="right"/>
              <w:rPr>
                <w:rFonts w:ascii="Verdana" w:hAnsi="Verdana" w:cs="Arial"/>
                <w:b/>
                <w:bCs/>
                <w:sz w:val="20"/>
                <w:szCs w:val="20"/>
              </w:rPr>
            </w:pPr>
            <w:r>
              <w:rPr>
                <w:rFonts w:ascii="Verdana" w:hAnsi="Verdana" w:cs="Arial"/>
                <w:b/>
                <w:bCs/>
                <w:sz w:val="20"/>
                <w:szCs w:val="20"/>
              </w:rPr>
              <w:t>Zvýhodněná cena</w:t>
            </w:r>
          </w:p>
        </w:tc>
      </w:tr>
      <w:tr w:rsidR="00C03AF4" w:rsidRPr="00E850EE" w14:paraId="5169CF4F" w14:textId="77777777" w:rsidTr="000F2E84">
        <w:tc>
          <w:tcPr>
            <w:tcW w:w="3936" w:type="dxa"/>
            <w:shd w:val="clear" w:color="auto" w:fill="auto"/>
            <w:vAlign w:val="center"/>
          </w:tcPr>
          <w:p w14:paraId="60212542"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Odborná konzultace</w:t>
            </w:r>
          </w:p>
        </w:tc>
        <w:tc>
          <w:tcPr>
            <w:tcW w:w="2409" w:type="dxa"/>
            <w:shd w:val="clear" w:color="auto" w:fill="auto"/>
            <w:vAlign w:val="center"/>
          </w:tcPr>
          <w:p w14:paraId="729F321C"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1.</w:t>
            </w:r>
            <w:r>
              <w:rPr>
                <w:rFonts w:ascii="Verdana" w:hAnsi="Verdana" w:cs="Arial"/>
                <w:sz w:val="20"/>
                <w:szCs w:val="20"/>
              </w:rPr>
              <w:t>9</w:t>
            </w:r>
            <w:r w:rsidRPr="00E850EE">
              <w:rPr>
                <w:rFonts w:ascii="Verdana" w:hAnsi="Verdana" w:cs="Arial"/>
                <w:sz w:val="20"/>
                <w:szCs w:val="20"/>
              </w:rPr>
              <w:t>50 Kč</w:t>
            </w:r>
          </w:p>
        </w:tc>
        <w:tc>
          <w:tcPr>
            <w:tcW w:w="2409" w:type="dxa"/>
          </w:tcPr>
          <w:p w14:paraId="605253E8" w14:textId="77777777" w:rsidR="00C03AF4" w:rsidRPr="00E850EE" w:rsidRDefault="00C03AF4" w:rsidP="000F2E84">
            <w:pPr>
              <w:spacing w:before="60" w:after="60"/>
              <w:jc w:val="right"/>
              <w:rPr>
                <w:rFonts w:ascii="Verdana" w:hAnsi="Verdana" w:cs="Arial"/>
                <w:sz w:val="20"/>
                <w:szCs w:val="20"/>
              </w:rPr>
            </w:pPr>
            <w:r>
              <w:rPr>
                <w:rFonts w:ascii="Verdana" w:hAnsi="Verdana" w:cs="Arial"/>
                <w:sz w:val="20"/>
                <w:szCs w:val="20"/>
              </w:rPr>
              <w:t>1.400,-</w:t>
            </w:r>
          </w:p>
        </w:tc>
      </w:tr>
      <w:tr w:rsidR="00C03AF4" w:rsidRPr="00E850EE" w14:paraId="46D02031" w14:textId="77777777" w:rsidTr="000F2E84">
        <w:tc>
          <w:tcPr>
            <w:tcW w:w="3936" w:type="dxa"/>
            <w:shd w:val="clear" w:color="auto" w:fill="auto"/>
            <w:vAlign w:val="center"/>
          </w:tcPr>
          <w:p w14:paraId="6342F658"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Expertní konzultace</w:t>
            </w:r>
          </w:p>
        </w:tc>
        <w:tc>
          <w:tcPr>
            <w:tcW w:w="2409" w:type="dxa"/>
            <w:shd w:val="clear" w:color="auto" w:fill="auto"/>
            <w:vAlign w:val="center"/>
          </w:tcPr>
          <w:p w14:paraId="1AF17659"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2.350 Kč</w:t>
            </w:r>
          </w:p>
        </w:tc>
        <w:tc>
          <w:tcPr>
            <w:tcW w:w="2409" w:type="dxa"/>
          </w:tcPr>
          <w:p w14:paraId="3C55E8C8" w14:textId="77777777" w:rsidR="00C03AF4" w:rsidRPr="00E850EE" w:rsidRDefault="00C03AF4" w:rsidP="000F2E84">
            <w:pPr>
              <w:spacing w:before="60" w:after="60"/>
              <w:jc w:val="right"/>
              <w:rPr>
                <w:rFonts w:ascii="Verdana" w:hAnsi="Verdana" w:cs="Arial"/>
                <w:sz w:val="20"/>
                <w:szCs w:val="20"/>
              </w:rPr>
            </w:pPr>
            <w:r>
              <w:rPr>
                <w:rFonts w:ascii="Verdana" w:hAnsi="Verdana" w:cs="Arial"/>
                <w:sz w:val="20"/>
                <w:szCs w:val="20"/>
              </w:rPr>
              <w:t>1.400,-</w:t>
            </w:r>
          </w:p>
        </w:tc>
      </w:tr>
      <w:tr w:rsidR="00C03AF4" w:rsidRPr="00E850EE" w14:paraId="1A02F96D" w14:textId="77777777" w:rsidTr="000F2E84">
        <w:tc>
          <w:tcPr>
            <w:tcW w:w="3936" w:type="dxa"/>
            <w:shd w:val="clear" w:color="auto" w:fill="auto"/>
            <w:vAlign w:val="center"/>
          </w:tcPr>
          <w:p w14:paraId="396FC1FB"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Vedoucí projektu</w:t>
            </w:r>
          </w:p>
        </w:tc>
        <w:tc>
          <w:tcPr>
            <w:tcW w:w="2409" w:type="dxa"/>
            <w:shd w:val="clear" w:color="auto" w:fill="auto"/>
            <w:vAlign w:val="center"/>
          </w:tcPr>
          <w:p w14:paraId="0F718D48"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1.950 Kč</w:t>
            </w:r>
          </w:p>
        </w:tc>
        <w:tc>
          <w:tcPr>
            <w:tcW w:w="2409" w:type="dxa"/>
          </w:tcPr>
          <w:p w14:paraId="1245C77E" w14:textId="77777777" w:rsidR="00C03AF4" w:rsidRPr="00E850EE" w:rsidRDefault="00C03AF4" w:rsidP="000F2E84">
            <w:pPr>
              <w:spacing w:before="60" w:after="60"/>
              <w:jc w:val="right"/>
              <w:rPr>
                <w:rFonts w:ascii="Verdana" w:hAnsi="Verdana" w:cs="Arial"/>
                <w:sz w:val="20"/>
                <w:szCs w:val="20"/>
              </w:rPr>
            </w:pPr>
            <w:r>
              <w:rPr>
                <w:rFonts w:ascii="Verdana" w:hAnsi="Verdana" w:cs="Arial"/>
                <w:sz w:val="20"/>
                <w:szCs w:val="20"/>
              </w:rPr>
              <w:t>1.400,-</w:t>
            </w:r>
          </w:p>
        </w:tc>
      </w:tr>
      <w:tr w:rsidR="00C03AF4" w:rsidRPr="00E850EE" w14:paraId="6004AECD" w14:textId="77777777" w:rsidTr="000F2E84">
        <w:tc>
          <w:tcPr>
            <w:tcW w:w="3936" w:type="dxa"/>
            <w:shd w:val="clear" w:color="auto" w:fill="auto"/>
            <w:vAlign w:val="center"/>
          </w:tcPr>
          <w:p w14:paraId="7F279D77"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Programátor</w:t>
            </w:r>
          </w:p>
        </w:tc>
        <w:tc>
          <w:tcPr>
            <w:tcW w:w="2409" w:type="dxa"/>
            <w:shd w:val="clear" w:color="auto" w:fill="auto"/>
            <w:vAlign w:val="center"/>
          </w:tcPr>
          <w:p w14:paraId="2DD0DA63"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1.950 Kč</w:t>
            </w:r>
          </w:p>
        </w:tc>
        <w:tc>
          <w:tcPr>
            <w:tcW w:w="2409" w:type="dxa"/>
          </w:tcPr>
          <w:p w14:paraId="4056E10E" w14:textId="77777777" w:rsidR="00C03AF4" w:rsidRPr="00E850EE" w:rsidRDefault="00C03AF4" w:rsidP="000F2E84">
            <w:pPr>
              <w:spacing w:before="60" w:after="60"/>
              <w:jc w:val="right"/>
              <w:rPr>
                <w:rFonts w:ascii="Verdana" w:hAnsi="Verdana" w:cs="Arial"/>
                <w:sz w:val="20"/>
                <w:szCs w:val="20"/>
              </w:rPr>
            </w:pPr>
            <w:r>
              <w:rPr>
                <w:rFonts w:ascii="Verdana" w:hAnsi="Verdana" w:cs="Arial"/>
                <w:sz w:val="20"/>
                <w:szCs w:val="20"/>
              </w:rPr>
              <w:t>1.400,-</w:t>
            </w:r>
          </w:p>
        </w:tc>
      </w:tr>
      <w:tr w:rsidR="00C03AF4" w:rsidRPr="00E850EE" w14:paraId="2FA3ABA7" w14:textId="77777777" w:rsidTr="000F2E84">
        <w:tc>
          <w:tcPr>
            <w:tcW w:w="3936" w:type="dxa"/>
            <w:shd w:val="clear" w:color="auto" w:fill="auto"/>
            <w:vAlign w:val="center"/>
          </w:tcPr>
          <w:p w14:paraId="2EB2CAB6"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Pohotovost</w:t>
            </w:r>
          </w:p>
        </w:tc>
        <w:tc>
          <w:tcPr>
            <w:tcW w:w="2409" w:type="dxa"/>
            <w:shd w:val="clear" w:color="auto" w:fill="auto"/>
            <w:vAlign w:val="center"/>
          </w:tcPr>
          <w:p w14:paraId="1C177299"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450 Kč</w:t>
            </w:r>
          </w:p>
        </w:tc>
        <w:tc>
          <w:tcPr>
            <w:tcW w:w="2409" w:type="dxa"/>
          </w:tcPr>
          <w:p w14:paraId="4A942030" w14:textId="77777777" w:rsidR="00C03AF4" w:rsidRPr="00E850EE" w:rsidRDefault="00C03AF4" w:rsidP="000F2E84">
            <w:pPr>
              <w:spacing w:before="60" w:after="60"/>
              <w:jc w:val="right"/>
              <w:rPr>
                <w:rFonts w:ascii="Verdana" w:hAnsi="Verdana" w:cs="Arial"/>
                <w:sz w:val="20"/>
                <w:szCs w:val="20"/>
              </w:rPr>
            </w:pPr>
            <w:r>
              <w:rPr>
                <w:rFonts w:ascii="Verdana" w:hAnsi="Verdana" w:cs="Arial"/>
                <w:sz w:val="20"/>
                <w:szCs w:val="20"/>
              </w:rPr>
              <w:t>---</w:t>
            </w:r>
          </w:p>
        </w:tc>
      </w:tr>
      <w:tr w:rsidR="00C03AF4" w:rsidRPr="00E850EE" w14:paraId="3460E982" w14:textId="77777777" w:rsidTr="000F2E84">
        <w:tc>
          <w:tcPr>
            <w:tcW w:w="3936" w:type="dxa"/>
            <w:shd w:val="clear" w:color="auto" w:fill="auto"/>
            <w:vAlign w:val="center"/>
          </w:tcPr>
          <w:p w14:paraId="34FCF3D2"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Příplatek – konkrétní osoba</w:t>
            </w:r>
          </w:p>
        </w:tc>
        <w:tc>
          <w:tcPr>
            <w:tcW w:w="2409" w:type="dxa"/>
            <w:shd w:val="clear" w:color="auto" w:fill="auto"/>
            <w:vAlign w:val="center"/>
          </w:tcPr>
          <w:p w14:paraId="67228412"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20% hodinové sazby</w:t>
            </w:r>
          </w:p>
        </w:tc>
        <w:tc>
          <w:tcPr>
            <w:tcW w:w="2409" w:type="dxa"/>
          </w:tcPr>
          <w:p w14:paraId="32319D00" w14:textId="77777777" w:rsidR="00C03AF4" w:rsidRPr="00E850EE" w:rsidRDefault="00C03AF4" w:rsidP="000F2E84">
            <w:pPr>
              <w:spacing w:before="60" w:after="60"/>
              <w:jc w:val="right"/>
              <w:rPr>
                <w:rFonts w:ascii="Verdana" w:hAnsi="Verdana" w:cs="Arial"/>
                <w:sz w:val="20"/>
                <w:szCs w:val="20"/>
              </w:rPr>
            </w:pPr>
          </w:p>
        </w:tc>
      </w:tr>
      <w:tr w:rsidR="00C03AF4" w:rsidRPr="00E850EE" w14:paraId="1AFCE112" w14:textId="77777777" w:rsidTr="000F2E84">
        <w:tc>
          <w:tcPr>
            <w:tcW w:w="3936" w:type="dxa"/>
            <w:shd w:val="clear" w:color="auto" w:fill="auto"/>
            <w:vAlign w:val="center"/>
          </w:tcPr>
          <w:p w14:paraId="04EAF845"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Příplatek – víkendy, svátky</w:t>
            </w:r>
          </w:p>
        </w:tc>
        <w:tc>
          <w:tcPr>
            <w:tcW w:w="2409" w:type="dxa"/>
            <w:shd w:val="clear" w:color="auto" w:fill="auto"/>
            <w:vAlign w:val="center"/>
          </w:tcPr>
          <w:p w14:paraId="454332F4"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50% hodinové sazby</w:t>
            </w:r>
          </w:p>
        </w:tc>
        <w:tc>
          <w:tcPr>
            <w:tcW w:w="2409" w:type="dxa"/>
          </w:tcPr>
          <w:p w14:paraId="3E0683D9" w14:textId="77777777" w:rsidR="00C03AF4" w:rsidRPr="00E850EE" w:rsidRDefault="00C03AF4" w:rsidP="000F2E84">
            <w:pPr>
              <w:spacing w:before="60" w:after="60"/>
              <w:jc w:val="right"/>
              <w:rPr>
                <w:rFonts w:ascii="Verdana" w:hAnsi="Verdana" w:cs="Arial"/>
                <w:sz w:val="20"/>
                <w:szCs w:val="20"/>
              </w:rPr>
            </w:pPr>
          </w:p>
        </w:tc>
      </w:tr>
      <w:tr w:rsidR="00C03AF4" w:rsidRPr="00E850EE" w14:paraId="7C6F7975" w14:textId="77777777" w:rsidTr="000F2E84">
        <w:tc>
          <w:tcPr>
            <w:tcW w:w="3936" w:type="dxa"/>
            <w:shd w:val="clear" w:color="auto" w:fill="auto"/>
            <w:vAlign w:val="center"/>
          </w:tcPr>
          <w:p w14:paraId="72531CB8"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Výjezd</w:t>
            </w:r>
          </w:p>
        </w:tc>
        <w:tc>
          <w:tcPr>
            <w:tcW w:w="2409" w:type="dxa"/>
            <w:shd w:val="clear" w:color="auto" w:fill="auto"/>
            <w:vAlign w:val="center"/>
          </w:tcPr>
          <w:p w14:paraId="7981ACFC"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900 Kč</w:t>
            </w:r>
          </w:p>
        </w:tc>
        <w:tc>
          <w:tcPr>
            <w:tcW w:w="2409" w:type="dxa"/>
          </w:tcPr>
          <w:p w14:paraId="7ED64058" w14:textId="77777777" w:rsidR="00C03AF4" w:rsidRPr="00E850EE" w:rsidRDefault="00C03AF4" w:rsidP="000F2E84">
            <w:pPr>
              <w:spacing w:before="60" w:after="60"/>
              <w:jc w:val="right"/>
              <w:rPr>
                <w:rFonts w:ascii="Verdana" w:hAnsi="Verdana" w:cs="Arial"/>
                <w:sz w:val="20"/>
                <w:szCs w:val="20"/>
              </w:rPr>
            </w:pPr>
          </w:p>
        </w:tc>
      </w:tr>
      <w:tr w:rsidR="00C03AF4" w:rsidRPr="00E850EE" w14:paraId="706BA277" w14:textId="77777777" w:rsidTr="000F2E84">
        <w:tc>
          <w:tcPr>
            <w:tcW w:w="3936" w:type="dxa"/>
            <w:shd w:val="clear" w:color="auto" w:fill="auto"/>
            <w:vAlign w:val="center"/>
          </w:tcPr>
          <w:p w14:paraId="5B9389B2"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Výjezd do 24 hodin</w:t>
            </w:r>
          </w:p>
        </w:tc>
        <w:tc>
          <w:tcPr>
            <w:tcW w:w="2409" w:type="dxa"/>
            <w:shd w:val="clear" w:color="auto" w:fill="auto"/>
            <w:vAlign w:val="center"/>
          </w:tcPr>
          <w:p w14:paraId="461645CF"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1.700 Kč</w:t>
            </w:r>
          </w:p>
        </w:tc>
        <w:tc>
          <w:tcPr>
            <w:tcW w:w="2409" w:type="dxa"/>
          </w:tcPr>
          <w:p w14:paraId="5F80EF5D" w14:textId="77777777" w:rsidR="00C03AF4" w:rsidRPr="00E850EE" w:rsidRDefault="00C03AF4" w:rsidP="000F2E84">
            <w:pPr>
              <w:spacing w:before="60" w:after="60"/>
              <w:jc w:val="right"/>
              <w:rPr>
                <w:rFonts w:ascii="Verdana" w:hAnsi="Verdana" w:cs="Arial"/>
                <w:sz w:val="20"/>
                <w:szCs w:val="20"/>
              </w:rPr>
            </w:pPr>
          </w:p>
        </w:tc>
      </w:tr>
      <w:tr w:rsidR="00C03AF4" w:rsidRPr="00E850EE" w14:paraId="1D380BFA" w14:textId="77777777" w:rsidTr="000F2E84">
        <w:tc>
          <w:tcPr>
            <w:tcW w:w="3936" w:type="dxa"/>
            <w:shd w:val="clear" w:color="auto" w:fill="auto"/>
            <w:vAlign w:val="center"/>
          </w:tcPr>
          <w:p w14:paraId="6C44ADB5"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Výjezd do 4 hodin</w:t>
            </w:r>
          </w:p>
        </w:tc>
        <w:tc>
          <w:tcPr>
            <w:tcW w:w="2409" w:type="dxa"/>
            <w:shd w:val="clear" w:color="auto" w:fill="auto"/>
            <w:vAlign w:val="center"/>
          </w:tcPr>
          <w:p w14:paraId="21C8E9F9"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3.400 Kč</w:t>
            </w:r>
          </w:p>
        </w:tc>
        <w:tc>
          <w:tcPr>
            <w:tcW w:w="2409" w:type="dxa"/>
          </w:tcPr>
          <w:p w14:paraId="33C4BA9E" w14:textId="77777777" w:rsidR="00C03AF4" w:rsidRPr="00E850EE" w:rsidRDefault="00C03AF4" w:rsidP="000F2E84">
            <w:pPr>
              <w:spacing w:before="60" w:after="60"/>
              <w:jc w:val="right"/>
              <w:rPr>
                <w:rFonts w:ascii="Verdana" w:hAnsi="Verdana" w:cs="Arial"/>
                <w:sz w:val="20"/>
                <w:szCs w:val="20"/>
              </w:rPr>
            </w:pPr>
          </w:p>
        </w:tc>
      </w:tr>
      <w:tr w:rsidR="00C03AF4" w:rsidRPr="00E850EE" w14:paraId="76338C42" w14:textId="77777777" w:rsidTr="000F2E84">
        <w:tc>
          <w:tcPr>
            <w:tcW w:w="3936" w:type="dxa"/>
            <w:shd w:val="clear" w:color="auto" w:fill="auto"/>
            <w:vAlign w:val="center"/>
          </w:tcPr>
          <w:p w14:paraId="0A3041BA"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Čas na cestě</w:t>
            </w:r>
          </w:p>
        </w:tc>
        <w:tc>
          <w:tcPr>
            <w:tcW w:w="2409" w:type="dxa"/>
            <w:shd w:val="clear" w:color="auto" w:fill="auto"/>
            <w:vAlign w:val="center"/>
          </w:tcPr>
          <w:p w14:paraId="7856301E"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50% hodinové sazby</w:t>
            </w:r>
          </w:p>
        </w:tc>
        <w:tc>
          <w:tcPr>
            <w:tcW w:w="2409" w:type="dxa"/>
          </w:tcPr>
          <w:p w14:paraId="1D80EDE8" w14:textId="77777777" w:rsidR="00C03AF4" w:rsidRPr="00E850EE" w:rsidRDefault="00C03AF4" w:rsidP="000F2E84">
            <w:pPr>
              <w:spacing w:before="60" w:after="60"/>
              <w:jc w:val="right"/>
              <w:rPr>
                <w:rFonts w:ascii="Verdana" w:hAnsi="Verdana" w:cs="Arial"/>
                <w:sz w:val="20"/>
                <w:szCs w:val="20"/>
              </w:rPr>
            </w:pPr>
          </w:p>
        </w:tc>
      </w:tr>
      <w:tr w:rsidR="00C03AF4" w:rsidRPr="00E850EE" w14:paraId="57C5E4B9" w14:textId="77777777" w:rsidTr="000F2E84">
        <w:tc>
          <w:tcPr>
            <w:tcW w:w="3936" w:type="dxa"/>
            <w:shd w:val="clear" w:color="auto" w:fill="auto"/>
            <w:vAlign w:val="center"/>
          </w:tcPr>
          <w:p w14:paraId="3298BBE9"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Kilometrovné</w:t>
            </w:r>
          </w:p>
        </w:tc>
        <w:tc>
          <w:tcPr>
            <w:tcW w:w="2409" w:type="dxa"/>
            <w:shd w:val="clear" w:color="auto" w:fill="auto"/>
            <w:vAlign w:val="center"/>
          </w:tcPr>
          <w:p w14:paraId="286D9DE8"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9 Kč / Km</w:t>
            </w:r>
          </w:p>
        </w:tc>
        <w:tc>
          <w:tcPr>
            <w:tcW w:w="2409" w:type="dxa"/>
          </w:tcPr>
          <w:p w14:paraId="104F92F8" w14:textId="77777777" w:rsidR="00C03AF4" w:rsidRPr="00E850EE" w:rsidRDefault="00C03AF4" w:rsidP="000F2E84">
            <w:pPr>
              <w:spacing w:before="60" w:after="60"/>
              <w:jc w:val="right"/>
              <w:rPr>
                <w:rFonts w:ascii="Verdana" w:hAnsi="Verdana" w:cs="Arial"/>
                <w:sz w:val="20"/>
                <w:szCs w:val="20"/>
              </w:rPr>
            </w:pPr>
          </w:p>
        </w:tc>
      </w:tr>
      <w:tr w:rsidR="00C03AF4" w:rsidRPr="00E850EE" w14:paraId="587222DF" w14:textId="77777777" w:rsidTr="000F2E84">
        <w:tc>
          <w:tcPr>
            <w:tcW w:w="3936" w:type="dxa"/>
            <w:shd w:val="clear" w:color="auto" w:fill="auto"/>
            <w:vAlign w:val="center"/>
          </w:tcPr>
          <w:p w14:paraId="5DE462A0" w14:textId="77777777" w:rsidR="00C03AF4" w:rsidRPr="00E850EE" w:rsidRDefault="00C03AF4" w:rsidP="000F2E84">
            <w:pPr>
              <w:spacing w:before="60" w:after="60"/>
              <w:rPr>
                <w:rFonts w:ascii="Verdana" w:hAnsi="Verdana" w:cs="Arial"/>
                <w:sz w:val="20"/>
                <w:szCs w:val="20"/>
              </w:rPr>
            </w:pPr>
            <w:r w:rsidRPr="00E850EE">
              <w:rPr>
                <w:rFonts w:ascii="Verdana" w:hAnsi="Verdana" w:cs="Arial"/>
                <w:sz w:val="20"/>
                <w:szCs w:val="20"/>
              </w:rPr>
              <w:t>Ubytování</w:t>
            </w:r>
          </w:p>
        </w:tc>
        <w:tc>
          <w:tcPr>
            <w:tcW w:w="2409" w:type="dxa"/>
            <w:shd w:val="clear" w:color="auto" w:fill="auto"/>
            <w:vAlign w:val="center"/>
          </w:tcPr>
          <w:p w14:paraId="1DA870AA" w14:textId="77777777" w:rsidR="00C03AF4" w:rsidRPr="00E850EE" w:rsidRDefault="00C03AF4" w:rsidP="000F2E84">
            <w:pPr>
              <w:spacing w:before="60" w:after="60"/>
              <w:jc w:val="right"/>
              <w:rPr>
                <w:rFonts w:ascii="Verdana" w:hAnsi="Verdana" w:cs="Arial"/>
                <w:sz w:val="20"/>
                <w:szCs w:val="20"/>
              </w:rPr>
            </w:pPr>
            <w:r w:rsidRPr="00E850EE">
              <w:rPr>
                <w:rFonts w:ascii="Verdana" w:hAnsi="Verdana" w:cs="Arial"/>
                <w:sz w:val="20"/>
                <w:szCs w:val="20"/>
              </w:rPr>
              <w:t>podle skutečnosti</w:t>
            </w:r>
          </w:p>
        </w:tc>
        <w:tc>
          <w:tcPr>
            <w:tcW w:w="2409" w:type="dxa"/>
          </w:tcPr>
          <w:p w14:paraId="61F6E9BF" w14:textId="77777777" w:rsidR="00C03AF4" w:rsidRPr="00E850EE" w:rsidRDefault="00C03AF4" w:rsidP="000F2E84">
            <w:pPr>
              <w:spacing w:before="60" w:after="60"/>
              <w:jc w:val="right"/>
              <w:rPr>
                <w:rFonts w:ascii="Verdana" w:hAnsi="Verdana" w:cs="Arial"/>
                <w:sz w:val="20"/>
                <w:szCs w:val="20"/>
              </w:rPr>
            </w:pPr>
          </w:p>
        </w:tc>
      </w:tr>
    </w:tbl>
    <w:p w14:paraId="2DB0A0BA" w14:textId="77777777" w:rsidR="00C03AF4" w:rsidRDefault="00C03AF4" w:rsidP="00C03AF4">
      <w:pPr>
        <w:spacing w:after="120"/>
      </w:pPr>
    </w:p>
    <w:p w14:paraId="6C12BFA2" w14:textId="54D1566B" w:rsidR="00C03AF4" w:rsidRDefault="00C03AF4" w:rsidP="00811614">
      <w:pPr>
        <w:pStyle w:val="Nzev"/>
      </w:pPr>
      <w:r>
        <w:rPr>
          <w:rFonts w:ascii="Calibri" w:hAnsi="Calibri"/>
        </w:rPr>
        <w:br w:type="page"/>
      </w:r>
      <w:bookmarkStart w:id="16" w:name="_Toc79487382"/>
      <w:r w:rsidRPr="00170AB0">
        <w:lastRenderedPageBreak/>
        <w:t xml:space="preserve">Příloha č. </w:t>
      </w:r>
      <w:r w:rsidR="0000755C">
        <w:t>5</w:t>
      </w:r>
      <w:r w:rsidRPr="00170AB0">
        <w:t xml:space="preserve"> Specifikace funkčního rozsahu dodávaného řešení</w:t>
      </w:r>
      <w:bookmarkEnd w:id="16"/>
    </w:p>
    <w:p w14:paraId="264E8F4E" w14:textId="7E40B483" w:rsidR="00C03AF4" w:rsidRDefault="00C03AF4" w:rsidP="00C03AF4"/>
    <w:p w14:paraId="7E83698D" w14:textId="6D324276" w:rsidR="00C03AF4" w:rsidRPr="001D64D5" w:rsidRDefault="00C03AF4" w:rsidP="00C03AF4">
      <w:pPr>
        <w:pStyle w:val="Zkladntext31"/>
        <w:rPr>
          <w:rFonts w:eastAsia="Calibri"/>
          <w:b/>
        </w:rPr>
      </w:pPr>
      <w:r>
        <w:rPr>
          <w:rFonts w:eastAsia="Calibri"/>
        </w:rPr>
        <w:t>Společné o</w:t>
      </w:r>
      <w:r w:rsidRPr="001D64D5">
        <w:rPr>
          <w:rFonts w:eastAsia="Calibri"/>
          <w:b/>
        </w:rPr>
        <w:t>becné</w:t>
      </w:r>
      <w:r>
        <w:rPr>
          <w:b/>
        </w:rPr>
        <w:t xml:space="preserve"> požadavky</w:t>
      </w:r>
      <w:r>
        <w:t xml:space="preserve"> na systém</w:t>
      </w:r>
    </w:p>
    <w:p w14:paraId="12753605" w14:textId="77777777" w:rsidR="00C03AF4" w:rsidRDefault="00C03AF4" w:rsidP="00C03AF4">
      <w:pPr>
        <w:jc w:val="both"/>
        <w:rPr>
          <w:rFonts w:ascii="Verdana" w:hAnsi="Verdana" w:cs="Arial"/>
          <w:sz w:val="20"/>
          <w:szCs w:val="20"/>
        </w:rPr>
      </w:pPr>
    </w:p>
    <w:tbl>
      <w:tblPr>
        <w:tblW w:w="9493" w:type="dxa"/>
        <w:tblInd w:w="75" w:type="dxa"/>
        <w:tblCellMar>
          <w:left w:w="70" w:type="dxa"/>
          <w:right w:w="70" w:type="dxa"/>
        </w:tblCellMar>
        <w:tblLook w:val="04A0" w:firstRow="1" w:lastRow="0" w:firstColumn="1" w:lastColumn="0" w:noHBand="0" w:noVBand="1"/>
      </w:tblPr>
      <w:tblGrid>
        <w:gridCol w:w="460"/>
        <w:gridCol w:w="1131"/>
        <w:gridCol w:w="2373"/>
        <w:gridCol w:w="993"/>
        <w:gridCol w:w="850"/>
        <w:gridCol w:w="992"/>
        <w:gridCol w:w="2694"/>
      </w:tblGrid>
      <w:tr w:rsidR="00C03AF4" w:rsidRPr="001D64D5" w14:paraId="42EADB24" w14:textId="77777777" w:rsidTr="000F2E84">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61198" w14:textId="77777777" w:rsidR="00C03AF4" w:rsidRPr="001D64D5" w:rsidRDefault="00C03AF4" w:rsidP="000F2E84">
            <w:pPr>
              <w:jc w:val="center"/>
              <w:rPr>
                <w:rFonts w:asciiTheme="minorHAnsi" w:hAnsiTheme="minorHAnsi" w:cstheme="minorHAnsi"/>
                <w:b/>
                <w:bCs/>
                <w:sz w:val="18"/>
                <w:szCs w:val="18"/>
              </w:rPr>
            </w:pPr>
            <w:r w:rsidRPr="001D64D5">
              <w:rPr>
                <w:rFonts w:asciiTheme="minorHAnsi" w:hAnsiTheme="minorHAnsi" w:cstheme="minorHAnsi"/>
                <w:b/>
                <w:bCs/>
                <w:sz w:val="18"/>
                <w:szCs w:val="18"/>
              </w:rPr>
              <w:t>P.Č.</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3EFDBB67" w14:textId="77777777" w:rsidR="00C03AF4" w:rsidRPr="001D64D5" w:rsidRDefault="00C03AF4" w:rsidP="000F2E84">
            <w:pPr>
              <w:jc w:val="center"/>
              <w:rPr>
                <w:rFonts w:asciiTheme="minorHAnsi" w:hAnsiTheme="minorHAnsi" w:cstheme="minorHAnsi"/>
                <w:b/>
                <w:bCs/>
                <w:sz w:val="18"/>
                <w:szCs w:val="18"/>
              </w:rPr>
            </w:pPr>
            <w:r w:rsidRPr="001D64D5">
              <w:rPr>
                <w:rFonts w:asciiTheme="minorHAnsi" w:hAnsiTheme="minorHAnsi" w:cstheme="minorHAnsi"/>
                <w:b/>
                <w:bCs/>
                <w:sz w:val="18"/>
                <w:szCs w:val="18"/>
              </w:rPr>
              <w:t>Oblast</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270B2753" w14:textId="77777777" w:rsidR="00C03AF4" w:rsidRPr="001D64D5" w:rsidRDefault="00C03AF4" w:rsidP="000F2E84">
            <w:pPr>
              <w:jc w:val="center"/>
              <w:rPr>
                <w:rFonts w:asciiTheme="minorHAnsi" w:hAnsiTheme="minorHAnsi" w:cstheme="minorHAnsi"/>
                <w:b/>
                <w:bCs/>
                <w:sz w:val="18"/>
                <w:szCs w:val="18"/>
              </w:rPr>
            </w:pPr>
            <w:r w:rsidRPr="001D64D5">
              <w:rPr>
                <w:rFonts w:asciiTheme="minorHAnsi" w:hAnsiTheme="minorHAnsi" w:cstheme="minorHAnsi"/>
                <w:b/>
                <w:bCs/>
                <w:sz w:val="18"/>
                <w:szCs w:val="18"/>
              </w:rPr>
              <w:t>Požadavek</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1F06AE0" w14:textId="77777777" w:rsidR="00C03AF4" w:rsidRPr="001D64D5" w:rsidRDefault="00C03AF4" w:rsidP="000F2E84">
            <w:pPr>
              <w:jc w:val="center"/>
              <w:rPr>
                <w:rFonts w:asciiTheme="minorHAnsi" w:hAnsiTheme="minorHAnsi" w:cstheme="minorHAnsi"/>
                <w:b/>
                <w:bCs/>
                <w:sz w:val="18"/>
                <w:szCs w:val="18"/>
              </w:rPr>
            </w:pPr>
            <w:r w:rsidRPr="001D64D5">
              <w:rPr>
                <w:rFonts w:asciiTheme="minorHAnsi" w:hAnsiTheme="minorHAnsi" w:cstheme="minorHAnsi"/>
                <w:b/>
                <w:bCs/>
                <w:sz w:val="18"/>
                <w:szCs w:val="18"/>
              </w:rPr>
              <w:t>Splněno ve standardu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40F768" w14:textId="77777777" w:rsidR="00C03AF4" w:rsidRPr="001D64D5" w:rsidRDefault="00C03AF4" w:rsidP="000F2E84">
            <w:pPr>
              <w:jc w:val="center"/>
              <w:rPr>
                <w:rFonts w:asciiTheme="minorHAnsi" w:hAnsiTheme="minorHAnsi" w:cstheme="minorHAnsi"/>
                <w:b/>
                <w:bCs/>
                <w:sz w:val="18"/>
                <w:szCs w:val="18"/>
              </w:rPr>
            </w:pPr>
            <w:r w:rsidRPr="001D64D5">
              <w:rPr>
                <w:rFonts w:asciiTheme="minorHAnsi" w:hAnsiTheme="minorHAnsi" w:cstheme="minorHAnsi"/>
                <w:b/>
                <w:bCs/>
                <w:sz w:val="18"/>
                <w:szCs w:val="18"/>
              </w:rPr>
              <w:t>Splněno vývojem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601723" w14:textId="77777777" w:rsidR="00C03AF4" w:rsidRPr="001D64D5" w:rsidRDefault="00C03AF4" w:rsidP="000F2E84">
            <w:pPr>
              <w:jc w:val="center"/>
              <w:rPr>
                <w:rFonts w:asciiTheme="minorHAnsi" w:hAnsiTheme="minorHAnsi" w:cstheme="minorHAnsi"/>
                <w:b/>
                <w:bCs/>
                <w:sz w:val="18"/>
                <w:szCs w:val="18"/>
              </w:rPr>
            </w:pPr>
            <w:r w:rsidRPr="001D64D5">
              <w:rPr>
                <w:rFonts w:asciiTheme="minorHAnsi" w:hAnsiTheme="minorHAnsi" w:cstheme="minorHAnsi"/>
                <w:b/>
                <w:bCs/>
                <w:sz w:val="18"/>
                <w:szCs w:val="18"/>
              </w:rPr>
              <w:t>Nesplněno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648910" w14:textId="77777777" w:rsidR="00C03AF4" w:rsidRPr="001D64D5" w:rsidRDefault="00C03AF4" w:rsidP="000F2E84">
            <w:pPr>
              <w:jc w:val="center"/>
              <w:rPr>
                <w:rFonts w:asciiTheme="minorHAnsi" w:hAnsiTheme="minorHAnsi" w:cstheme="minorHAnsi"/>
                <w:b/>
                <w:bCs/>
                <w:sz w:val="18"/>
                <w:szCs w:val="18"/>
              </w:rPr>
            </w:pPr>
            <w:r w:rsidRPr="001D64D5">
              <w:rPr>
                <w:rFonts w:asciiTheme="minorHAnsi" w:hAnsiTheme="minorHAnsi" w:cstheme="minorHAnsi"/>
                <w:b/>
                <w:bCs/>
                <w:sz w:val="18"/>
                <w:szCs w:val="18"/>
              </w:rPr>
              <w:t>Popis způsobu řešení</w:t>
            </w:r>
          </w:p>
        </w:tc>
      </w:tr>
      <w:tr w:rsidR="00C03AF4" w:rsidRPr="001D64D5" w14:paraId="7B0CFC30" w14:textId="77777777" w:rsidTr="000F2E84">
        <w:trPr>
          <w:trHeight w:val="600"/>
        </w:trPr>
        <w:tc>
          <w:tcPr>
            <w:tcW w:w="460" w:type="dxa"/>
            <w:tcBorders>
              <w:top w:val="nil"/>
              <w:left w:val="single" w:sz="4" w:space="0" w:color="auto"/>
              <w:bottom w:val="single" w:sz="4" w:space="0" w:color="auto"/>
              <w:right w:val="single" w:sz="4" w:space="0" w:color="auto"/>
            </w:tcBorders>
            <w:shd w:val="clear" w:color="auto" w:fill="auto"/>
            <w:hideMark/>
          </w:tcPr>
          <w:p w14:paraId="46E5D3F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F1</w:t>
            </w:r>
          </w:p>
        </w:tc>
        <w:tc>
          <w:tcPr>
            <w:tcW w:w="1131" w:type="dxa"/>
            <w:tcBorders>
              <w:top w:val="nil"/>
              <w:left w:val="nil"/>
              <w:bottom w:val="single" w:sz="4" w:space="0" w:color="auto"/>
              <w:right w:val="single" w:sz="4" w:space="0" w:color="auto"/>
            </w:tcBorders>
            <w:shd w:val="clear" w:color="auto" w:fill="auto"/>
            <w:hideMark/>
          </w:tcPr>
          <w:p w14:paraId="7A025790" w14:textId="77777777" w:rsidR="00C03AF4" w:rsidRPr="001D64D5" w:rsidRDefault="00C03AF4" w:rsidP="000F2E84">
            <w:pPr>
              <w:rPr>
                <w:rFonts w:asciiTheme="minorHAnsi" w:hAnsiTheme="minorHAnsi" w:cstheme="minorHAnsi"/>
                <w:b/>
                <w:bCs/>
                <w:sz w:val="18"/>
                <w:szCs w:val="18"/>
                <w:u w:val="single"/>
              </w:rPr>
            </w:pPr>
            <w:r w:rsidRPr="001D64D5">
              <w:rPr>
                <w:rFonts w:asciiTheme="minorHAnsi" w:hAnsiTheme="minorHAnsi" w:cstheme="minorHAnsi"/>
                <w:b/>
                <w:bCs/>
                <w:sz w:val="18"/>
                <w:szCs w:val="18"/>
                <w:u w:val="single"/>
              </w:rPr>
              <w:t>Společné požadavky</w:t>
            </w:r>
          </w:p>
        </w:tc>
        <w:tc>
          <w:tcPr>
            <w:tcW w:w="2373" w:type="dxa"/>
            <w:tcBorders>
              <w:top w:val="nil"/>
              <w:left w:val="nil"/>
              <w:bottom w:val="single" w:sz="4" w:space="0" w:color="auto"/>
              <w:right w:val="single" w:sz="4" w:space="0" w:color="auto"/>
            </w:tcBorders>
            <w:shd w:val="clear" w:color="auto" w:fill="auto"/>
            <w:hideMark/>
          </w:tcPr>
          <w:p w14:paraId="46E63A87" w14:textId="77777777" w:rsidR="00C03AF4" w:rsidRPr="001D64D5" w:rsidRDefault="00C03AF4" w:rsidP="000F2E84">
            <w:pPr>
              <w:rPr>
                <w:rFonts w:asciiTheme="minorHAnsi" w:hAnsiTheme="minorHAnsi" w:cstheme="minorHAnsi"/>
                <w:b/>
                <w:bCs/>
                <w:sz w:val="18"/>
                <w:szCs w:val="18"/>
                <w:u w:val="single"/>
              </w:rPr>
            </w:pPr>
            <w:r w:rsidRPr="001D64D5">
              <w:rPr>
                <w:rFonts w:asciiTheme="minorHAnsi" w:hAnsiTheme="minorHAnsi" w:cstheme="minorHAnsi"/>
                <w:b/>
                <w:bCs/>
                <w:sz w:val="18"/>
                <w:szCs w:val="18"/>
                <w:u w:val="single"/>
              </w:rPr>
              <w:t> </w:t>
            </w:r>
          </w:p>
        </w:tc>
        <w:tc>
          <w:tcPr>
            <w:tcW w:w="993" w:type="dxa"/>
            <w:tcBorders>
              <w:top w:val="nil"/>
              <w:left w:val="nil"/>
              <w:bottom w:val="single" w:sz="4" w:space="0" w:color="auto"/>
              <w:right w:val="single" w:sz="4" w:space="0" w:color="auto"/>
            </w:tcBorders>
            <w:shd w:val="clear" w:color="auto" w:fill="auto"/>
            <w:hideMark/>
          </w:tcPr>
          <w:p w14:paraId="096039C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hideMark/>
          </w:tcPr>
          <w:p w14:paraId="4B94DD2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28F62AC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06D3811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r>
      <w:tr w:rsidR="00C03AF4" w:rsidRPr="001D64D5" w14:paraId="67DE23DD" w14:textId="77777777" w:rsidTr="000F2E84">
        <w:trPr>
          <w:trHeight w:val="900"/>
        </w:trPr>
        <w:tc>
          <w:tcPr>
            <w:tcW w:w="460" w:type="dxa"/>
            <w:tcBorders>
              <w:top w:val="nil"/>
              <w:left w:val="single" w:sz="4" w:space="0" w:color="auto"/>
              <w:bottom w:val="single" w:sz="4" w:space="0" w:color="auto"/>
              <w:right w:val="single" w:sz="4" w:space="0" w:color="auto"/>
            </w:tcBorders>
            <w:shd w:val="clear" w:color="auto" w:fill="auto"/>
            <w:hideMark/>
          </w:tcPr>
          <w:p w14:paraId="3C33C8A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w:t>
            </w:r>
          </w:p>
        </w:tc>
        <w:tc>
          <w:tcPr>
            <w:tcW w:w="1131" w:type="dxa"/>
            <w:tcBorders>
              <w:top w:val="nil"/>
              <w:left w:val="nil"/>
              <w:bottom w:val="single" w:sz="4" w:space="0" w:color="auto"/>
              <w:right w:val="single" w:sz="4" w:space="0" w:color="auto"/>
            </w:tcBorders>
            <w:shd w:val="clear" w:color="auto" w:fill="auto"/>
            <w:hideMark/>
          </w:tcPr>
          <w:p w14:paraId="29A59B6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Základní požadavky</w:t>
            </w:r>
          </w:p>
        </w:tc>
        <w:tc>
          <w:tcPr>
            <w:tcW w:w="2373" w:type="dxa"/>
            <w:tcBorders>
              <w:top w:val="nil"/>
              <w:left w:val="nil"/>
              <w:bottom w:val="single" w:sz="4" w:space="0" w:color="auto"/>
              <w:right w:val="single" w:sz="4" w:space="0" w:color="auto"/>
            </w:tcBorders>
            <w:shd w:val="clear" w:color="auto" w:fill="auto"/>
            <w:hideMark/>
          </w:tcPr>
          <w:p w14:paraId="5147144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Garance souladu systému s tuzemskou legislativou, včetně legislativy související se systémem CSUIS v aktuálním znění.</w:t>
            </w:r>
          </w:p>
        </w:tc>
        <w:tc>
          <w:tcPr>
            <w:tcW w:w="993" w:type="dxa"/>
            <w:tcBorders>
              <w:top w:val="nil"/>
              <w:left w:val="nil"/>
              <w:bottom w:val="single" w:sz="4" w:space="0" w:color="auto"/>
              <w:right w:val="single" w:sz="4" w:space="0" w:color="auto"/>
            </w:tcBorders>
            <w:shd w:val="clear" w:color="auto" w:fill="auto"/>
            <w:hideMark/>
          </w:tcPr>
          <w:p w14:paraId="2EE2F165"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353693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41F90FD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vAlign w:val="bottom"/>
            <w:hideMark/>
          </w:tcPr>
          <w:p w14:paraId="0AE0A9C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Soulad systému Helios s tuzemskou legislativou dodavatel deklaruje v návrhu údržbové smlouvy.</w:t>
            </w:r>
          </w:p>
        </w:tc>
      </w:tr>
      <w:tr w:rsidR="00C03AF4" w:rsidRPr="001D64D5" w14:paraId="09F45302" w14:textId="77777777" w:rsidTr="000F2E84">
        <w:trPr>
          <w:trHeight w:val="3000"/>
        </w:trPr>
        <w:tc>
          <w:tcPr>
            <w:tcW w:w="460" w:type="dxa"/>
            <w:tcBorders>
              <w:top w:val="nil"/>
              <w:left w:val="single" w:sz="4" w:space="0" w:color="auto"/>
              <w:bottom w:val="single" w:sz="4" w:space="0" w:color="auto"/>
              <w:right w:val="single" w:sz="4" w:space="0" w:color="auto"/>
            </w:tcBorders>
            <w:shd w:val="clear" w:color="auto" w:fill="auto"/>
            <w:hideMark/>
          </w:tcPr>
          <w:p w14:paraId="5012B6B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F3</w:t>
            </w:r>
          </w:p>
        </w:tc>
        <w:tc>
          <w:tcPr>
            <w:tcW w:w="1131" w:type="dxa"/>
            <w:tcBorders>
              <w:top w:val="nil"/>
              <w:left w:val="nil"/>
              <w:bottom w:val="single" w:sz="4" w:space="0" w:color="auto"/>
              <w:right w:val="single" w:sz="4" w:space="0" w:color="auto"/>
            </w:tcBorders>
            <w:shd w:val="clear" w:color="auto" w:fill="auto"/>
            <w:hideMark/>
          </w:tcPr>
          <w:p w14:paraId="78F7833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4A7273F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Garance rozvoje systému podle měnících se potřeb Nabyvatele.</w:t>
            </w:r>
          </w:p>
        </w:tc>
        <w:tc>
          <w:tcPr>
            <w:tcW w:w="993" w:type="dxa"/>
            <w:tcBorders>
              <w:top w:val="nil"/>
              <w:left w:val="nil"/>
              <w:bottom w:val="single" w:sz="4" w:space="0" w:color="auto"/>
              <w:right w:val="single" w:sz="4" w:space="0" w:color="auto"/>
            </w:tcBorders>
            <w:shd w:val="clear" w:color="auto" w:fill="auto"/>
            <w:hideMark/>
          </w:tcPr>
          <w:p w14:paraId="23D74BDB"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585DFD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4BE8CEF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vAlign w:val="bottom"/>
            <w:hideMark/>
          </w:tcPr>
          <w:p w14:paraId="3D589260" w14:textId="77777777" w:rsidR="00C03AF4" w:rsidRPr="001D64D5" w:rsidRDefault="00C03AF4" w:rsidP="000F2E84">
            <w:pPr>
              <w:rPr>
                <w:rFonts w:asciiTheme="minorHAnsi" w:hAnsiTheme="minorHAnsi" w:cstheme="minorHAnsi"/>
                <w:color w:val="000000"/>
                <w:sz w:val="18"/>
                <w:szCs w:val="18"/>
              </w:rPr>
            </w:pPr>
            <w:r w:rsidRPr="001D64D5">
              <w:rPr>
                <w:rFonts w:asciiTheme="minorHAnsi" w:hAnsiTheme="minorHAnsi" w:cstheme="minorHAnsi"/>
                <w:color w:val="000000"/>
                <w:sz w:val="18"/>
                <w:szCs w:val="18"/>
              </w:rPr>
              <w:t>V Helios jsou průběžně promítány nejnovější nástroje pro správu a vývoj systému tak, aby se pokud možno umožnilo maximálně využít možností, které výpočetní technika v současné době poskytuje.</w:t>
            </w:r>
            <w:r w:rsidRPr="001D64D5">
              <w:rPr>
                <w:rFonts w:asciiTheme="minorHAnsi" w:hAnsiTheme="minorHAnsi" w:cstheme="minorHAnsi"/>
                <w:color w:val="000000"/>
                <w:sz w:val="18"/>
                <w:szCs w:val="18"/>
              </w:rPr>
              <w:br/>
              <w:t>Helios j</w:t>
            </w:r>
            <w:r>
              <w:rPr>
                <w:rFonts w:asciiTheme="minorHAnsi" w:hAnsiTheme="minorHAnsi" w:cstheme="minorHAnsi"/>
                <w:color w:val="000000"/>
                <w:sz w:val="18"/>
                <w:szCs w:val="18"/>
              </w:rPr>
              <w:t>e</w:t>
            </w:r>
            <w:r w:rsidRPr="001D64D5">
              <w:rPr>
                <w:rFonts w:asciiTheme="minorHAnsi" w:hAnsiTheme="minorHAnsi" w:cstheme="minorHAnsi"/>
                <w:color w:val="000000"/>
                <w:sz w:val="18"/>
                <w:szCs w:val="18"/>
              </w:rPr>
              <w:t xml:space="preserve"> založen na vícevrstvé architektuře a unikátní jádro tohoto systému podporuje dosahování vysoké úrovně konfigurovatelnosti a vytvoří tak předpoklady pro přizpůsobování systému stále se měnícím požadavkům uživatelů při provozu systému, včetně požadavků přicházejících z vnějšího prostředí.</w:t>
            </w:r>
          </w:p>
        </w:tc>
      </w:tr>
      <w:tr w:rsidR="00C03AF4" w:rsidRPr="001D64D5" w14:paraId="757EF6C8" w14:textId="77777777" w:rsidTr="000F2E84">
        <w:trPr>
          <w:trHeight w:val="3900"/>
        </w:trPr>
        <w:tc>
          <w:tcPr>
            <w:tcW w:w="460" w:type="dxa"/>
            <w:tcBorders>
              <w:top w:val="nil"/>
              <w:left w:val="single" w:sz="4" w:space="0" w:color="auto"/>
              <w:bottom w:val="single" w:sz="4" w:space="0" w:color="auto"/>
              <w:right w:val="single" w:sz="4" w:space="0" w:color="auto"/>
            </w:tcBorders>
            <w:shd w:val="clear" w:color="auto" w:fill="auto"/>
            <w:hideMark/>
          </w:tcPr>
          <w:p w14:paraId="7D2116F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F4</w:t>
            </w:r>
          </w:p>
        </w:tc>
        <w:tc>
          <w:tcPr>
            <w:tcW w:w="1131" w:type="dxa"/>
            <w:tcBorders>
              <w:top w:val="nil"/>
              <w:left w:val="nil"/>
              <w:bottom w:val="single" w:sz="4" w:space="0" w:color="auto"/>
              <w:right w:val="single" w:sz="4" w:space="0" w:color="auto"/>
            </w:tcBorders>
            <w:shd w:val="clear" w:color="auto" w:fill="auto"/>
            <w:hideMark/>
          </w:tcPr>
          <w:p w14:paraId="797A039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Rozšiřitelnost</w:t>
            </w:r>
          </w:p>
        </w:tc>
        <w:tc>
          <w:tcPr>
            <w:tcW w:w="2373" w:type="dxa"/>
            <w:tcBorders>
              <w:top w:val="nil"/>
              <w:left w:val="nil"/>
              <w:bottom w:val="single" w:sz="4" w:space="0" w:color="auto"/>
              <w:right w:val="single" w:sz="4" w:space="0" w:color="auto"/>
            </w:tcBorders>
            <w:shd w:val="clear" w:color="auto" w:fill="auto"/>
            <w:hideMark/>
          </w:tcPr>
          <w:p w14:paraId="58E9F68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Poskytovatel zde uvede další funkčnosti svého systému, které přicházejí v úvahu pro organizaci Nabyvatele a o které by bylo možné systém v budoucnosti rozšířit.</w:t>
            </w:r>
          </w:p>
        </w:tc>
        <w:tc>
          <w:tcPr>
            <w:tcW w:w="993" w:type="dxa"/>
            <w:tcBorders>
              <w:top w:val="nil"/>
              <w:left w:val="nil"/>
              <w:bottom w:val="single" w:sz="4" w:space="0" w:color="auto"/>
              <w:right w:val="single" w:sz="4" w:space="0" w:color="auto"/>
            </w:tcBorders>
            <w:shd w:val="clear" w:color="auto" w:fill="auto"/>
            <w:hideMark/>
          </w:tcPr>
          <w:p w14:paraId="22A28390"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F9DF6D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A13738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vAlign w:val="bottom"/>
            <w:hideMark/>
          </w:tcPr>
          <w:p w14:paraId="57446261" w14:textId="77777777" w:rsidR="00C03AF4" w:rsidRPr="001D64D5" w:rsidRDefault="00C03AF4" w:rsidP="000F2E84">
            <w:pPr>
              <w:rPr>
                <w:rFonts w:asciiTheme="minorHAnsi" w:hAnsiTheme="minorHAnsi" w:cstheme="minorHAnsi"/>
                <w:color w:val="000000"/>
                <w:sz w:val="18"/>
                <w:szCs w:val="18"/>
              </w:rPr>
            </w:pPr>
            <w:r w:rsidRPr="001D64D5">
              <w:rPr>
                <w:rFonts w:asciiTheme="minorHAnsi" w:hAnsiTheme="minorHAnsi" w:cstheme="minorHAnsi"/>
                <w:color w:val="000000"/>
                <w:sz w:val="18"/>
                <w:szCs w:val="18"/>
              </w:rPr>
              <w:t>Rozšiřující funkcionality Helios, o  které lze systém v budoucnosti rozšířit:</w:t>
            </w:r>
            <w:r w:rsidRPr="001D64D5">
              <w:rPr>
                <w:rFonts w:asciiTheme="minorHAnsi" w:hAnsiTheme="minorHAnsi" w:cstheme="minorHAnsi"/>
                <w:color w:val="000000"/>
                <w:sz w:val="18"/>
                <w:szCs w:val="18"/>
              </w:rPr>
              <w:br/>
              <w:t>Datové schránky CZ = rozhraní pro komunikaci</w:t>
            </w:r>
            <w:r w:rsidRPr="001D64D5">
              <w:rPr>
                <w:rFonts w:asciiTheme="minorHAnsi" w:hAnsiTheme="minorHAnsi" w:cstheme="minorHAnsi"/>
                <w:color w:val="000000"/>
                <w:sz w:val="18"/>
                <w:szCs w:val="18"/>
              </w:rPr>
              <w:br/>
              <w:t>Distribuce dokladů</w:t>
            </w:r>
            <w:r w:rsidRPr="001D64D5">
              <w:rPr>
                <w:rFonts w:asciiTheme="minorHAnsi" w:hAnsiTheme="minorHAnsi" w:cstheme="minorHAnsi"/>
                <w:color w:val="000000"/>
                <w:sz w:val="18"/>
                <w:szCs w:val="18"/>
              </w:rPr>
              <w:br/>
              <w:t>EDM = elektronická správa dokumentů</w:t>
            </w:r>
            <w:r w:rsidRPr="001D64D5">
              <w:rPr>
                <w:rFonts w:asciiTheme="minorHAnsi" w:hAnsiTheme="minorHAnsi" w:cstheme="minorHAnsi"/>
                <w:color w:val="000000"/>
                <w:sz w:val="18"/>
                <w:szCs w:val="18"/>
              </w:rPr>
              <w:br/>
              <w:t>Insolvenční rejstřík = stahování dat z IR</w:t>
            </w:r>
            <w:r w:rsidRPr="001D64D5">
              <w:rPr>
                <w:rFonts w:asciiTheme="minorHAnsi" w:hAnsiTheme="minorHAnsi" w:cstheme="minorHAnsi"/>
                <w:color w:val="000000"/>
                <w:sz w:val="18"/>
                <w:szCs w:val="18"/>
              </w:rPr>
              <w:br/>
              <w:t>Kniha jízd</w:t>
            </w:r>
            <w:r w:rsidRPr="001D64D5">
              <w:rPr>
                <w:rFonts w:asciiTheme="minorHAnsi" w:hAnsiTheme="minorHAnsi" w:cstheme="minorHAnsi"/>
                <w:color w:val="000000"/>
                <w:sz w:val="18"/>
                <w:szCs w:val="18"/>
              </w:rPr>
              <w:br/>
              <w:t>Manažerské rozhraní = podpora pro tv</w:t>
            </w:r>
            <w:r>
              <w:rPr>
                <w:rFonts w:asciiTheme="minorHAnsi" w:hAnsiTheme="minorHAnsi" w:cstheme="minorHAnsi"/>
                <w:color w:val="000000"/>
                <w:sz w:val="18"/>
                <w:szCs w:val="18"/>
              </w:rPr>
              <w:t>o</w:t>
            </w:r>
            <w:r w:rsidRPr="001D64D5">
              <w:rPr>
                <w:rFonts w:asciiTheme="minorHAnsi" w:hAnsiTheme="minorHAnsi" w:cstheme="minorHAnsi"/>
                <w:color w:val="000000"/>
                <w:sz w:val="18"/>
                <w:szCs w:val="18"/>
              </w:rPr>
              <w:t>rbu ukazatelů v MS Excel</w:t>
            </w:r>
            <w:r w:rsidRPr="001D64D5">
              <w:rPr>
                <w:rFonts w:asciiTheme="minorHAnsi" w:hAnsiTheme="minorHAnsi" w:cstheme="minorHAnsi"/>
                <w:color w:val="000000"/>
                <w:sz w:val="18"/>
                <w:szCs w:val="18"/>
              </w:rPr>
              <w:br/>
              <w:t>Odpisy pohledávek</w:t>
            </w:r>
            <w:r w:rsidRPr="001D64D5">
              <w:rPr>
                <w:rFonts w:asciiTheme="minorHAnsi" w:hAnsiTheme="minorHAnsi" w:cstheme="minorHAnsi"/>
                <w:color w:val="000000"/>
                <w:sz w:val="18"/>
                <w:szCs w:val="18"/>
              </w:rPr>
              <w:br/>
              <w:t>Porady</w:t>
            </w:r>
            <w:r w:rsidRPr="001D64D5">
              <w:rPr>
                <w:rFonts w:asciiTheme="minorHAnsi" w:hAnsiTheme="minorHAnsi" w:cstheme="minorHAnsi"/>
                <w:color w:val="000000"/>
                <w:sz w:val="18"/>
                <w:szCs w:val="18"/>
              </w:rPr>
              <w:br/>
              <w:t>Mzdy a Personalistika</w:t>
            </w:r>
            <w:r w:rsidRPr="001D64D5">
              <w:rPr>
                <w:rFonts w:asciiTheme="minorHAnsi" w:hAnsiTheme="minorHAnsi" w:cstheme="minorHAnsi"/>
                <w:color w:val="000000"/>
                <w:sz w:val="18"/>
                <w:szCs w:val="18"/>
              </w:rPr>
              <w:br/>
              <w:t>Správa podmíněných závazků a pohledávek</w:t>
            </w:r>
          </w:p>
        </w:tc>
      </w:tr>
      <w:tr w:rsidR="00C03AF4" w:rsidRPr="001D64D5" w14:paraId="5812E74B" w14:textId="77777777" w:rsidTr="000F2E84">
        <w:trPr>
          <w:trHeight w:val="3000"/>
        </w:trPr>
        <w:tc>
          <w:tcPr>
            <w:tcW w:w="460" w:type="dxa"/>
            <w:tcBorders>
              <w:top w:val="nil"/>
              <w:left w:val="single" w:sz="4" w:space="0" w:color="auto"/>
              <w:bottom w:val="single" w:sz="4" w:space="0" w:color="auto"/>
              <w:right w:val="single" w:sz="4" w:space="0" w:color="auto"/>
            </w:tcBorders>
            <w:shd w:val="clear" w:color="auto" w:fill="auto"/>
            <w:hideMark/>
          </w:tcPr>
          <w:p w14:paraId="22CE44C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F5</w:t>
            </w:r>
          </w:p>
        </w:tc>
        <w:tc>
          <w:tcPr>
            <w:tcW w:w="1131" w:type="dxa"/>
            <w:tcBorders>
              <w:top w:val="nil"/>
              <w:left w:val="nil"/>
              <w:bottom w:val="single" w:sz="4" w:space="0" w:color="auto"/>
              <w:right w:val="single" w:sz="4" w:space="0" w:color="auto"/>
            </w:tcBorders>
            <w:shd w:val="clear" w:color="auto" w:fill="auto"/>
            <w:hideMark/>
          </w:tcPr>
          <w:p w14:paraId="5E3246E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Obecné vlastnosti systému</w:t>
            </w:r>
          </w:p>
        </w:tc>
        <w:tc>
          <w:tcPr>
            <w:tcW w:w="2373" w:type="dxa"/>
            <w:tcBorders>
              <w:top w:val="nil"/>
              <w:left w:val="nil"/>
              <w:bottom w:val="single" w:sz="4" w:space="0" w:color="auto"/>
              <w:right w:val="single" w:sz="4" w:space="0" w:color="auto"/>
            </w:tcBorders>
            <w:shd w:val="clear" w:color="auto" w:fill="auto"/>
            <w:hideMark/>
          </w:tcPr>
          <w:p w14:paraId="49D73BB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Zadavatel požaduje, aby systém podporoval práci uživatelů z různých lokalit v rámci sítě zadavatele, nad jednou společnou databází, bez nutnosti přenosů datových souborů.</w:t>
            </w:r>
          </w:p>
        </w:tc>
        <w:tc>
          <w:tcPr>
            <w:tcW w:w="993" w:type="dxa"/>
            <w:tcBorders>
              <w:top w:val="nil"/>
              <w:left w:val="nil"/>
              <w:bottom w:val="single" w:sz="4" w:space="0" w:color="auto"/>
              <w:right w:val="single" w:sz="4" w:space="0" w:color="auto"/>
            </w:tcBorders>
            <w:shd w:val="clear" w:color="auto" w:fill="auto"/>
            <w:hideMark/>
          </w:tcPr>
          <w:p w14:paraId="611A20CF"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2699CC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8B0A0F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vAlign w:val="bottom"/>
            <w:hideMark/>
          </w:tcPr>
          <w:p w14:paraId="5B1BE451" w14:textId="77777777" w:rsidR="00C03AF4" w:rsidRPr="001D64D5" w:rsidRDefault="00C03AF4" w:rsidP="000F2E84">
            <w:pPr>
              <w:rPr>
                <w:rFonts w:asciiTheme="minorHAnsi" w:hAnsiTheme="minorHAnsi" w:cstheme="minorHAnsi"/>
                <w:color w:val="000000"/>
                <w:sz w:val="18"/>
                <w:szCs w:val="18"/>
              </w:rPr>
            </w:pPr>
            <w:r w:rsidRPr="001D64D5">
              <w:rPr>
                <w:rFonts w:asciiTheme="minorHAnsi" w:hAnsiTheme="minorHAnsi" w:cstheme="minorHAnsi"/>
                <w:color w:val="000000"/>
                <w:sz w:val="18"/>
                <w:szCs w:val="18"/>
              </w:rPr>
              <w:t>Systém Helios je vytvořen v třívrstvé architektuře. DB server je v této architektuře jeden, aplikační server může být jeden nebo více (pro případy většího množství koncových uživatelů kvůli rozložení výkonu).</w:t>
            </w:r>
            <w:r w:rsidRPr="001D64D5">
              <w:rPr>
                <w:rFonts w:asciiTheme="minorHAnsi" w:hAnsiTheme="minorHAnsi" w:cstheme="minorHAnsi"/>
                <w:color w:val="000000"/>
                <w:sz w:val="18"/>
                <w:szCs w:val="18"/>
              </w:rPr>
              <w:br/>
              <w:t>Z klienta Helios lze přistupovat k aplikačnímu serveru Helios v rámci sítě zadavatele, i z pracovních stanic mimo jeho síť.</w:t>
            </w:r>
            <w:r w:rsidRPr="001D64D5">
              <w:rPr>
                <w:rFonts w:asciiTheme="minorHAnsi" w:hAnsiTheme="minorHAnsi" w:cstheme="minorHAnsi"/>
                <w:color w:val="000000"/>
                <w:sz w:val="18"/>
                <w:szCs w:val="18"/>
              </w:rPr>
              <w:br/>
              <w:t>V případě přístupu z místa vně sítě zadavatele je nutné systémově řešit zabezpečení takového přístupu.</w:t>
            </w:r>
          </w:p>
        </w:tc>
      </w:tr>
      <w:tr w:rsidR="00C03AF4" w:rsidRPr="001D64D5" w14:paraId="3707577E" w14:textId="77777777" w:rsidTr="000F2E84">
        <w:trPr>
          <w:trHeight w:val="6900"/>
        </w:trPr>
        <w:tc>
          <w:tcPr>
            <w:tcW w:w="460" w:type="dxa"/>
            <w:tcBorders>
              <w:top w:val="nil"/>
              <w:left w:val="single" w:sz="4" w:space="0" w:color="auto"/>
              <w:bottom w:val="single" w:sz="4" w:space="0" w:color="auto"/>
              <w:right w:val="single" w:sz="4" w:space="0" w:color="auto"/>
            </w:tcBorders>
            <w:shd w:val="clear" w:color="auto" w:fill="auto"/>
            <w:hideMark/>
          </w:tcPr>
          <w:p w14:paraId="6840095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F6</w:t>
            </w:r>
          </w:p>
        </w:tc>
        <w:tc>
          <w:tcPr>
            <w:tcW w:w="1131" w:type="dxa"/>
            <w:tcBorders>
              <w:top w:val="nil"/>
              <w:left w:val="nil"/>
              <w:bottom w:val="single" w:sz="4" w:space="0" w:color="auto"/>
              <w:right w:val="single" w:sz="4" w:space="0" w:color="auto"/>
            </w:tcBorders>
            <w:shd w:val="clear" w:color="auto" w:fill="auto"/>
            <w:hideMark/>
          </w:tcPr>
          <w:p w14:paraId="7BB3AB1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36B88D8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Zadavatel požaduje, aby systém byl konfigurovatelný nejméně v rozsahu:</w:t>
            </w:r>
            <w:r w:rsidRPr="001D64D5">
              <w:rPr>
                <w:rFonts w:asciiTheme="minorHAnsi" w:hAnsiTheme="minorHAnsi" w:cstheme="minorHAnsi"/>
                <w:sz w:val="18"/>
                <w:szCs w:val="18"/>
              </w:rPr>
              <w:br/>
              <w:t>• Prostředí pro nové účetní období nastavitelné správcem systému zadavatele bez nutnosti zásahů dodavatele.</w:t>
            </w:r>
            <w:r w:rsidRPr="001D64D5">
              <w:rPr>
                <w:rFonts w:asciiTheme="minorHAnsi" w:hAnsiTheme="minorHAnsi" w:cstheme="minorHAnsi"/>
                <w:sz w:val="18"/>
                <w:szCs w:val="18"/>
              </w:rPr>
              <w:br/>
              <w:t xml:space="preserve">• Správcem systému nastavitelné konfigurace, které zajistí předvyplnění vybraných údajů na novém záznamu. </w:t>
            </w:r>
            <w:r w:rsidRPr="001D64D5">
              <w:rPr>
                <w:rFonts w:asciiTheme="minorHAnsi" w:hAnsiTheme="minorHAnsi" w:cstheme="minorHAnsi"/>
                <w:sz w:val="18"/>
                <w:szCs w:val="18"/>
              </w:rPr>
              <w:br/>
              <w:t>• Správcem systému nastavitelné kontroly pro správné zadání klíčových údajů na ukládaném záznamu.</w:t>
            </w:r>
          </w:p>
        </w:tc>
        <w:tc>
          <w:tcPr>
            <w:tcW w:w="993" w:type="dxa"/>
            <w:tcBorders>
              <w:top w:val="nil"/>
              <w:left w:val="nil"/>
              <w:bottom w:val="single" w:sz="4" w:space="0" w:color="auto"/>
              <w:right w:val="single" w:sz="4" w:space="0" w:color="auto"/>
            </w:tcBorders>
            <w:shd w:val="clear" w:color="auto" w:fill="auto"/>
            <w:hideMark/>
          </w:tcPr>
          <w:p w14:paraId="611AD9D9"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E24373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2E66391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vAlign w:val="bottom"/>
            <w:hideMark/>
          </w:tcPr>
          <w:p w14:paraId="22A88BC9" w14:textId="77777777" w:rsidR="00C03AF4" w:rsidRPr="001D64D5" w:rsidRDefault="00C03AF4" w:rsidP="000F2E84">
            <w:pPr>
              <w:rPr>
                <w:rFonts w:asciiTheme="minorHAnsi" w:hAnsiTheme="minorHAnsi" w:cstheme="minorHAnsi"/>
                <w:color w:val="000000"/>
                <w:sz w:val="18"/>
                <w:szCs w:val="18"/>
              </w:rPr>
            </w:pPr>
            <w:r w:rsidRPr="001D64D5">
              <w:rPr>
                <w:rFonts w:asciiTheme="minorHAnsi" w:hAnsiTheme="minorHAnsi" w:cstheme="minorHAnsi"/>
                <w:color w:val="000000"/>
                <w:sz w:val="18"/>
                <w:szCs w:val="18"/>
              </w:rPr>
              <w:t>Helios je postaven na unikátním jádru systému, které se kromě jiného stará o jednotné ovládání systému a o podporu pro jednotnou správu systému správcem. Pro správce systému jsou v Helios k dispozici velmi pokročilé funkce. K požadavkům vyjmenovaným zadavatelem uvádíme:</w:t>
            </w:r>
            <w:r w:rsidRPr="001D64D5">
              <w:rPr>
                <w:rFonts w:asciiTheme="minorHAnsi" w:hAnsiTheme="minorHAnsi" w:cstheme="minorHAnsi"/>
                <w:color w:val="000000"/>
                <w:sz w:val="18"/>
                <w:szCs w:val="18"/>
              </w:rPr>
              <w:br/>
              <w:t>Pro nové období se zpravidla nastavují zejména nové pořadače. Helios disponuje možností manuálně zkopírovat pořadače z minulého období a upravit jejich konfigurace.</w:t>
            </w:r>
            <w:r w:rsidRPr="001D64D5">
              <w:rPr>
                <w:rFonts w:asciiTheme="minorHAnsi" w:hAnsiTheme="minorHAnsi" w:cstheme="minorHAnsi"/>
                <w:color w:val="000000"/>
                <w:sz w:val="18"/>
                <w:szCs w:val="18"/>
              </w:rPr>
              <w:br/>
              <w:t>K předvyplnění vybraných údajů na novém záznamu se v Helios používají tvz. Defaulty. Default na údaj na třídě nebo pořadači může nastavit správce systému.</w:t>
            </w:r>
            <w:r w:rsidRPr="001D64D5">
              <w:rPr>
                <w:rFonts w:asciiTheme="minorHAnsi" w:hAnsiTheme="minorHAnsi" w:cstheme="minorHAnsi"/>
                <w:color w:val="000000"/>
                <w:sz w:val="18"/>
                <w:szCs w:val="18"/>
              </w:rPr>
              <w:br/>
              <w:t>O kontrolu správnosti klíčových údajů se stará jednak aplikační logika Helios (např. kontrola platného datumu), jednak lze nastavit další kontroly na obsah a povinnost vyplnit údaje. K tomu slouží správcovské nástroje Integritní omezení, případně Extender. Kontroly lze vázat na uložení záznamu na vytvoření nového záznamu nebo na spuštění funkce.</w:t>
            </w:r>
            <w:r w:rsidRPr="001D64D5">
              <w:rPr>
                <w:rFonts w:asciiTheme="minorHAnsi" w:hAnsiTheme="minorHAnsi" w:cstheme="minorHAnsi"/>
                <w:color w:val="000000"/>
                <w:sz w:val="18"/>
                <w:szCs w:val="18"/>
              </w:rPr>
              <w:br/>
              <w:t>Helios disponuje nástroji pro nastavení způsobu účtování vybraných účetních případů. Používají se třídy Kontace obecná a Kontace prvotního dokladu.</w:t>
            </w:r>
          </w:p>
        </w:tc>
      </w:tr>
      <w:tr w:rsidR="00C03AF4" w:rsidRPr="001D64D5" w14:paraId="0999DD12" w14:textId="77777777" w:rsidTr="000F2E84">
        <w:trPr>
          <w:trHeight w:val="2100"/>
        </w:trPr>
        <w:tc>
          <w:tcPr>
            <w:tcW w:w="460" w:type="dxa"/>
            <w:tcBorders>
              <w:top w:val="nil"/>
              <w:left w:val="single" w:sz="4" w:space="0" w:color="auto"/>
              <w:bottom w:val="single" w:sz="4" w:space="0" w:color="auto"/>
              <w:right w:val="single" w:sz="4" w:space="0" w:color="auto"/>
            </w:tcBorders>
            <w:shd w:val="clear" w:color="auto" w:fill="auto"/>
            <w:hideMark/>
          </w:tcPr>
          <w:p w14:paraId="2FB43C7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F7</w:t>
            </w:r>
          </w:p>
        </w:tc>
        <w:tc>
          <w:tcPr>
            <w:tcW w:w="1131" w:type="dxa"/>
            <w:tcBorders>
              <w:top w:val="nil"/>
              <w:left w:val="nil"/>
              <w:bottom w:val="single" w:sz="4" w:space="0" w:color="auto"/>
              <w:right w:val="single" w:sz="4" w:space="0" w:color="auto"/>
            </w:tcBorders>
            <w:shd w:val="clear" w:color="auto" w:fill="auto"/>
            <w:hideMark/>
          </w:tcPr>
          <w:p w14:paraId="308063D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48831B4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Systém ve své provozní části zahrne podporu práce pro všechna střediska podle stávající organizace středisek Provozního úseku.</w:t>
            </w:r>
          </w:p>
        </w:tc>
        <w:tc>
          <w:tcPr>
            <w:tcW w:w="993" w:type="dxa"/>
            <w:tcBorders>
              <w:top w:val="nil"/>
              <w:left w:val="nil"/>
              <w:bottom w:val="single" w:sz="4" w:space="0" w:color="auto"/>
              <w:right w:val="single" w:sz="4" w:space="0" w:color="auto"/>
            </w:tcBorders>
            <w:shd w:val="clear" w:color="auto" w:fill="auto"/>
            <w:hideMark/>
          </w:tcPr>
          <w:p w14:paraId="68BB3DE6"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242941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F383A0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vAlign w:val="bottom"/>
            <w:hideMark/>
          </w:tcPr>
          <w:p w14:paraId="2B1617C0" w14:textId="77777777" w:rsidR="00C03AF4" w:rsidRPr="001D64D5" w:rsidRDefault="00C03AF4" w:rsidP="000F2E84">
            <w:pPr>
              <w:rPr>
                <w:rFonts w:asciiTheme="minorHAnsi" w:hAnsiTheme="minorHAnsi" w:cstheme="minorHAnsi"/>
                <w:color w:val="000000"/>
                <w:sz w:val="18"/>
                <w:szCs w:val="18"/>
              </w:rPr>
            </w:pPr>
            <w:r w:rsidRPr="001D64D5">
              <w:rPr>
                <w:rFonts w:asciiTheme="minorHAnsi" w:hAnsiTheme="minorHAnsi" w:cstheme="minorHAnsi"/>
                <w:color w:val="000000"/>
                <w:sz w:val="18"/>
                <w:szCs w:val="18"/>
              </w:rPr>
              <w:t>Helios je systém, který je založen na 3 vrstvé architektuře. Není proto problém technicky připojit stanice ze sítě zadavatele i vně, pokud je nastavena dostatečná úroveň zabezpečení.</w:t>
            </w:r>
            <w:r w:rsidRPr="001D64D5">
              <w:rPr>
                <w:rFonts w:asciiTheme="minorHAnsi" w:hAnsiTheme="minorHAnsi" w:cstheme="minorHAnsi"/>
                <w:color w:val="000000"/>
                <w:sz w:val="18"/>
                <w:szCs w:val="18"/>
              </w:rPr>
              <w:br/>
              <w:t xml:space="preserve">Provozní modul, který je integrovanou součástí Helios, podpoří plánování a vedení </w:t>
            </w:r>
            <w:r w:rsidRPr="001D64D5">
              <w:rPr>
                <w:rFonts w:asciiTheme="minorHAnsi" w:hAnsiTheme="minorHAnsi" w:cstheme="minorHAnsi"/>
                <w:color w:val="000000"/>
                <w:sz w:val="18"/>
                <w:szCs w:val="18"/>
              </w:rPr>
              <w:lastRenderedPageBreak/>
              <w:t>evidencí prací pracovníků a strojů všech středisek Provozního úseku.</w:t>
            </w:r>
          </w:p>
        </w:tc>
      </w:tr>
      <w:tr w:rsidR="00C03AF4" w:rsidRPr="001D64D5" w14:paraId="0285A5B7" w14:textId="77777777" w:rsidTr="000F2E84">
        <w:trPr>
          <w:trHeight w:val="3300"/>
        </w:trPr>
        <w:tc>
          <w:tcPr>
            <w:tcW w:w="460" w:type="dxa"/>
            <w:tcBorders>
              <w:top w:val="nil"/>
              <w:left w:val="single" w:sz="4" w:space="0" w:color="auto"/>
              <w:bottom w:val="single" w:sz="4" w:space="0" w:color="auto"/>
              <w:right w:val="single" w:sz="4" w:space="0" w:color="auto"/>
            </w:tcBorders>
            <w:shd w:val="clear" w:color="auto" w:fill="auto"/>
            <w:hideMark/>
          </w:tcPr>
          <w:p w14:paraId="6EC2B77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F8</w:t>
            </w:r>
          </w:p>
        </w:tc>
        <w:tc>
          <w:tcPr>
            <w:tcW w:w="1131" w:type="dxa"/>
            <w:tcBorders>
              <w:top w:val="nil"/>
              <w:left w:val="nil"/>
              <w:bottom w:val="single" w:sz="4" w:space="0" w:color="auto"/>
              <w:right w:val="single" w:sz="4" w:space="0" w:color="auto"/>
            </w:tcBorders>
            <w:shd w:val="clear" w:color="auto" w:fill="auto"/>
            <w:hideMark/>
          </w:tcPr>
          <w:p w14:paraId="3F05CF8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5CF6A8B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Nutným požadavkem na systém je možnost nastavovat kontace pro účtování prvotních dokladů klíčovým uživatelem s příslušnými oprávněními, včetně dimenzí pro PAP výkaz - Viz též požadavky na Účetní dimenze.</w:t>
            </w:r>
          </w:p>
        </w:tc>
        <w:tc>
          <w:tcPr>
            <w:tcW w:w="993" w:type="dxa"/>
            <w:tcBorders>
              <w:top w:val="nil"/>
              <w:left w:val="nil"/>
              <w:bottom w:val="single" w:sz="4" w:space="0" w:color="auto"/>
              <w:right w:val="single" w:sz="4" w:space="0" w:color="auto"/>
            </w:tcBorders>
            <w:shd w:val="clear" w:color="auto" w:fill="auto"/>
            <w:hideMark/>
          </w:tcPr>
          <w:p w14:paraId="7DB40D75"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F75478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5146C46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vAlign w:val="bottom"/>
            <w:hideMark/>
          </w:tcPr>
          <w:p w14:paraId="22E9E868" w14:textId="77777777" w:rsidR="00C03AF4" w:rsidRPr="001D64D5" w:rsidRDefault="00C03AF4" w:rsidP="000F2E84">
            <w:pPr>
              <w:rPr>
                <w:rFonts w:asciiTheme="minorHAnsi" w:hAnsiTheme="minorHAnsi" w:cstheme="minorHAnsi"/>
                <w:color w:val="000000"/>
                <w:sz w:val="18"/>
                <w:szCs w:val="18"/>
              </w:rPr>
            </w:pPr>
            <w:r w:rsidRPr="001D64D5">
              <w:rPr>
                <w:rFonts w:asciiTheme="minorHAnsi" w:hAnsiTheme="minorHAnsi" w:cstheme="minorHAnsi"/>
                <w:color w:val="000000"/>
                <w:sz w:val="18"/>
                <w:szCs w:val="18"/>
              </w:rPr>
              <w:t>Helios disponuje propracovanou množinou nástrojů pro přednastavení kontací pro účtování prvotních dokladů tak, aby se minimalizovaly chyby.</w:t>
            </w:r>
            <w:r w:rsidRPr="001D64D5">
              <w:rPr>
                <w:rFonts w:asciiTheme="minorHAnsi" w:hAnsiTheme="minorHAnsi" w:cstheme="minorHAnsi"/>
                <w:color w:val="000000"/>
                <w:sz w:val="18"/>
                <w:szCs w:val="18"/>
              </w:rPr>
              <w:br/>
              <w:t>Pro podporu správnosti účtování prvotních dokladů, včetně dimenzí potřebných pro PAP výkaz je vhodné použít Kontace prvotního dokladu nejméně pro třídy Faktury přijaté, Faktury vydané, Pokladna.</w:t>
            </w:r>
            <w:r w:rsidRPr="001D64D5">
              <w:rPr>
                <w:rFonts w:asciiTheme="minorHAnsi" w:hAnsiTheme="minorHAnsi" w:cstheme="minorHAnsi"/>
                <w:color w:val="000000"/>
                <w:sz w:val="18"/>
                <w:szCs w:val="18"/>
              </w:rPr>
              <w:br/>
              <w:t>Nastavení kontací prvotních dokladů je plně v kompetenci správce systému nebo vybraného klíčového uživatele zadavatele podle nastavení uživatelských práv..</w:t>
            </w:r>
          </w:p>
        </w:tc>
      </w:tr>
      <w:tr w:rsidR="00C03AF4" w:rsidRPr="001D64D5" w14:paraId="5ECCEDCC" w14:textId="77777777" w:rsidTr="000F2E84">
        <w:trPr>
          <w:trHeight w:val="1800"/>
        </w:trPr>
        <w:tc>
          <w:tcPr>
            <w:tcW w:w="460" w:type="dxa"/>
            <w:tcBorders>
              <w:top w:val="nil"/>
              <w:left w:val="single" w:sz="4" w:space="0" w:color="auto"/>
              <w:bottom w:val="single" w:sz="4" w:space="0" w:color="auto"/>
              <w:right w:val="single" w:sz="4" w:space="0" w:color="auto"/>
            </w:tcBorders>
            <w:shd w:val="clear" w:color="auto" w:fill="auto"/>
            <w:hideMark/>
          </w:tcPr>
          <w:p w14:paraId="5C331F5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F9</w:t>
            </w:r>
          </w:p>
        </w:tc>
        <w:tc>
          <w:tcPr>
            <w:tcW w:w="1131" w:type="dxa"/>
            <w:tcBorders>
              <w:top w:val="nil"/>
              <w:left w:val="nil"/>
              <w:bottom w:val="single" w:sz="4" w:space="0" w:color="auto"/>
              <w:right w:val="single" w:sz="4" w:space="0" w:color="auto"/>
            </w:tcBorders>
            <w:shd w:val="clear" w:color="auto" w:fill="auto"/>
            <w:hideMark/>
          </w:tcPr>
          <w:p w14:paraId="30463FD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120C404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Zadavatel požaduje, aby provozní a účetní dimenze byly samostatné číselníky se samostatně nastavitelnými právy pro jejich správu, nejméně pro číselníky Střediska, NS, JU, Účtová osnova, Stroje, Pracovníci, Práce</w:t>
            </w:r>
          </w:p>
        </w:tc>
        <w:tc>
          <w:tcPr>
            <w:tcW w:w="993" w:type="dxa"/>
            <w:tcBorders>
              <w:top w:val="nil"/>
              <w:left w:val="nil"/>
              <w:bottom w:val="single" w:sz="4" w:space="0" w:color="auto"/>
              <w:right w:val="single" w:sz="4" w:space="0" w:color="auto"/>
            </w:tcBorders>
            <w:shd w:val="clear" w:color="auto" w:fill="auto"/>
            <w:hideMark/>
          </w:tcPr>
          <w:p w14:paraId="7B09979C"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A0A3D0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35D2F04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7857E3D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Provozní a účetní dimenze jsou v Helios samostatné číselníky. Dimenze Středisko, NS, JU, Stroj, Pracovníci jsou součástí nastavení systému pro TS.</w:t>
            </w:r>
            <w:r w:rsidRPr="001D64D5">
              <w:rPr>
                <w:rFonts w:asciiTheme="minorHAnsi" w:hAnsiTheme="minorHAnsi" w:cstheme="minorHAnsi"/>
                <w:sz w:val="18"/>
                <w:szCs w:val="18"/>
              </w:rPr>
              <w:br/>
              <w:t>Další dimenze lze do Helios doplňovat a zajistit jejich přenos z prvotních dokladů do Účetního deníku. Počet dimenzí není technicky omezen.</w:t>
            </w:r>
          </w:p>
        </w:tc>
      </w:tr>
      <w:tr w:rsidR="00C03AF4" w:rsidRPr="001D64D5" w14:paraId="660E8F08" w14:textId="77777777" w:rsidTr="000F2E84">
        <w:trPr>
          <w:trHeight w:val="1800"/>
        </w:trPr>
        <w:tc>
          <w:tcPr>
            <w:tcW w:w="460" w:type="dxa"/>
            <w:tcBorders>
              <w:top w:val="nil"/>
              <w:left w:val="single" w:sz="4" w:space="0" w:color="auto"/>
              <w:bottom w:val="single" w:sz="4" w:space="0" w:color="auto"/>
              <w:right w:val="single" w:sz="4" w:space="0" w:color="auto"/>
            </w:tcBorders>
            <w:shd w:val="clear" w:color="auto" w:fill="auto"/>
            <w:hideMark/>
          </w:tcPr>
          <w:p w14:paraId="76CB8F9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F10</w:t>
            </w:r>
          </w:p>
        </w:tc>
        <w:tc>
          <w:tcPr>
            <w:tcW w:w="1131" w:type="dxa"/>
            <w:tcBorders>
              <w:top w:val="nil"/>
              <w:left w:val="nil"/>
              <w:bottom w:val="single" w:sz="4" w:space="0" w:color="auto"/>
              <w:right w:val="single" w:sz="4" w:space="0" w:color="auto"/>
            </w:tcBorders>
            <w:shd w:val="clear" w:color="auto" w:fill="auto"/>
            <w:hideMark/>
          </w:tcPr>
          <w:p w14:paraId="7A505D9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7823132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Zadavatel požaduje, aby systém podpořil realizaci organizačních změn tak, že po změně nastavení číselníku Středisek oprávněný uživatel provede úpravu nastavení systému pro nové středisko s platností od do</w:t>
            </w:r>
          </w:p>
        </w:tc>
        <w:tc>
          <w:tcPr>
            <w:tcW w:w="993" w:type="dxa"/>
            <w:tcBorders>
              <w:top w:val="nil"/>
              <w:left w:val="nil"/>
              <w:bottom w:val="single" w:sz="4" w:space="0" w:color="auto"/>
              <w:right w:val="single" w:sz="4" w:space="0" w:color="auto"/>
            </w:tcBorders>
            <w:shd w:val="clear" w:color="auto" w:fill="auto"/>
            <w:hideMark/>
          </w:tcPr>
          <w:p w14:paraId="74A22936"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C13F46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494E48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0F0FA3E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V případě organizační změny se v Helios obvykle vytvoří nové záznamy pro Útvary, případně se provede reorganizace útvarů v rámci Expozitur vlastních.</w:t>
            </w:r>
            <w:r w:rsidRPr="001D64D5">
              <w:rPr>
                <w:rFonts w:asciiTheme="minorHAnsi" w:hAnsiTheme="minorHAnsi" w:cstheme="minorHAnsi"/>
                <w:sz w:val="18"/>
                <w:szCs w:val="18"/>
              </w:rPr>
              <w:br/>
              <w:t>Pro použití záznamů útvarů lze vymezit jejich platnost v čase a zajistit tak, že starý útvar po provedení organizační změny nebude použit.</w:t>
            </w:r>
          </w:p>
        </w:tc>
      </w:tr>
      <w:tr w:rsidR="00C03AF4" w:rsidRPr="001D64D5" w14:paraId="275664C6" w14:textId="77777777" w:rsidTr="000F2E84">
        <w:trPr>
          <w:trHeight w:val="3000"/>
        </w:trPr>
        <w:tc>
          <w:tcPr>
            <w:tcW w:w="460" w:type="dxa"/>
            <w:tcBorders>
              <w:top w:val="nil"/>
              <w:left w:val="single" w:sz="4" w:space="0" w:color="auto"/>
              <w:bottom w:val="single" w:sz="4" w:space="0" w:color="auto"/>
              <w:right w:val="single" w:sz="4" w:space="0" w:color="auto"/>
            </w:tcBorders>
            <w:shd w:val="clear" w:color="auto" w:fill="auto"/>
            <w:hideMark/>
          </w:tcPr>
          <w:p w14:paraId="57920AC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F11</w:t>
            </w:r>
          </w:p>
        </w:tc>
        <w:tc>
          <w:tcPr>
            <w:tcW w:w="1131" w:type="dxa"/>
            <w:tcBorders>
              <w:top w:val="nil"/>
              <w:left w:val="nil"/>
              <w:bottom w:val="single" w:sz="4" w:space="0" w:color="auto"/>
              <w:right w:val="single" w:sz="4" w:space="0" w:color="auto"/>
            </w:tcBorders>
            <w:shd w:val="clear" w:color="auto" w:fill="auto"/>
            <w:hideMark/>
          </w:tcPr>
          <w:p w14:paraId="18B3A10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3E362AC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Veškerá historie provedených změn na definovaných objektech musí být dokladovatelná a výběr objektů půjde nastavit. Systém bude sledovat:</w:t>
            </w:r>
            <w:r w:rsidRPr="001D64D5">
              <w:rPr>
                <w:rFonts w:asciiTheme="minorHAnsi" w:hAnsiTheme="minorHAnsi" w:cstheme="minorHAnsi"/>
                <w:sz w:val="18"/>
                <w:szCs w:val="18"/>
              </w:rPr>
              <w:br/>
              <w:t>·         Kdo změnu provedl v systému</w:t>
            </w:r>
            <w:r w:rsidRPr="001D64D5">
              <w:rPr>
                <w:rFonts w:asciiTheme="minorHAnsi" w:hAnsiTheme="minorHAnsi" w:cstheme="minorHAnsi"/>
                <w:sz w:val="18"/>
                <w:szCs w:val="18"/>
              </w:rPr>
              <w:br/>
              <w:t>·         Kdy byla změna provedena</w:t>
            </w:r>
            <w:r w:rsidRPr="001D64D5">
              <w:rPr>
                <w:rFonts w:asciiTheme="minorHAnsi" w:hAnsiTheme="minorHAnsi" w:cstheme="minorHAnsi"/>
                <w:sz w:val="18"/>
                <w:szCs w:val="18"/>
              </w:rPr>
              <w:br/>
              <w:t>·         Původní hodnota atributu</w:t>
            </w:r>
            <w:r w:rsidRPr="001D64D5">
              <w:rPr>
                <w:rFonts w:asciiTheme="minorHAnsi" w:hAnsiTheme="minorHAnsi" w:cstheme="minorHAnsi"/>
                <w:sz w:val="18"/>
                <w:szCs w:val="18"/>
              </w:rPr>
              <w:br/>
              <w:t>·         Nová hodnota atrobutu</w:t>
            </w:r>
          </w:p>
        </w:tc>
        <w:tc>
          <w:tcPr>
            <w:tcW w:w="993" w:type="dxa"/>
            <w:tcBorders>
              <w:top w:val="nil"/>
              <w:left w:val="nil"/>
              <w:bottom w:val="single" w:sz="4" w:space="0" w:color="auto"/>
              <w:right w:val="single" w:sz="4" w:space="0" w:color="auto"/>
            </w:tcBorders>
            <w:shd w:val="clear" w:color="auto" w:fill="auto"/>
            <w:hideMark/>
          </w:tcPr>
          <w:p w14:paraId="3F138023"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A279DD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0CE0681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1805889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 jednotlivých třídách lze zapnout auditování - Helios sleduje změny atributů a spuštěné funkce. Každý záznam v Auditlog je vybaven údajem o uživateli, který změnu provedl, a datumem a časem provedení změny nebo spuštění funkce, dále je uvedena hodnota atributu před změnou a po změně.</w:t>
            </w:r>
            <w:r w:rsidRPr="001D64D5">
              <w:rPr>
                <w:rFonts w:asciiTheme="minorHAnsi" w:hAnsiTheme="minorHAnsi" w:cstheme="minorHAnsi"/>
                <w:sz w:val="18"/>
                <w:szCs w:val="18"/>
              </w:rPr>
              <w:br/>
              <w:t>Nad vybranými třídami jsou k di</w:t>
            </w:r>
            <w:r>
              <w:rPr>
                <w:rFonts w:asciiTheme="minorHAnsi" w:hAnsiTheme="minorHAnsi" w:cstheme="minorHAnsi"/>
                <w:sz w:val="18"/>
                <w:szCs w:val="18"/>
              </w:rPr>
              <w:t>s</w:t>
            </w:r>
            <w:r w:rsidRPr="001D64D5">
              <w:rPr>
                <w:rFonts w:asciiTheme="minorHAnsi" w:hAnsiTheme="minorHAnsi" w:cstheme="minorHAnsi"/>
                <w:sz w:val="18"/>
                <w:szCs w:val="18"/>
              </w:rPr>
              <w:t>pozici funkce pro schválení. Jedná se o akci v rámci schvalovacího procesu dokladu. Spuštění těchto funkcí se rovněž audituje.</w:t>
            </w:r>
          </w:p>
        </w:tc>
      </w:tr>
      <w:tr w:rsidR="00C03AF4" w:rsidRPr="001D64D5" w14:paraId="362CD767" w14:textId="77777777" w:rsidTr="000F2E84">
        <w:trPr>
          <w:trHeight w:val="1200"/>
        </w:trPr>
        <w:tc>
          <w:tcPr>
            <w:tcW w:w="460" w:type="dxa"/>
            <w:tcBorders>
              <w:top w:val="nil"/>
              <w:left w:val="single" w:sz="4" w:space="0" w:color="auto"/>
              <w:bottom w:val="single" w:sz="4" w:space="0" w:color="auto"/>
              <w:right w:val="single" w:sz="4" w:space="0" w:color="auto"/>
            </w:tcBorders>
            <w:shd w:val="clear" w:color="auto" w:fill="auto"/>
            <w:hideMark/>
          </w:tcPr>
          <w:p w14:paraId="3864B7D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F12</w:t>
            </w:r>
          </w:p>
        </w:tc>
        <w:tc>
          <w:tcPr>
            <w:tcW w:w="1131" w:type="dxa"/>
            <w:tcBorders>
              <w:top w:val="nil"/>
              <w:left w:val="nil"/>
              <w:bottom w:val="single" w:sz="4" w:space="0" w:color="auto"/>
              <w:right w:val="single" w:sz="4" w:space="0" w:color="auto"/>
            </w:tcBorders>
            <w:shd w:val="clear" w:color="auto" w:fill="auto"/>
            <w:hideMark/>
          </w:tcPr>
          <w:p w14:paraId="0AED06D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422B991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Možnost plánovat déletrvající nebo dávkové funkce na dobu mimo běžný provoz (v noci).</w:t>
            </w:r>
          </w:p>
        </w:tc>
        <w:tc>
          <w:tcPr>
            <w:tcW w:w="993" w:type="dxa"/>
            <w:tcBorders>
              <w:top w:val="nil"/>
              <w:left w:val="nil"/>
              <w:bottom w:val="single" w:sz="4" w:space="0" w:color="auto"/>
              <w:right w:val="single" w:sz="4" w:space="0" w:color="auto"/>
            </w:tcBorders>
            <w:shd w:val="clear" w:color="auto" w:fill="auto"/>
            <w:hideMark/>
          </w:tcPr>
          <w:p w14:paraId="1D9C7899"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6CB416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0E97D7C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723D568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Helios běží na platformě serverů společnosti Microsoft. Spuštění dávkové a déle trvající funkce Helios lze naplánovat např. na noční hodinu v Management Studiu MS SQL Serveru.</w:t>
            </w:r>
          </w:p>
        </w:tc>
      </w:tr>
      <w:tr w:rsidR="00C03AF4" w:rsidRPr="001D64D5" w14:paraId="6127DE5C" w14:textId="77777777" w:rsidTr="000F2E84">
        <w:trPr>
          <w:trHeight w:val="3300"/>
        </w:trPr>
        <w:tc>
          <w:tcPr>
            <w:tcW w:w="460" w:type="dxa"/>
            <w:tcBorders>
              <w:top w:val="nil"/>
              <w:left w:val="single" w:sz="4" w:space="0" w:color="auto"/>
              <w:bottom w:val="single" w:sz="4" w:space="0" w:color="auto"/>
              <w:right w:val="single" w:sz="4" w:space="0" w:color="auto"/>
            </w:tcBorders>
            <w:shd w:val="clear" w:color="auto" w:fill="auto"/>
            <w:hideMark/>
          </w:tcPr>
          <w:p w14:paraId="71504EF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F13</w:t>
            </w:r>
          </w:p>
        </w:tc>
        <w:tc>
          <w:tcPr>
            <w:tcW w:w="1131" w:type="dxa"/>
            <w:tcBorders>
              <w:top w:val="nil"/>
              <w:left w:val="nil"/>
              <w:bottom w:val="single" w:sz="4" w:space="0" w:color="auto"/>
              <w:right w:val="single" w:sz="4" w:space="0" w:color="auto"/>
            </w:tcBorders>
            <w:shd w:val="clear" w:color="auto" w:fill="auto"/>
            <w:hideMark/>
          </w:tcPr>
          <w:p w14:paraId="30F2AE6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691885E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Nástroje pro uživatelsky nastavitelné a uložitelné pokročilé filtry:</w:t>
            </w:r>
            <w:r w:rsidRPr="001D64D5">
              <w:rPr>
                <w:rFonts w:asciiTheme="minorHAnsi" w:hAnsiTheme="minorHAnsi" w:cstheme="minorHAnsi"/>
                <w:sz w:val="18"/>
                <w:szCs w:val="18"/>
              </w:rPr>
              <w:br/>
              <w:t>• Filtrování nad množinou záznamů podle všech údajů daného objektu s využitím různých kombinací parametrů a logických operátorů.</w:t>
            </w:r>
            <w:r w:rsidRPr="001D64D5">
              <w:rPr>
                <w:rFonts w:asciiTheme="minorHAnsi" w:hAnsiTheme="minorHAnsi" w:cstheme="minorHAnsi"/>
                <w:sz w:val="18"/>
                <w:szCs w:val="18"/>
              </w:rPr>
              <w:br/>
              <w:t>• Filtrování nad množinou záznamů také podle všech údajů s daným objektem souvisejících.</w:t>
            </w:r>
            <w:r w:rsidRPr="001D64D5">
              <w:rPr>
                <w:rFonts w:asciiTheme="minorHAnsi" w:hAnsiTheme="minorHAnsi" w:cstheme="minorHAnsi"/>
                <w:sz w:val="18"/>
                <w:szCs w:val="18"/>
              </w:rPr>
              <w:br/>
              <w:t>• Využití zástupných znaků (např. *, ?) při nastavení jednotlivých filtrů.</w:t>
            </w:r>
          </w:p>
        </w:tc>
        <w:tc>
          <w:tcPr>
            <w:tcW w:w="993" w:type="dxa"/>
            <w:tcBorders>
              <w:top w:val="nil"/>
              <w:left w:val="nil"/>
              <w:bottom w:val="single" w:sz="4" w:space="0" w:color="auto"/>
              <w:right w:val="single" w:sz="4" w:space="0" w:color="auto"/>
            </w:tcBorders>
            <w:shd w:val="clear" w:color="auto" w:fill="auto"/>
            <w:hideMark/>
          </w:tcPr>
          <w:p w14:paraId="6CD5870B"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6AA9D9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A6BA52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3EABD56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Nad všemi třídami Helios lze k pokročilému filtrování použít tzv. Velký filtr. Tento robustní nástroj umožňuje kombinovat zadání podmínek s využitím logických operátorů nad údaji třídy, na které uživatel právě stojí, i nad údaji navázaných tříd podle relačního datového modelu Helios (např. na FD lze filtrovat na údaje Organizace nebo z Účetního deníku se lze filtrem do</w:t>
            </w:r>
            <w:r>
              <w:rPr>
                <w:rFonts w:asciiTheme="minorHAnsi" w:hAnsiTheme="minorHAnsi" w:cstheme="minorHAnsi"/>
                <w:sz w:val="18"/>
                <w:szCs w:val="18"/>
              </w:rPr>
              <w:t>d</w:t>
            </w:r>
            <w:r w:rsidRPr="001D64D5">
              <w:rPr>
                <w:rFonts w:asciiTheme="minorHAnsi" w:hAnsiTheme="minorHAnsi" w:cstheme="minorHAnsi"/>
                <w:sz w:val="18"/>
                <w:szCs w:val="18"/>
              </w:rPr>
              <w:t>at na údaje prvotního dokladu, jeho Úhrad atd.)</w:t>
            </w:r>
            <w:r w:rsidRPr="001D64D5">
              <w:rPr>
                <w:rFonts w:asciiTheme="minorHAnsi" w:hAnsiTheme="minorHAnsi" w:cstheme="minorHAnsi"/>
                <w:sz w:val="18"/>
                <w:szCs w:val="18"/>
              </w:rPr>
              <w:br/>
              <w:t>V podmínkách filtrů (nejen Velkého filtru) umožňuje Helios použít sadu zástupných znaků.</w:t>
            </w:r>
          </w:p>
        </w:tc>
      </w:tr>
      <w:tr w:rsidR="00C03AF4" w:rsidRPr="001D64D5" w14:paraId="2A20A89B" w14:textId="77777777" w:rsidTr="000F2E84">
        <w:trPr>
          <w:trHeight w:val="3000"/>
        </w:trPr>
        <w:tc>
          <w:tcPr>
            <w:tcW w:w="460" w:type="dxa"/>
            <w:tcBorders>
              <w:top w:val="nil"/>
              <w:left w:val="single" w:sz="4" w:space="0" w:color="auto"/>
              <w:bottom w:val="single" w:sz="4" w:space="0" w:color="auto"/>
              <w:right w:val="single" w:sz="4" w:space="0" w:color="auto"/>
            </w:tcBorders>
            <w:shd w:val="clear" w:color="auto" w:fill="auto"/>
            <w:hideMark/>
          </w:tcPr>
          <w:p w14:paraId="518A63D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F14</w:t>
            </w:r>
          </w:p>
        </w:tc>
        <w:tc>
          <w:tcPr>
            <w:tcW w:w="1131" w:type="dxa"/>
            <w:tcBorders>
              <w:top w:val="nil"/>
              <w:left w:val="nil"/>
              <w:bottom w:val="single" w:sz="4" w:space="0" w:color="auto"/>
              <w:right w:val="single" w:sz="4" w:space="0" w:color="auto"/>
            </w:tcBorders>
            <w:shd w:val="clear" w:color="auto" w:fill="auto"/>
            <w:hideMark/>
          </w:tcPr>
          <w:p w14:paraId="4525D31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572060A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Nástroje pro uživatelsky nastavitelné přehledové šablony vzorů přehledů nad množinou konzistentních záznamů v systému, včetně možnosti přednastavení filtrů do šablon vzorů přehledů.</w:t>
            </w:r>
          </w:p>
        </w:tc>
        <w:tc>
          <w:tcPr>
            <w:tcW w:w="993" w:type="dxa"/>
            <w:tcBorders>
              <w:top w:val="nil"/>
              <w:left w:val="nil"/>
              <w:bottom w:val="single" w:sz="4" w:space="0" w:color="auto"/>
              <w:right w:val="single" w:sz="4" w:space="0" w:color="auto"/>
            </w:tcBorders>
            <w:shd w:val="clear" w:color="auto" w:fill="auto"/>
            <w:hideMark/>
          </w:tcPr>
          <w:p w14:paraId="102939E5"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89EBB6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1C87C3D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1F7016A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Nad všemi třídami Helios lze k vytváření přehledů použít robustní nástroj Generátor šablon.</w:t>
            </w:r>
            <w:r w:rsidRPr="001D64D5">
              <w:rPr>
                <w:rFonts w:asciiTheme="minorHAnsi" w:hAnsiTheme="minorHAnsi" w:cstheme="minorHAnsi"/>
                <w:sz w:val="18"/>
                <w:szCs w:val="18"/>
              </w:rPr>
              <w:br/>
              <w:t>Generátor šablon (podobně jako Ve</w:t>
            </w:r>
            <w:r>
              <w:rPr>
                <w:rFonts w:asciiTheme="minorHAnsi" w:hAnsiTheme="minorHAnsi" w:cstheme="minorHAnsi"/>
                <w:sz w:val="18"/>
                <w:szCs w:val="18"/>
              </w:rPr>
              <w:t>l</w:t>
            </w:r>
            <w:r w:rsidRPr="001D64D5">
              <w:rPr>
                <w:rFonts w:asciiTheme="minorHAnsi" w:hAnsiTheme="minorHAnsi" w:cstheme="minorHAnsi"/>
                <w:sz w:val="18"/>
                <w:szCs w:val="18"/>
              </w:rPr>
              <w:t>ký filtr) umožní do sloupců přehledu zařadit údaje třídy, na které uživatel právě stojí, a údaji ze tříd souvisejících podle relačního datového modelu Helios.</w:t>
            </w:r>
            <w:r w:rsidRPr="001D64D5">
              <w:rPr>
                <w:rFonts w:asciiTheme="minorHAnsi" w:hAnsiTheme="minorHAnsi" w:cstheme="minorHAnsi"/>
                <w:sz w:val="18"/>
                <w:szCs w:val="18"/>
              </w:rPr>
              <w:br/>
              <w:t>V Generátoru šablon lze dále nastavit součtování za vybrané dimenze, obarvení řádků při splnění definovaných podmínek nebo filtr pro výběr z</w:t>
            </w:r>
            <w:r>
              <w:rPr>
                <w:rFonts w:asciiTheme="minorHAnsi" w:hAnsiTheme="minorHAnsi" w:cstheme="minorHAnsi"/>
                <w:sz w:val="18"/>
                <w:szCs w:val="18"/>
              </w:rPr>
              <w:t>á</w:t>
            </w:r>
            <w:r w:rsidRPr="001D64D5">
              <w:rPr>
                <w:rFonts w:asciiTheme="minorHAnsi" w:hAnsiTheme="minorHAnsi" w:cstheme="minorHAnsi"/>
                <w:sz w:val="18"/>
                <w:szCs w:val="18"/>
              </w:rPr>
              <w:t>znamů, které mají být do vytvářené šablony zařazeny.</w:t>
            </w:r>
          </w:p>
        </w:tc>
      </w:tr>
      <w:tr w:rsidR="00C03AF4" w:rsidRPr="001D64D5" w14:paraId="7D66B85C" w14:textId="77777777" w:rsidTr="000F2E84">
        <w:trPr>
          <w:trHeight w:val="1800"/>
        </w:trPr>
        <w:tc>
          <w:tcPr>
            <w:tcW w:w="460" w:type="dxa"/>
            <w:tcBorders>
              <w:top w:val="nil"/>
              <w:left w:val="single" w:sz="4" w:space="0" w:color="auto"/>
              <w:bottom w:val="single" w:sz="4" w:space="0" w:color="auto"/>
              <w:right w:val="single" w:sz="4" w:space="0" w:color="auto"/>
            </w:tcBorders>
            <w:shd w:val="clear" w:color="auto" w:fill="auto"/>
            <w:hideMark/>
          </w:tcPr>
          <w:p w14:paraId="41F109C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F15</w:t>
            </w:r>
          </w:p>
        </w:tc>
        <w:tc>
          <w:tcPr>
            <w:tcW w:w="1131" w:type="dxa"/>
            <w:tcBorders>
              <w:top w:val="nil"/>
              <w:left w:val="nil"/>
              <w:bottom w:val="single" w:sz="4" w:space="0" w:color="auto"/>
              <w:right w:val="single" w:sz="4" w:space="0" w:color="auto"/>
            </w:tcBorders>
            <w:shd w:val="clear" w:color="auto" w:fill="auto"/>
            <w:hideMark/>
          </w:tcPr>
          <w:p w14:paraId="57116F2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52E25D7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Nástroje pro vytváření uživatelských pohledů na data koncovými uživateli.</w:t>
            </w:r>
          </w:p>
        </w:tc>
        <w:tc>
          <w:tcPr>
            <w:tcW w:w="993" w:type="dxa"/>
            <w:tcBorders>
              <w:top w:val="nil"/>
              <w:left w:val="nil"/>
              <w:bottom w:val="single" w:sz="4" w:space="0" w:color="auto"/>
              <w:right w:val="single" w:sz="4" w:space="0" w:color="auto"/>
            </w:tcBorders>
            <w:shd w:val="clear" w:color="auto" w:fill="auto"/>
            <w:hideMark/>
          </w:tcPr>
          <w:p w14:paraId="5129B6AA"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851765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834E41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201FC21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Jádro Helios umožní koncovému uživateli nastavit si svoje vlastní pořadí a vzhled sloupců v pořadači a toto zobrazení si uložit do tzv. pohledu. Pohled si uživatel může nastavit jako implicitní a v takovém případě se mu při každém otevření pořadače tento implicitní pohled aplikuje.</w:t>
            </w:r>
          </w:p>
        </w:tc>
      </w:tr>
      <w:tr w:rsidR="00C03AF4" w:rsidRPr="001D64D5" w14:paraId="23E373B2" w14:textId="77777777" w:rsidTr="000F2E84">
        <w:trPr>
          <w:trHeight w:val="3600"/>
        </w:trPr>
        <w:tc>
          <w:tcPr>
            <w:tcW w:w="460" w:type="dxa"/>
            <w:tcBorders>
              <w:top w:val="nil"/>
              <w:left w:val="single" w:sz="4" w:space="0" w:color="auto"/>
              <w:bottom w:val="single" w:sz="4" w:space="0" w:color="auto"/>
              <w:right w:val="single" w:sz="4" w:space="0" w:color="auto"/>
            </w:tcBorders>
            <w:shd w:val="clear" w:color="auto" w:fill="auto"/>
            <w:hideMark/>
          </w:tcPr>
          <w:p w14:paraId="68BB9BD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F16</w:t>
            </w:r>
          </w:p>
        </w:tc>
        <w:tc>
          <w:tcPr>
            <w:tcW w:w="1131" w:type="dxa"/>
            <w:tcBorders>
              <w:top w:val="nil"/>
              <w:left w:val="nil"/>
              <w:bottom w:val="single" w:sz="4" w:space="0" w:color="auto"/>
              <w:right w:val="single" w:sz="4" w:space="0" w:color="auto"/>
            </w:tcBorders>
            <w:shd w:val="clear" w:color="auto" w:fill="auto"/>
            <w:hideMark/>
          </w:tcPr>
          <w:p w14:paraId="0056F2E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22B179A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Nástroje pro uživatelsky nastavitelný vzhled a rozložení základních objektů systému na klientském uživatelském rozhraní.</w:t>
            </w:r>
          </w:p>
        </w:tc>
        <w:tc>
          <w:tcPr>
            <w:tcW w:w="993" w:type="dxa"/>
            <w:tcBorders>
              <w:top w:val="nil"/>
              <w:left w:val="nil"/>
              <w:bottom w:val="single" w:sz="4" w:space="0" w:color="auto"/>
              <w:right w:val="single" w:sz="4" w:space="0" w:color="auto"/>
            </w:tcBorders>
            <w:shd w:val="clear" w:color="auto" w:fill="auto"/>
            <w:hideMark/>
          </w:tcPr>
          <w:p w14:paraId="0D9517E6"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BC289B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1298C3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11F5F5C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Jádro Helios umožní koncovému uživateli nastavit si velikost okna, šířky sloupců a jejich pořadí na konkrétním pořadači.</w:t>
            </w:r>
            <w:r w:rsidRPr="001D64D5">
              <w:rPr>
                <w:rFonts w:asciiTheme="minorHAnsi" w:hAnsiTheme="minorHAnsi" w:cstheme="minorHAnsi"/>
                <w:sz w:val="18"/>
                <w:szCs w:val="18"/>
              </w:rPr>
              <w:br/>
              <w:t>Koncový uživatel si dále může nastavit velikosti a rozložení velikosti oddílů detailních formulářů záznamů konkrétního pořadače.</w:t>
            </w:r>
            <w:r w:rsidRPr="001D64D5">
              <w:rPr>
                <w:rFonts w:asciiTheme="minorHAnsi" w:hAnsiTheme="minorHAnsi" w:cstheme="minorHAnsi"/>
                <w:sz w:val="18"/>
                <w:szCs w:val="18"/>
              </w:rPr>
              <w:br/>
              <w:t>Koncový uživatel si může nastavit pořadí dynamických vztahů tak, aby nejčastěji používané vztahy měl nahoře. Dále si na det</w:t>
            </w:r>
            <w:r>
              <w:rPr>
                <w:rFonts w:asciiTheme="minorHAnsi" w:hAnsiTheme="minorHAnsi" w:cstheme="minorHAnsi"/>
                <w:sz w:val="18"/>
                <w:szCs w:val="18"/>
              </w:rPr>
              <w:t>a</w:t>
            </w:r>
            <w:r w:rsidRPr="001D64D5">
              <w:rPr>
                <w:rFonts w:asciiTheme="minorHAnsi" w:hAnsiTheme="minorHAnsi" w:cstheme="minorHAnsi"/>
                <w:sz w:val="18"/>
                <w:szCs w:val="18"/>
              </w:rPr>
              <w:t>i</w:t>
            </w:r>
            <w:r>
              <w:rPr>
                <w:rFonts w:asciiTheme="minorHAnsi" w:hAnsiTheme="minorHAnsi" w:cstheme="minorHAnsi"/>
                <w:sz w:val="18"/>
                <w:szCs w:val="18"/>
              </w:rPr>
              <w:t>l</w:t>
            </w:r>
            <w:r w:rsidRPr="001D64D5">
              <w:rPr>
                <w:rFonts w:asciiTheme="minorHAnsi" w:hAnsiTheme="minorHAnsi" w:cstheme="minorHAnsi"/>
                <w:sz w:val="18"/>
                <w:szCs w:val="18"/>
              </w:rPr>
              <w:t>ním formuláři záznamu může nastav</w:t>
            </w:r>
            <w:r>
              <w:rPr>
                <w:rFonts w:asciiTheme="minorHAnsi" w:hAnsiTheme="minorHAnsi" w:cstheme="minorHAnsi"/>
                <w:sz w:val="18"/>
                <w:szCs w:val="18"/>
              </w:rPr>
              <w:t>i</w:t>
            </w:r>
            <w:r w:rsidRPr="001D64D5">
              <w:rPr>
                <w:rFonts w:asciiTheme="minorHAnsi" w:hAnsiTheme="minorHAnsi" w:cstheme="minorHAnsi"/>
                <w:sz w:val="18"/>
                <w:szCs w:val="18"/>
              </w:rPr>
              <w:t>t tzv. Záložky, ve kterých se mu pak zobrazují záznamy související třídy (např. záznamy z Účetního deníku na FD).</w:t>
            </w:r>
          </w:p>
        </w:tc>
      </w:tr>
      <w:tr w:rsidR="00C03AF4" w:rsidRPr="001D64D5" w14:paraId="42231B34" w14:textId="77777777" w:rsidTr="000F2E84">
        <w:trPr>
          <w:trHeight w:val="2400"/>
        </w:trPr>
        <w:tc>
          <w:tcPr>
            <w:tcW w:w="460" w:type="dxa"/>
            <w:tcBorders>
              <w:top w:val="nil"/>
              <w:left w:val="single" w:sz="4" w:space="0" w:color="auto"/>
              <w:bottom w:val="single" w:sz="4" w:space="0" w:color="auto"/>
              <w:right w:val="single" w:sz="4" w:space="0" w:color="auto"/>
            </w:tcBorders>
            <w:shd w:val="clear" w:color="auto" w:fill="auto"/>
            <w:hideMark/>
          </w:tcPr>
          <w:p w14:paraId="67DA2C4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F17</w:t>
            </w:r>
          </w:p>
        </w:tc>
        <w:tc>
          <w:tcPr>
            <w:tcW w:w="1131" w:type="dxa"/>
            <w:tcBorders>
              <w:top w:val="nil"/>
              <w:left w:val="nil"/>
              <w:bottom w:val="single" w:sz="4" w:space="0" w:color="auto"/>
              <w:right w:val="single" w:sz="4" w:space="0" w:color="auto"/>
            </w:tcBorders>
            <w:shd w:val="clear" w:color="auto" w:fill="auto"/>
            <w:hideMark/>
          </w:tcPr>
          <w:p w14:paraId="37E2B8D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0FD9669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Správcovské nástroje pro nastavení specifických kontrol ukládaných dat s cílem zabránit chybnému zadání důležitých údajů.</w:t>
            </w:r>
          </w:p>
        </w:tc>
        <w:tc>
          <w:tcPr>
            <w:tcW w:w="993" w:type="dxa"/>
            <w:tcBorders>
              <w:top w:val="nil"/>
              <w:left w:val="nil"/>
              <w:bottom w:val="single" w:sz="4" w:space="0" w:color="auto"/>
              <w:right w:val="single" w:sz="4" w:space="0" w:color="auto"/>
            </w:tcBorders>
            <w:shd w:val="clear" w:color="auto" w:fill="auto"/>
            <w:hideMark/>
          </w:tcPr>
          <w:p w14:paraId="2241BD4C"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F07CB8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918A9E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4239E56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Sprá</w:t>
            </w:r>
            <w:r>
              <w:rPr>
                <w:rFonts w:asciiTheme="minorHAnsi" w:hAnsiTheme="minorHAnsi" w:cstheme="minorHAnsi"/>
                <w:sz w:val="18"/>
                <w:szCs w:val="18"/>
              </w:rPr>
              <w:t>v</w:t>
            </w:r>
            <w:r w:rsidRPr="001D64D5">
              <w:rPr>
                <w:rFonts w:asciiTheme="minorHAnsi" w:hAnsiTheme="minorHAnsi" w:cstheme="minorHAnsi"/>
                <w:sz w:val="18"/>
                <w:szCs w:val="18"/>
              </w:rPr>
              <w:t>ce systému může k nastavení kontrol důležitých údajů použít Integritní omezení. V integritním omezení může nastavit povinnost vyplnění údaje, případně další omezení na obsah údaje. Integritní omezení může uživateli zabránit uložit chybný obsah nebo ho může jen před uložení varovat.</w:t>
            </w:r>
            <w:r w:rsidRPr="001D64D5">
              <w:rPr>
                <w:rFonts w:asciiTheme="minorHAnsi" w:hAnsiTheme="minorHAnsi" w:cstheme="minorHAnsi"/>
                <w:sz w:val="18"/>
                <w:szCs w:val="18"/>
              </w:rPr>
              <w:br/>
              <w:t>Pro komplexnější kontroly obsahu klíčových údajů je k dispozici robustnější správcovský nástroj Extender.</w:t>
            </w:r>
          </w:p>
        </w:tc>
      </w:tr>
      <w:tr w:rsidR="00C03AF4" w:rsidRPr="001D64D5" w14:paraId="074B7DAC" w14:textId="77777777" w:rsidTr="000F2E84">
        <w:trPr>
          <w:trHeight w:val="3600"/>
        </w:trPr>
        <w:tc>
          <w:tcPr>
            <w:tcW w:w="460" w:type="dxa"/>
            <w:tcBorders>
              <w:top w:val="nil"/>
              <w:left w:val="single" w:sz="4" w:space="0" w:color="auto"/>
              <w:bottom w:val="single" w:sz="4" w:space="0" w:color="auto"/>
              <w:right w:val="single" w:sz="4" w:space="0" w:color="auto"/>
            </w:tcBorders>
            <w:shd w:val="clear" w:color="auto" w:fill="auto"/>
            <w:hideMark/>
          </w:tcPr>
          <w:p w14:paraId="57D771D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F18</w:t>
            </w:r>
          </w:p>
        </w:tc>
        <w:tc>
          <w:tcPr>
            <w:tcW w:w="1131" w:type="dxa"/>
            <w:tcBorders>
              <w:top w:val="nil"/>
              <w:left w:val="nil"/>
              <w:bottom w:val="single" w:sz="4" w:space="0" w:color="auto"/>
              <w:right w:val="single" w:sz="4" w:space="0" w:color="auto"/>
            </w:tcBorders>
            <w:shd w:val="clear" w:color="auto" w:fill="auto"/>
            <w:hideMark/>
          </w:tcPr>
          <w:p w14:paraId="7F37C1D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1914226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Exporty dat a množin vybraných záznamů do MS Office jako standardní vlastnost systému, ale chráněná nastavením uživatelský práv.</w:t>
            </w:r>
          </w:p>
        </w:tc>
        <w:tc>
          <w:tcPr>
            <w:tcW w:w="993" w:type="dxa"/>
            <w:tcBorders>
              <w:top w:val="nil"/>
              <w:left w:val="nil"/>
              <w:bottom w:val="single" w:sz="4" w:space="0" w:color="auto"/>
              <w:right w:val="single" w:sz="4" w:space="0" w:color="auto"/>
            </w:tcBorders>
            <w:shd w:val="clear" w:color="auto" w:fill="auto"/>
            <w:hideMark/>
          </w:tcPr>
          <w:p w14:paraId="3479C12F"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DF4FF2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AECE47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6D0581A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Helios standardně podporuje exporty dat. Nejčastěji používaným způsobem je export dat do prostředí MS Excel. K tomu slouží jednak funkce Export dat do souboru a jednak je možné data přenést jednoduše po označení záznamů v Helios Green stiskem kláves CTR+C a Ctrl+V.</w:t>
            </w:r>
            <w:r w:rsidRPr="001D64D5">
              <w:rPr>
                <w:rFonts w:asciiTheme="minorHAnsi" w:hAnsiTheme="minorHAnsi" w:cstheme="minorHAnsi"/>
                <w:sz w:val="18"/>
                <w:szCs w:val="18"/>
              </w:rPr>
              <w:br/>
              <w:t>Standardní exportní formáty jsou: XML, Excel (do verze 2003 a od verze 2010), text, CSV, DBF4.</w:t>
            </w:r>
            <w:r w:rsidRPr="001D64D5">
              <w:rPr>
                <w:rFonts w:asciiTheme="minorHAnsi" w:hAnsiTheme="minorHAnsi" w:cstheme="minorHAnsi"/>
                <w:sz w:val="18"/>
                <w:szCs w:val="18"/>
              </w:rPr>
              <w:br/>
              <w:t>Zakázkově lze řešit propojení s MS Project = není součástí této nabídky.</w:t>
            </w:r>
            <w:r w:rsidRPr="001D64D5">
              <w:rPr>
                <w:rFonts w:asciiTheme="minorHAnsi" w:hAnsiTheme="minorHAnsi" w:cstheme="minorHAnsi"/>
                <w:sz w:val="18"/>
                <w:szCs w:val="18"/>
              </w:rPr>
              <w:br/>
              <w:t>Na funkce exportu dat do MS Office lze nastavit ochranu uživatelskými právy.</w:t>
            </w:r>
          </w:p>
        </w:tc>
      </w:tr>
      <w:tr w:rsidR="00C03AF4" w:rsidRPr="001D64D5" w14:paraId="53740A2B" w14:textId="77777777" w:rsidTr="000F2E84">
        <w:trPr>
          <w:trHeight w:val="3900"/>
        </w:trPr>
        <w:tc>
          <w:tcPr>
            <w:tcW w:w="460" w:type="dxa"/>
            <w:tcBorders>
              <w:top w:val="nil"/>
              <w:left w:val="single" w:sz="4" w:space="0" w:color="auto"/>
              <w:bottom w:val="single" w:sz="4" w:space="0" w:color="auto"/>
              <w:right w:val="single" w:sz="4" w:space="0" w:color="auto"/>
            </w:tcBorders>
            <w:shd w:val="clear" w:color="auto" w:fill="auto"/>
            <w:hideMark/>
          </w:tcPr>
          <w:p w14:paraId="7620E42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F19</w:t>
            </w:r>
          </w:p>
        </w:tc>
        <w:tc>
          <w:tcPr>
            <w:tcW w:w="1131" w:type="dxa"/>
            <w:tcBorders>
              <w:top w:val="nil"/>
              <w:left w:val="nil"/>
              <w:bottom w:val="single" w:sz="4" w:space="0" w:color="auto"/>
              <w:right w:val="single" w:sz="4" w:space="0" w:color="auto"/>
            </w:tcBorders>
            <w:shd w:val="clear" w:color="auto" w:fill="auto"/>
            <w:hideMark/>
          </w:tcPr>
          <w:p w14:paraId="66DDC6F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6526FC6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Správcovský nástroj pro tvorbu a formátování výstupních šablon vzorů výstupů nad jednotlivými záznamy či přehledy.</w:t>
            </w:r>
          </w:p>
        </w:tc>
        <w:tc>
          <w:tcPr>
            <w:tcW w:w="993" w:type="dxa"/>
            <w:tcBorders>
              <w:top w:val="nil"/>
              <w:left w:val="nil"/>
              <w:bottom w:val="single" w:sz="4" w:space="0" w:color="auto"/>
              <w:right w:val="single" w:sz="4" w:space="0" w:color="auto"/>
            </w:tcBorders>
            <w:shd w:val="clear" w:color="auto" w:fill="auto"/>
            <w:hideMark/>
          </w:tcPr>
          <w:p w14:paraId="23AE9D64"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CD8DD3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26AB89A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1DCCC37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V Helios se pro tvo</w:t>
            </w:r>
            <w:r>
              <w:rPr>
                <w:rFonts w:asciiTheme="minorHAnsi" w:hAnsiTheme="minorHAnsi" w:cstheme="minorHAnsi"/>
                <w:sz w:val="18"/>
                <w:szCs w:val="18"/>
              </w:rPr>
              <w:t>r</w:t>
            </w:r>
            <w:r w:rsidRPr="001D64D5">
              <w:rPr>
                <w:rFonts w:asciiTheme="minorHAnsi" w:hAnsiTheme="minorHAnsi" w:cstheme="minorHAnsi"/>
                <w:sz w:val="18"/>
                <w:szCs w:val="18"/>
              </w:rPr>
              <w:t xml:space="preserve">bu formulářových tiskových šablon používá nástroj Infomaker. V Infomaker lze vytvářet tiskové šablony podle individuálních potřeb zákazníka. Šablony obvykle vytváří na základě zadání k tomu vyškolený konzultant. Důvodem je vyšší produktivita, zejména na základě znalosti datovém modelu Helios. </w:t>
            </w:r>
            <w:r>
              <w:rPr>
                <w:rFonts w:asciiTheme="minorHAnsi" w:hAnsiTheme="minorHAnsi" w:cstheme="minorHAnsi"/>
                <w:sz w:val="18"/>
                <w:szCs w:val="18"/>
              </w:rPr>
              <w:t>Z</w:t>
            </w:r>
            <w:r w:rsidRPr="001D64D5">
              <w:rPr>
                <w:rFonts w:asciiTheme="minorHAnsi" w:hAnsiTheme="minorHAnsi" w:cstheme="minorHAnsi"/>
                <w:sz w:val="18"/>
                <w:szCs w:val="18"/>
              </w:rPr>
              <w:t>kušenější</w:t>
            </w:r>
            <w:r>
              <w:rPr>
                <w:rFonts w:asciiTheme="minorHAnsi" w:hAnsiTheme="minorHAnsi" w:cstheme="minorHAnsi"/>
                <w:sz w:val="18"/>
                <w:szCs w:val="18"/>
              </w:rPr>
              <w:t xml:space="preserve"> </w:t>
            </w:r>
            <w:r w:rsidRPr="001D64D5">
              <w:rPr>
                <w:rFonts w:asciiTheme="minorHAnsi" w:hAnsiTheme="minorHAnsi" w:cstheme="minorHAnsi"/>
                <w:sz w:val="18"/>
                <w:szCs w:val="18"/>
              </w:rPr>
              <w:t>správce po nějaké době práce s Helios může být v používání Infomaker vyškolen.</w:t>
            </w:r>
            <w:r w:rsidRPr="001D64D5">
              <w:rPr>
                <w:rFonts w:asciiTheme="minorHAnsi" w:hAnsiTheme="minorHAnsi" w:cstheme="minorHAnsi"/>
                <w:sz w:val="18"/>
                <w:szCs w:val="18"/>
              </w:rPr>
              <w:br/>
              <w:t>Součástí nabídky je dodávka 40 přehl</w:t>
            </w:r>
            <w:r>
              <w:rPr>
                <w:rFonts w:asciiTheme="minorHAnsi" w:hAnsiTheme="minorHAnsi" w:cstheme="minorHAnsi"/>
                <w:sz w:val="18"/>
                <w:szCs w:val="18"/>
              </w:rPr>
              <w:t>e</w:t>
            </w:r>
            <w:r w:rsidRPr="001D64D5">
              <w:rPr>
                <w:rFonts w:asciiTheme="minorHAnsi" w:hAnsiTheme="minorHAnsi" w:cstheme="minorHAnsi"/>
                <w:sz w:val="18"/>
                <w:szCs w:val="18"/>
              </w:rPr>
              <w:t>dových šablon pro zákazníky technických služeb a vytvoření dalších 10 přehledových a 10 formulářových zakázkových šablon.</w:t>
            </w:r>
          </w:p>
        </w:tc>
      </w:tr>
      <w:tr w:rsidR="00C03AF4" w:rsidRPr="001D64D5" w14:paraId="7B76AAAF" w14:textId="77777777" w:rsidTr="000F2E84">
        <w:trPr>
          <w:trHeight w:val="2700"/>
        </w:trPr>
        <w:tc>
          <w:tcPr>
            <w:tcW w:w="460" w:type="dxa"/>
            <w:tcBorders>
              <w:top w:val="nil"/>
              <w:left w:val="single" w:sz="4" w:space="0" w:color="auto"/>
              <w:bottom w:val="single" w:sz="4" w:space="0" w:color="auto"/>
              <w:right w:val="single" w:sz="4" w:space="0" w:color="auto"/>
            </w:tcBorders>
            <w:shd w:val="clear" w:color="auto" w:fill="auto"/>
            <w:hideMark/>
          </w:tcPr>
          <w:p w14:paraId="25B6EE3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F20</w:t>
            </w:r>
          </w:p>
        </w:tc>
        <w:tc>
          <w:tcPr>
            <w:tcW w:w="1131" w:type="dxa"/>
            <w:tcBorders>
              <w:top w:val="nil"/>
              <w:left w:val="nil"/>
              <w:bottom w:val="single" w:sz="4" w:space="0" w:color="auto"/>
              <w:right w:val="single" w:sz="4" w:space="0" w:color="auto"/>
            </w:tcBorders>
            <w:shd w:val="clear" w:color="auto" w:fill="auto"/>
            <w:hideMark/>
          </w:tcPr>
          <w:p w14:paraId="75DD583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478F3F6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Systém musí umožňovat uživatelské či administrátorské nastavování číselníků pro jednotlivé moduly a činnosti.</w:t>
            </w:r>
          </w:p>
        </w:tc>
        <w:tc>
          <w:tcPr>
            <w:tcW w:w="993" w:type="dxa"/>
            <w:tcBorders>
              <w:top w:val="nil"/>
              <w:left w:val="nil"/>
              <w:bottom w:val="single" w:sz="4" w:space="0" w:color="auto"/>
              <w:right w:val="single" w:sz="4" w:space="0" w:color="auto"/>
            </w:tcBorders>
            <w:shd w:val="clear" w:color="auto" w:fill="auto"/>
            <w:hideMark/>
          </w:tcPr>
          <w:p w14:paraId="5D813102"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041EF9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3C917A3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3409EA8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Součástí standardu Helios je množina číselníků. V případě, že zakázka vyžaduje použití specifických zakázkových číselníků, lze je vytvořit prostřednictvím správy systému a navázat je na požadované třídy do tzv. dynamických nebo statických vztahů.</w:t>
            </w:r>
            <w:r w:rsidRPr="001D64D5">
              <w:rPr>
                <w:rFonts w:asciiTheme="minorHAnsi" w:hAnsiTheme="minorHAnsi" w:cstheme="minorHAnsi"/>
                <w:sz w:val="18"/>
                <w:szCs w:val="18"/>
              </w:rPr>
              <w:br/>
              <w:t>Správa obsahu číselníků je v rukou oprávněného uživatel (podle nastavení uživatelských práv).</w:t>
            </w:r>
            <w:r w:rsidRPr="001D64D5">
              <w:rPr>
                <w:rFonts w:asciiTheme="minorHAnsi" w:hAnsiTheme="minorHAnsi" w:cstheme="minorHAnsi"/>
                <w:sz w:val="18"/>
                <w:szCs w:val="18"/>
              </w:rPr>
              <w:br/>
              <w:t>Součástí dodávky je nastavení číselníků provozních a účetních dimenzí v rozsahu podle ZD.</w:t>
            </w:r>
          </w:p>
        </w:tc>
      </w:tr>
      <w:tr w:rsidR="00C03AF4" w:rsidRPr="001D64D5" w14:paraId="6BFA24CD" w14:textId="77777777" w:rsidTr="000F2E84">
        <w:trPr>
          <w:trHeight w:val="1200"/>
        </w:trPr>
        <w:tc>
          <w:tcPr>
            <w:tcW w:w="460" w:type="dxa"/>
            <w:tcBorders>
              <w:top w:val="nil"/>
              <w:left w:val="single" w:sz="4" w:space="0" w:color="auto"/>
              <w:bottom w:val="single" w:sz="4" w:space="0" w:color="auto"/>
              <w:right w:val="single" w:sz="4" w:space="0" w:color="auto"/>
            </w:tcBorders>
            <w:shd w:val="clear" w:color="auto" w:fill="auto"/>
            <w:hideMark/>
          </w:tcPr>
          <w:p w14:paraId="127EE88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F21</w:t>
            </w:r>
          </w:p>
        </w:tc>
        <w:tc>
          <w:tcPr>
            <w:tcW w:w="1131" w:type="dxa"/>
            <w:tcBorders>
              <w:top w:val="nil"/>
              <w:left w:val="nil"/>
              <w:bottom w:val="single" w:sz="4" w:space="0" w:color="auto"/>
              <w:right w:val="single" w:sz="4" w:space="0" w:color="auto"/>
            </w:tcBorders>
            <w:shd w:val="clear" w:color="auto" w:fill="auto"/>
            <w:hideMark/>
          </w:tcPr>
          <w:p w14:paraId="29AB145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Integrace s okolím</w:t>
            </w:r>
          </w:p>
        </w:tc>
        <w:tc>
          <w:tcPr>
            <w:tcW w:w="2373" w:type="dxa"/>
            <w:tcBorders>
              <w:top w:val="nil"/>
              <w:left w:val="nil"/>
              <w:bottom w:val="single" w:sz="4" w:space="0" w:color="auto"/>
              <w:right w:val="single" w:sz="4" w:space="0" w:color="auto"/>
            </w:tcBorders>
            <w:shd w:val="clear" w:color="auto" w:fill="auto"/>
            <w:hideMark/>
          </w:tcPr>
          <w:p w14:paraId="233898F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Nabyvatel bude považovat za výhodu, pokud nabízený systém bude disponovat schopností odesílat uživatelem vybrané záznamy elektronickou poštou.</w:t>
            </w:r>
          </w:p>
        </w:tc>
        <w:tc>
          <w:tcPr>
            <w:tcW w:w="993" w:type="dxa"/>
            <w:tcBorders>
              <w:top w:val="nil"/>
              <w:left w:val="nil"/>
              <w:bottom w:val="single" w:sz="4" w:space="0" w:color="auto"/>
              <w:right w:val="single" w:sz="4" w:space="0" w:color="auto"/>
            </w:tcBorders>
            <w:shd w:val="clear" w:color="auto" w:fill="auto"/>
            <w:hideMark/>
          </w:tcPr>
          <w:p w14:paraId="4D50EE28"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4CD57B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44ABB40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0A25ECC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Jádro systému je napojené na MS Office prostřednictví pruginu. Je tak v celém systému k dispozici i funkčnost pro odesílání uživatelem vybraných záznamů elektronickou poštou.</w:t>
            </w:r>
          </w:p>
        </w:tc>
      </w:tr>
      <w:tr w:rsidR="00C03AF4" w:rsidRPr="001D64D5" w14:paraId="01B67BA6" w14:textId="77777777" w:rsidTr="000F2E84">
        <w:trPr>
          <w:trHeight w:val="2100"/>
        </w:trPr>
        <w:tc>
          <w:tcPr>
            <w:tcW w:w="460" w:type="dxa"/>
            <w:tcBorders>
              <w:top w:val="nil"/>
              <w:left w:val="single" w:sz="4" w:space="0" w:color="auto"/>
              <w:bottom w:val="single" w:sz="4" w:space="0" w:color="auto"/>
              <w:right w:val="single" w:sz="4" w:space="0" w:color="auto"/>
            </w:tcBorders>
            <w:shd w:val="clear" w:color="auto" w:fill="auto"/>
            <w:hideMark/>
          </w:tcPr>
          <w:p w14:paraId="7662AC6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F22</w:t>
            </w:r>
          </w:p>
        </w:tc>
        <w:tc>
          <w:tcPr>
            <w:tcW w:w="1131" w:type="dxa"/>
            <w:tcBorders>
              <w:top w:val="nil"/>
              <w:left w:val="nil"/>
              <w:bottom w:val="single" w:sz="4" w:space="0" w:color="auto"/>
              <w:right w:val="single" w:sz="4" w:space="0" w:color="auto"/>
            </w:tcBorders>
            <w:shd w:val="clear" w:color="auto" w:fill="auto"/>
            <w:hideMark/>
          </w:tcPr>
          <w:p w14:paraId="427BF24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2809B2E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Zadavatel požaduje, aby systém byl datově kompatabilní se systémem Města Pelhřimov (Hellios Orange - FENIX). To znamená nejméně v oblasti výměny zpráv s účetními výkazy.</w:t>
            </w:r>
          </w:p>
        </w:tc>
        <w:tc>
          <w:tcPr>
            <w:tcW w:w="993" w:type="dxa"/>
            <w:tcBorders>
              <w:top w:val="nil"/>
              <w:left w:val="nil"/>
              <w:bottom w:val="single" w:sz="4" w:space="0" w:color="auto"/>
              <w:right w:val="single" w:sz="4" w:space="0" w:color="auto"/>
            </w:tcBorders>
            <w:shd w:val="clear" w:color="auto" w:fill="auto"/>
            <w:hideMark/>
          </w:tcPr>
          <w:p w14:paraId="17213B76"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0F2D4C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2EDA28B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0257E9F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Systém Helios je datově kompatibilní se systémem Fenix, který používá Město Pelhřimov. Dodavatel garantuje, že Helios bude kompatibilní také s nástupce systému Fenix.</w:t>
            </w:r>
            <w:r w:rsidRPr="001D64D5">
              <w:rPr>
                <w:rFonts w:asciiTheme="minorHAnsi" w:hAnsiTheme="minorHAnsi" w:cstheme="minorHAnsi"/>
                <w:sz w:val="18"/>
                <w:szCs w:val="18"/>
              </w:rPr>
              <w:br/>
              <w:t>Pro odesílání zpráv s účetními výkazy se v Helios požívá modul Integrované výkaznictví. Zprávy s výkazy jsou plně kompat</w:t>
            </w:r>
            <w:r>
              <w:rPr>
                <w:rFonts w:asciiTheme="minorHAnsi" w:hAnsiTheme="minorHAnsi" w:cstheme="minorHAnsi"/>
                <w:sz w:val="18"/>
                <w:szCs w:val="18"/>
              </w:rPr>
              <w:t>i</w:t>
            </w:r>
            <w:r w:rsidRPr="001D64D5">
              <w:rPr>
                <w:rFonts w:asciiTheme="minorHAnsi" w:hAnsiTheme="minorHAnsi" w:cstheme="minorHAnsi"/>
                <w:sz w:val="18"/>
                <w:szCs w:val="18"/>
              </w:rPr>
              <w:t>bilní s požadavky CSUIS.</w:t>
            </w:r>
          </w:p>
        </w:tc>
      </w:tr>
      <w:tr w:rsidR="00C03AF4" w:rsidRPr="001D64D5" w14:paraId="06F8BE27" w14:textId="77777777" w:rsidTr="000F2E84">
        <w:trPr>
          <w:trHeight w:val="3300"/>
        </w:trPr>
        <w:tc>
          <w:tcPr>
            <w:tcW w:w="460" w:type="dxa"/>
            <w:tcBorders>
              <w:top w:val="nil"/>
              <w:left w:val="single" w:sz="4" w:space="0" w:color="auto"/>
              <w:bottom w:val="single" w:sz="4" w:space="0" w:color="auto"/>
              <w:right w:val="single" w:sz="4" w:space="0" w:color="auto"/>
            </w:tcBorders>
            <w:shd w:val="clear" w:color="auto" w:fill="auto"/>
            <w:hideMark/>
          </w:tcPr>
          <w:p w14:paraId="50B2528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F23</w:t>
            </w:r>
          </w:p>
        </w:tc>
        <w:tc>
          <w:tcPr>
            <w:tcW w:w="1131" w:type="dxa"/>
            <w:tcBorders>
              <w:top w:val="nil"/>
              <w:left w:val="nil"/>
              <w:bottom w:val="single" w:sz="4" w:space="0" w:color="auto"/>
              <w:right w:val="single" w:sz="4" w:space="0" w:color="auto"/>
            </w:tcBorders>
            <w:shd w:val="clear" w:color="auto" w:fill="auto"/>
            <w:hideMark/>
          </w:tcPr>
          <w:p w14:paraId="6414802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0185CB3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Pokročilé nástroje pro elektronickou výměnu zpráv s okolím, včetně elektronického vystavování a přijímání daňových dokladů. Nabyvatel požaduje, aby nabízený systém pracoval na rozhraní s XML formátem zpráv se standardem ISDOC.</w:t>
            </w:r>
          </w:p>
        </w:tc>
        <w:tc>
          <w:tcPr>
            <w:tcW w:w="993" w:type="dxa"/>
            <w:tcBorders>
              <w:top w:val="nil"/>
              <w:left w:val="nil"/>
              <w:bottom w:val="single" w:sz="4" w:space="0" w:color="auto"/>
              <w:right w:val="single" w:sz="4" w:space="0" w:color="auto"/>
            </w:tcBorders>
            <w:shd w:val="clear" w:color="auto" w:fill="auto"/>
            <w:hideMark/>
          </w:tcPr>
          <w:p w14:paraId="04D29FEE"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F4E2CD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151B7FC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5B026C1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V Helios je integrováno rozhraní pro ISDOC (Information System Document) = jednotný formát pro elektronickou fakturaci, k jehož podpoře se zavázali všichni velcí výrobci informačních systémů v ČR v rámci sdružení SPIS.</w:t>
            </w:r>
            <w:r w:rsidRPr="001D64D5">
              <w:rPr>
                <w:rFonts w:asciiTheme="minorHAnsi" w:hAnsiTheme="minorHAnsi" w:cstheme="minorHAnsi"/>
                <w:sz w:val="18"/>
                <w:szCs w:val="18"/>
              </w:rPr>
              <w:br/>
              <w:t>XML formát je základním formátem pro výměny dat mezi Helios a jeho okolím. Integrální součástí Helios je také třída Transformace XML zpráv, která obsahuje seznam všech transformací (buď pomocí XSLT, nebo pomocí funkce), které je možné uskutečnit při Offline exportu/importu.</w:t>
            </w:r>
          </w:p>
        </w:tc>
      </w:tr>
      <w:tr w:rsidR="00C03AF4" w:rsidRPr="001D64D5" w14:paraId="0A4AF07D" w14:textId="77777777" w:rsidTr="000F2E84">
        <w:trPr>
          <w:trHeight w:val="2100"/>
        </w:trPr>
        <w:tc>
          <w:tcPr>
            <w:tcW w:w="460" w:type="dxa"/>
            <w:tcBorders>
              <w:top w:val="nil"/>
              <w:left w:val="single" w:sz="4" w:space="0" w:color="auto"/>
              <w:bottom w:val="single" w:sz="4" w:space="0" w:color="auto"/>
              <w:right w:val="single" w:sz="4" w:space="0" w:color="auto"/>
            </w:tcBorders>
            <w:shd w:val="clear" w:color="auto" w:fill="auto"/>
            <w:hideMark/>
          </w:tcPr>
          <w:p w14:paraId="0FA3A49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F24</w:t>
            </w:r>
          </w:p>
        </w:tc>
        <w:tc>
          <w:tcPr>
            <w:tcW w:w="1131" w:type="dxa"/>
            <w:tcBorders>
              <w:top w:val="nil"/>
              <w:left w:val="nil"/>
              <w:bottom w:val="single" w:sz="4" w:space="0" w:color="auto"/>
              <w:right w:val="single" w:sz="4" w:space="0" w:color="auto"/>
            </w:tcBorders>
            <w:shd w:val="clear" w:color="auto" w:fill="auto"/>
            <w:hideMark/>
          </w:tcPr>
          <w:p w14:paraId="13EE77E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3E7A5EC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Možnost nastavení zabezpečené komunikace s portály veřejné správy.</w:t>
            </w:r>
          </w:p>
        </w:tc>
        <w:tc>
          <w:tcPr>
            <w:tcW w:w="993" w:type="dxa"/>
            <w:tcBorders>
              <w:top w:val="nil"/>
              <w:left w:val="nil"/>
              <w:bottom w:val="single" w:sz="4" w:space="0" w:color="auto"/>
              <w:right w:val="single" w:sz="4" w:space="0" w:color="auto"/>
            </w:tcBorders>
            <w:shd w:val="clear" w:color="auto" w:fill="auto"/>
            <w:hideMark/>
          </w:tcPr>
          <w:p w14:paraId="77923F1F"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08C71C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6F5161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635D386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Systém Helios disponuje funkčnostmi, které umožňují elektronickou komunikaci s portály jednotlivých institucí státní správy. Ve standardu Helios je podpora pro zprávy, které se předávají vybraným institucím (Přiznání DPH nebo Přenesená daňová povinnost vůči Finančnímu úřadu nebo Přihlášky a Odhlášky a ELDP vůči ČSSZ).</w:t>
            </w:r>
          </w:p>
        </w:tc>
      </w:tr>
      <w:tr w:rsidR="00C03AF4" w:rsidRPr="001D64D5" w14:paraId="128F9F38" w14:textId="77777777" w:rsidTr="000F2E84">
        <w:trPr>
          <w:trHeight w:val="900"/>
        </w:trPr>
        <w:tc>
          <w:tcPr>
            <w:tcW w:w="460" w:type="dxa"/>
            <w:tcBorders>
              <w:top w:val="nil"/>
              <w:left w:val="single" w:sz="4" w:space="0" w:color="auto"/>
              <w:bottom w:val="single" w:sz="4" w:space="0" w:color="auto"/>
              <w:right w:val="single" w:sz="4" w:space="0" w:color="auto"/>
            </w:tcBorders>
            <w:shd w:val="clear" w:color="auto" w:fill="auto"/>
            <w:hideMark/>
          </w:tcPr>
          <w:p w14:paraId="77F8B00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F25</w:t>
            </w:r>
          </w:p>
        </w:tc>
        <w:tc>
          <w:tcPr>
            <w:tcW w:w="1131" w:type="dxa"/>
            <w:tcBorders>
              <w:top w:val="nil"/>
              <w:left w:val="nil"/>
              <w:bottom w:val="single" w:sz="4" w:space="0" w:color="auto"/>
              <w:right w:val="single" w:sz="4" w:space="0" w:color="auto"/>
            </w:tcBorders>
            <w:shd w:val="clear" w:color="auto" w:fill="auto"/>
            <w:hideMark/>
          </w:tcPr>
          <w:p w14:paraId="1A867E8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34B09D2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Export výstupních sestav do xls, pdf a html</w:t>
            </w:r>
          </w:p>
        </w:tc>
        <w:tc>
          <w:tcPr>
            <w:tcW w:w="993" w:type="dxa"/>
            <w:tcBorders>
              <w:top w:val="nil"/>
              <w:left w:val="nil"/>
              <w:bottom w:val="single" w:sz="4" w:space="0" w:color="auto"/>
              <w:right w:val="single" w:sz="4" w:space="0" w:color="auto"/>
            </w:tcBorders>
            <w:shd w:val="clear" w:color="auto" w:fill="auto"/>
            <w:hideMark/>
          </w:tcPr>
          <w:p w14:paraId="76894C56"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C426C6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B45EB0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7455970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Helios je propojen s MS Office prostřednictví plugin. Lze ta exportovat všechny výstupy (ša</w:t>
            </w:r>
            <w:r>
              <w:rPr>
                <w:rFonts w:asciiTheme="minorHAnsi" w:hAnsiTheme="minorHAnsi" w:cstheme="minorHAnsi"/>
                <w:sz w:val="18"/>
                <w:szCs w:val="18"/>
              </w:rPr>
              <w:t>b</w:t>
            </w:r>
            <w:r w:rsidRPr="001D64D5">
              <w:rPr>
                <w:rFonts w:asciiTheme="minorHAnsi" w:hAnsiTheme="minorHAnsi" w:cstheme="minorHAnsi"/>
                <w:sz w:val="18"/>
                <w:szCs w:val="18"/>
              </w:rPr>
              <w:t>lony) do formátů xlsx, Docx, pdf/a, případně do html</w:t>
            </w:r>
          </w:p>
        </w:tc>
      </w:tr>
      <w:tr w:rsidR="00C03AF4" w:rsidRPr="001D64D5" w14:paraId="644677A2" w14:textId="77777777" w:rsidTr="000F2E84">
        <w:trPr>
          <w:trHeight w:val="1800"/>
        </w:trPr>
        <w:tc>
          <w:tcPr>
            <w:tcW w:w="460" w:type="dxa"/>
            <w:tcBorders>
              <w:top w:val="nil"/>
              <w:left w:val="single" w:sz="4" w:space="0" w:color="auto"/>
              <w:bottom w:val="single" w:sz="4" w:space="0" w:color="auto"/>
              <w:right w:val="single" w:sz="4" w:space="0" w:color="auto"/>
            </w:tcBorders>
            <w:shd w:val="clear" w:color="auto" w:fill="auto"/>
            <w:hideMark/>
          </w:tcPr>
          <w:p w14:paraId="2ADBD95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F26</w:t>
            </w:r>
          </w:p>
        </w:tc>
        <w:tc>
          <w:tcPr>
            <w:tcW w:w="1131" w:type="dxa"/>
            <w:tcBorders>
              <w:top w:val="nil"/>
              <w:left w:val="nil"/>
              <w:bottom w:val="single" w:sz="4" w:space="0" w:color="auto"/>
              <w:right w:val="single" w:sz="4" w:space="0" w:color="auto"/>
            </w:tcBorders>
            <w:shd w:val="clear" w:color="auto" w:fill="auto"/>
            <w:hideMark/>
          </w:tcPr>
          <w:p w14:paraId="4F2CFE8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0C2E1FF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Navržené řešení umožní vytvářet odkazy na externí dokumenty, které budou uloženy v definovaném úložišti, a tyto dokumenty otevřít poklikem přímo ze systému.</w:t>
            </w:r>
          </w:p>
        </w:tc>
        <w:tc>
          <w:tcPr>
            <w:tcW w:w="993" w:type="dxa"/>
            <w:tcBorders>
              <w:top w:val="nil"/>
              <w:left w:val="nil"/>
              <w:bottom w:val="single" w:sz="4" w:space="0" w:color="auto"/>
              <w:right w:val="single" w:sz="4" w:space="0" w:color="auto"/>
            </w:tcBorders>
            <w:shd w:val="clear" w:color="auto" w:fill="auto"/>
            <w:hideMark/>
          </w:tcPr>
          <w:p w14:paraId="608C4DA5"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18B9EC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456874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669103A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V Helios je možné k jakémukoli dokladu připojit libovolný počet příloh, které je pak možné přímo z daného záznamu dokladu v Helios otevřít pouhým poklikáním. Otevře se pak soubor vždy v aplikaci přiřazené danému typu souboru na konkrétní pracovní stanici uživatele.</w:t>
            </w:r>
          </w:p>
        </w:tc>
      </w:tr>
      <w:tr w:rsidR="00C03AF4" w:rsidRPr="001D64D5" w14:paraId="56005A60" w14:textId="77777777" w:rsidTr="000F2E84">
        <w:trPr>
          <w:trHeight w:val="900"/>
        </w:trPr>
        <w:tc>
          <w:tcPr>
            <w:tcW w:w="460" w:type="dxa"/>
            <w:tcBorders>
              <w:top w:val="nil"/>
              <w:left w:val="single" w:sz="4" w:space="0" w:color="auto"/>
              <w:bottom w:val="single" w:sz="4" w:space="0" w:color="auto"/>
              <w:right w:val="single" w:sz="4" w:space="0" w:color="auto"/>
            </w:tcBorders>
            <w:shd w:val="clear" w:color="auto" w:fill="auto"/>
            <w:hideMark/>
          </w:tcPr>
          <w:p w14:paraId="7E686AB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F27</w:t>
            </w:r>
          </w:p>
        </w:tc>
        <w:tc>
          <w:tcPr>
            <w:tcW w:w="1131" w:type="dxa"/>
            <w:tcBorders>
              <w:top w:val="nil"/>
              <w:left w:val="nil"/>
              <w:bottom w:val="single" w:sz="4" w:space="0" w:color="auto"/>
              <w:right w:val="single" w:sz="4" w:space="0" w:color="auto"/>
            </w:tcBorders>
            <w:shd w:val="clear" w:color="auto" w:fill="auto"/>
            <w:hideMark/>
          </w:tcPr>
          <w:p w14:paraId="06D42CF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14CE5BF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Zadavatel požaduje, aby systém umožňoval automatický import dat o čerpání pohonných hmot ze stávajícího systému UnicodeSys (csv soubor)</w:t>
            </w:r>
          </w:p>
        </w:tc>
        <w:tc>
          <w:tcPr>
            <w:tcW w:w="993" w:type="dxa"/>
            <w:tcBorders>
              <w:top w:val="nil"/>
              <w:left w:val="nil"/>
              <w:bottom w:val="single" w:sz="4" w:space="0" w:color="auto"/>
              <w:right w:val="single" w:sz="4" w:space="0" w:color="auto"/>
            </w:tcBorders>
            <w:shd w:val="clear" w:color="auto" w:fill="auto"/>
            <w:hideMark/>
          </w:tcPr>
          <w:p w14:paraId="4BAA26AF"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hideMark/>
          </w:tcPr>
          <w:p w14:paraId="599AE442"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2633AC4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276482F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Datové rozhraní pro automatický import čerpání PHM ze systému UnicodeSys bude vyvinuto v rámci implementace systému. Viz též část D-Sklad.</w:t>
            </w:r>
          </w:p>
        </w:tc>
      </w:tr>
      <w:tr w:rsidR="00C03AF4" w:rsidRPr="001D64D5" w14:paraId="0ABA0F1A" w14:textId="77777777" w:rsidTr="000F2E84">
        <w:trPr>
          <w:trHeight w:val="3600"/>
        </w:trPr>
        <w:tc>
          <w:tcPr>
            <w:tcW w:w="460" w:type="dxa"/>
            <w:tcBorders>
              <w:top w:val="nil"/>
              <w:left w:val="single" w:sz="4" w:space="0" w:color="auto"/>
              <w:bottom w:val="single" w:sz="4" w:space="0" w:color="auto"/>
              <w:right w:val="single" w:sz="4" w:space="0" w:color="auto"/>
            </w:tcBorders>
            <w:shd w:val="clear" w:color="auto" w:fill="auto"/>
            <w:hideMark/>
          </w:tcPr>
          <w:p w14:paraId="6697F44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F28</w:t>
            </w:r>
          </w:p>
        </w:tc>
        <w:tc>
          <w:tcPr>
            <w:tcW w:w="1131" w:type="dxa"/>
            <w:tcBorders>
              <w:top w:val="nil"/>
              <w:left w:val="nil"/>
              <w:bottom w:val="single" w:sz="4" w:space="0" w:color="auto"/>
              <w:right w:val="single" w:sz="4" w:space="0" w:color="auto"/>
            </w:tcBorders>
            <w:shd w:val="clear" w:color="auto" w:fill="auto"/>
            <w:hideMark/>
          </w:tcPr>
          <w:p w14:paraId="6E826A9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Technologie</w:t>
            </w:r>
          </w:p>
        </w:tc>
        <w:tc>
          <w:tcPr>
            <w:tcW w:w="2373" w:type="dxa"/>
            <w:tcBorders>
              <w:top w:val="nil"/>
              <w:left w:val="nil"/>
              <w:bottom w:val="single" w:sz="4" w:space="0" w:color="auto"/>
              <w:right w:val="single" w:sz="4" w:space="0" w:color="auto"/>
            </w:tcBorders>
            <w:shd w:val="clear" w:color="auto" w:fill="auto"/>
            <w:hideMark/>
          </w:tcPr>
          <w:p w14:paraId="1C3FB17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Poskytovatel v nabídce uvede způsob správy klientů systému, respektive nástroje pro jednoduchou správu klientů systému.</w:t>
            </w:r>
          </w:p>
        </w:tc>
        <w:tc>
          <w:tcPr>
            <w:tcW w:w="993" w:type="dxa"/>
            <w:tcBorders>
              <w:top w:val="nil"/>
              <w:left w:val="nil"/>
              <w:bottom w:val="single" w:sz="4" w:space="0" w:color="auto"/>
              <w:right w:val="single" w:sz="4" w:space="0" w:color="auto"/>
            </w:tcBorders>
            <w:shd w:val="clear" w:color="auto" w:fill="auto"/>
            <w:hideMark/>
          </w:tcPr>
          <w:p w14:paraId="52880C41"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84AF44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E8A196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12FCE3C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xml:space="preserve">Klienta Helios lze "nainstalovat" i prostým nakopírováním obsahu vzorového adresáře. </w:t>
            </w:r>
            <w:r w:rsidRPr="001D64D5">
              <w:rPr>
                <w:rFonts w:asciiTheme="minorHAnsi" w:hAnsiTheme="minorHAnsi" w:cstheme="minorHAnsi"/>
                <w:sz w:val="18"/>
                <w:szCs w:val="18"/>
              </w:rPr>
              <w:br/>
              <w:t>V praxi se však většinou používá klasická instalace Správce klientů. Pomocí této aplikace lze nakonf</w:t>
            </w:r>
            <w:r>
              <w:rPr>
                <w:rFonts w:asciiTheme="minorHAnsi" w:hAnsiTheme="minorHAnsi" w:cstheme="minorHAnsi"/>
                <w:sz w:val="18"/>
                <w:szCs w:val="18"/>
              </w:rPr>
              <w:t>i</w:t>
            </w:r>
            <w:r w:rsidRPr="001D64D5">
              <w:rPr>
                <w:rFonts w:asciiTheme="minorHAnsi" w:hAnsiTheme="minorHAnsi" w:cstheme="minorHAnsi"/>
                <w:sz w:val="18"/>
                <w:szCs w:val="18"/>
              </w:rPr>
              <w:t>gurovat a spravovat více klientů na jednom počítači (vhodné např. v okamžiku potřeby přepínat se mezi ostrým a testovacím prostředím).</w:t>
            </w:r>
            <w:r w:rsidRPr="001D64D5">
              <w:rPr>
                <w:rFonts w:asciiTheme="minorHAnsi" w:hAnsiTheme="minorHAnsi" w:cstheme="minorHAnsi"/>
                <w:sz w:val="18"/>
                <w:szCs w:val="18"/>
              </w:rPr>
              <w:br/>
              <w:t>Každý klient je vybaven fun</w:t>
            </w:r>
            <w:r>
              <w:rPr>
                <w:rFonts w:asciiTheme="minorHAnsi" w:hAnsiTheme="minorHAnsi" w:cstheme="minorHAnsi"/>
                <w:sz w:val="18"/>
                <w:szCs w:val="18"/>
              </w:rPr>
              <w:t>k</w:t>
            </w:r>
            <w:r w:rsidRPr="001D64D5">
              <w:rPr>
                <w:rFonts w:asciiTheme="minorHAnsi" w:hAnsiTheme="minorHAnsi" w:cstheme="minorHAnsi"/>
                <w:sz w:val="18"/>
                <w:szCs w:val="18"/>
              </w:rPr>
              <w:t xml:space="preserve">cí AutoUpdate, která při každém spuštění nejprve zkontroluje, zda na serveru není k dispozici novější verze, případně ji automaticky stáhne a následně spustí (vše bez nutnosti zásahu ze strany uživatele). </w:t>
            </w:r>
          </w:p>
        </w:tc>
      </w:tr>
      <w:tr w:rsidR="00C03AF4" w:rsidRPr="001D64D5" w14:paraId="2BE47164" w14:textId="77777777" w:rsidTr="000F2E84">
        <w:trPr>
          <w:trHeight w:val="600"/>
        </w:trPr>
        <w:tc>
          <w:tcPr>
            <w:tcW w:w="460" w:type="dxa"/>
            <w:tcBorders>
              <w:top w:val="nil"/>
              <w:left w:val="single" w:sz="4" w:space="0" w:color="auto"/>
              <w:bottom w:val="single" w:sz="4" w:space="0" w:color="auto"/>
              <w:right w:val="single" w:sz="4" w:space="0" w:color="auto"/>
            </w:tcBorders>
            <w:shd w:val="clear" w:color="auto" w:fill="auto"/>
            <w:hideMark/>
          </w:tcPr>
          <w:p w14:paraId="1EE1FD7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F29</w:t>
            </w:r>
          </w:p>
        </w:tc>
        <w:tc>
          <w:tcPr>
            <w:tcW w:w="1131" w:type="dxa"/>
            <w:tcBorders>
              <w:top w:val="nil"/>
              <w:left w:val="nil"/>
              <w:bottom w:val="single" w:sz="4" w:space="0" w:color="auto"/>
              <w:right w:val="single" w:sz="4" w:space="0" w:color="auto"/>
            </w:tcBorders>
            <w:shd w:val="clear" w:color="auto" w:fill="auto"/>
            <w:hideMark/>
          </w:tcPr>
          <w:p w14:paraId="5EC5675D" w14:textId="77777777" w:rsidR="00C03AF4" w:rsidRPr="001D64D5" w:rsidRDefault="00C03AF4" w:rsidP="000F2E84">
            <w:pPr>
              <w:rPr>
                <w:rFonts w:asciiTheme="minorHAnsi" w:hAnsiTheme="minorHAnsi" w:cstheme="minorHAnsi"/>
                <w:b/>
                <w:bCs/>
                <w:sz w:val="18"/>
                <w:szCs w:val="18"/>
              </w:rPr>
            </w:pPr>
            <w:r w:rsidRPr="001D64D5">
              <w:rPr>
                <w:rFonts w:asciiTheme="minorHAnsi" w:hAnsiTheme="minorHAnsi" w:cstheme="minorHAnsi"/>
                <w:b/>
                <w:bCs/>
                <w:sz w:val="18"/>
                <w:szCs w:val="18"/>
              </w:rPr>
              <w:t>Importy dat při spuštění systému</w:t>
            </w:r>
          </w:p>
        </w:tc>
        <w:tc>
          <w:tcPr>
            <w:tcW w:w="2373" w:type="dxa"/>
            <w:tcBorders>
              <w:top w:val="nil"/>
              <w:left w:val="nil"/>
              <w:bottom w:val="single" w:sz="4" w:space="0" w:color="auto"/>
              <w:right w:val="single" w:sz="4" w:space="0" w:color="auto"/>
            </w:tcBorders>
            <w:shd w:val="clear" w:color="auto" w:fill="auto"/>
            <w:hideMark/>
          </w:tcPr>
          <w:p w14:paraId="561B504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3" w:type="dxa"/>
            <w:tcBorders>
              <w:top w:val="nil"/>
              <w:left w:val="nil"/>
              <w:bottom w:val="single" w:sz="4" w:space="0" w:color="auto"/>
              <w:right w:val="single" w:sz="4" w:space="0" w:color="auto"/>
            </w:tcBorders>
            <w:shd w:val="clear" w:color="auto" w:fill="auto"/>
            <w:hideMark/>
          </w:tcPr>
          <w:p w14:paraId="70E36013"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hideMark/>
          </w:tcPr>
          <w:p w14:paraId="5DE9A02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6B1DDB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5092D43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r>
      <w:tr w:rsidR="00C03AF4" w:rsidRPr="001D64D5" w14:paraId="176BAAE5" w14:textId="77777777" w:rsidTr="000F2E84">
        <w:trPr>
          <w:trHeight w:val="4200"/>
        </w:trPr>
        <w:tc>
          <w:tcPr>
            <w:tcW w:w="460" w:type="dxa"/>
            <w:tcBorders>
              <w:top w:val="nil"/>
              <w:left w:val="single" w:sz="4" w:space="0" w:color="auto"/>
              <w:bottom w:val="single" w:sz="4" w:space="0" w:color="auto"/>
              <w:right w:val="single" w:sz="4" w:space="0" w:color="auto"/>
            </w:tcBorders>
            <w:shd w:val="clear" w:color="auto" w:fill="auto"/>
            <w:hideMark/>
          </w:tcPr>
          <w:p w14:paraId="75DEC54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F30</w:t>
            </w:r>
          </w:p>
        </w:tc>
        <w:tc>
          <w:tcPr>
            <w:tcW w:w="1131" w:type="dxa"/>
            <w:tcBorders>
              <w:top w:val="nil"/>
              <w:left w:val="nil"/>
              <w:bottom w:val="single" w:sz="4" w:space="0" w:color="auto"/>
              <w:right w:val="single" w:sz="4" w:space="0" w:color="auto"/>
            </w:tcBorders>
            <w:shd w:val="clear" w:color="auto" w:fill="auto"/>
            <w:hideMark/>
          </w:tcPr>
          <w:p w14:paraId="7E42CDE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Saldo</w:t>
            </w:r>
          </w:p>
        </w:tc>
        <w:tc>
          <w:tcPr>
            <w:tcW w:w="2373" w:type="dxa"/>
            <w:tcBorders>
              <w:top w:val="nil"/>
              <w:left w:val="nil"/>
              <w:bottom w:val="single" w:sz="4" w:space="0" w:color="auto"/>
              <w:right w:val="single" w:sz="4" w:space="0" w:color="auto"/>
            </w:tcBorders>
            <w:shd w:val="clear" w:color="auto" w:fill="auto"/>
            <w:hideMark/>
          </w:tcPr>
          <w:p w14:paraId="63E19E5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Nabyvatel očekává, že do nasazovaného systému budou ze stávajících systémů provedeny importy dat potřebných pro další fungování organizace, zejména účtové osnovy, počátečních stavů účtů k 1.1.2022 a nevypořádaných závazků a pohledávek k 31. 12. 2021, v rozsahu údajů, které je možné získat ze současného účetního systému.</w:t>
            </w:r>
          </w:p>
        </w:tc>
        <w:tc>
          <w:tcPr>
            <w:tcW w:w="993" w:type="dxa"/>
            <w:tcBorders>
              <w:top w:val="nil"/>
              <w:left w:val="nil"/>
              <w:bottom w:val="single" w:sz="4" w:space="0" w:color="auto"/>
              <w:right w:val="single" w:sz="4" w:space="0" w:color="auto"/>
            </w:tcBorders>
            <w:shd w:val="clear" w:color="auto" w:fill="auto"/>
            <w:hideMark/>
          </w:tcPr>
          <w:p w14:paraId="6184227B"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52BAF5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17F24A3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4516D16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Importy nevypořádaných závazků a pohledávek budou provedeny za pře</w:t>
            </w:r>
            <w:r>
              <w:rPr>
                <w:rFonts w:asciiTheme="minorHAnsi" w:hAnsiTheme="minorHAnsi" w:cstheme="minorHAnsi"/>
                <w:sz w:val="18"/>
                <w:szCs w:val="18"/>
              </w:rPr>
              <w:t>d</w:t>
            </w:r>
            <w:r w:rsidRPr="001D64D5">
              <w:rPr>
                <w:rFonts w:asciiTheme="minorHAnsi" w:hAnsiTheme="minorHAnsi" w:cstheme="minorHAnsi"/>
                <w:sz w:val="18"/>
                <w:szCs w:val="18"/>
              </w:rPr>
              <w:t>pokladu, že zadavatel zajistí jejich export ze stávajícího systému v potřebném rozsahu údajů a ve zpracovatelném formátu = v XML nebo v MS Excel.</w:t>
            </w:r>
            <w:r w:rsidRPr="001D64D5">
              <w:rPr>
                <w:rFonts w:asciiTheme="minorHAnsi" w:hAnsiTheme="minorHAnsi" w:cstheme="minorHAnsi"/>
                <w:sz w:val="18"/>
                <w:szCs w:val="18"/>
              </w:rPr>
              <w:br/>
              <w:t>Při přípravě záznamů doporučujeme zkontrolovat jednoznačnost navázaného záznamu dodavatele nebo odběratele, respektive datový zdroj dát do souladu s datovým zdrojem pro import organizací. Pokud by se to nepodařilo, je nutné počítat s tím, že problémové položky bude nutné v Helios korigovat nebo manuálně vložit, případně po provedení importů obou zdrojů provés</w:t>
            </w:r>
            <w:r>
              <w:rPr>
                <w:rFonts w:asciiTheme="minorHAnsi" w:hAnsiTheme="minorHAnsi" w:cstheme="minorHAnsi"/>
                <w:sz w:val="18"/>
                <w:szCs w:val="18"/>
              </w:rPr>
              <w:t>t</w:t>
            </w:r>
            <w:r w:rsidRPr="001D64D5">
              <w:rPr>
                <w:rFonts w:asciiTheme="minorHAnsi" w:hAnsiTheme="minorHAnsi" w:cstheme="minorHAnsi"/>
                <w:sz w:val="18"/>
                <w:szCs w:val="18"/>
              </w:rPr>
              <w:t xml:space="preserve"> manuálně slučování záznamů organizací v Helios.</w:t>
            </w:r>
          </w:p>
        </w:tc>
      </w:tr>
      <w:tr w:rsidR="00C03AF4" w:rsidRPr="001D64D5" w14:paraId="4EDCF3F8" w14:textId="77777777" w:rsidTr="000F2E84">
        <w:trPr>
          <w:trHeight w:val="1800"/>
        </w:trPr>
        <w:tc>
          <w:tcPr>
            <w:tcW w:w="460" w:type="dxa"/>
            <w:tcBorders>
              <w:top w:val="nil"/>
              <w:left w:val="single" w:sz="4" w:space="0" w:color="auto"/>
              <w:bottom w:val="single" w:sz="4" w:space="0" w:color="auto"/>
              <w:right w:val="single" w:sz="4" w:space="0" w:color="auto"/>
            </w:tcBorders>
            <w:shd w:val="clear" w:color="auto" w:fill="auto"/>
            <w:hideMark/>
          </w:tcPr>
          <w:p w14:paraId="1887C43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F31</w:t>
            </w:r>
          </w:p>
        </w:tc>
        <w:tc>
          <w:tcPr>
            <w:tcW w:w="1131" w:type="dxa"/>
            <w:tcBorders>
              <w:top w:val="nil"/>
              <w:left w:val="nil"/>
              <w:bottom w:val="single" w:sz="4" w:space="0" w:color="auto"/>
              <w:right w:val="single" w:sz="4" w:space="0" w:color="auto"/>
            </w:tcBorders>
            <w:shd w:val="clear" w:color="auto" w:fill="auto"/>
            <w:hideMark/>
          </w:tcPr>
          <w:p w14:paraId="2B7E841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Sklad</w:t>
            </w:r>
          </w:p>
        </w:tc>
        <w:tc>
          <w:tcPr>
            <w:tcW w:w="2373" w:type="dxa"/>
            <w:tcBorders>
              <w:top w:val="nil"/>
              <w:left w:val="nil"/>
              <w:bottom w:val="single" w:sz="4" w:space="0" w:color="auto"/>
              <w:right w:val="single" w:sz="4" w:space="0" w:color="auto"/>
            </w:tcBorders>
            <w:shd w:val="clear" w:color="auto" w:fill="auto"/>
            <w:hideMark/>
          </w:tcPr>
          <w:p w14:paraId="2F9D21B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Nabyvatel požaduje, aby do nasazovaného systému byly provedeny importy ze stávající skladové evidence v rozsahu číselníku kmenových karet a stavy skladů k termínu spuštění systému.</w:t>
            </w:r>
          </w:p>
        </w:tc>
        <w:tc>
          <w:tcPr>
            <w:tcW w:w="993" w:type="dxa"/>
            <w:tcBorders>
              <w:top w:val="nil"/>
              <w:left w:val="nil"/>
              <w:bottom w:val="single" w:sz="4" w:space="0" w:color="auto"/>
              <w:right w:val="single" w:sz="4" w:space="0" w:color="auto"/>
            </w:tcBorders>
            <w:shd w:val="clear" w:color="auto" w:fill="auto"/>
            <w:hideMark/>
          </w:tcPr>
          <w:p w14:paraId="3A245E40"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0408A2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6FFD56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7FAA99D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Importy ze stávající skladové evidence v rozsahu číselníku kmenových karet a stavy skladů budou provedeny za pře</w:t>
            </w:r>
            <w:r>
              <w:rPr>
                <w:rFonts w:asciiTheme="minorHAnsi" w:hAnsiTheme="minorHAnsi" w:cstheme="minorHAnsi"/>
                <w:sz w:val="18"/>
                <w:szCs w:val="18"/>
              </w:rPr>
              <w:t>d</w:t>
            </w:r>
            <w:r w:rsidRPr="001D64D5">
              <w:rPr>
                <w:rFonts w:asciiTheme="minorHAnsi" w:hAnsiTheme="minorHAnsi" w:cstheme="minorHAnsi"/>
                <w:sz w:val="18"/>
                <w:szCs w:val="18"/>
              </w:rPr>
              <w:t>pokladu</w:t>
            </w:r>
            <w:r>
              <w:rPr>
                <w:rFonts w:asciiTheme="minorHAnsi" w:hAnsiTheme="minorHAnsi" w:cstheme="minorHAnsi"/>
                <w:sz w:val="18"/>
                <w:szCs w:val="18"/>
              </w:rPr>
              <w:t>,</w:t>
            </w:r>
            <w:r w:rsidRPr="001D64D5">
              <w:rPr>
                <w:rFonts w:asciiTheme="minorHAnsi" w:hAnsiTheme="minorHAnsi" w:cstheme="minorHAnsi"/>
                <w:sz w:val="18"/>
                <w:szCs w:val="18"/>
              </w:rPr>
              <w:t xml:space="preserve"> že zadavatel zajistí jejich export ze stávajícího systému v potřebném rozsahu údajů a ve zpracovatelném formátu = v XML nebo v MS Excel.</w:t>
            </w:r>
          </w:p>
        </w:tc>
      </w:tr>
      <w:tr w:rsidR="00C03AF4" w:rsidRPr="001D64D5" w14:paraId="1A2ED19B" w14:textId="77777777" w:rsidTr="000F2E84">
        <w:trPr>
          <w:trHeight w:val="1200"/>
        </w:trPr>
        <w:tc>
          <w:tcPr>
            <w:tcW w:w="460" w:type="dxa"/>
            <w:tcBorders>
              <w:top w:val="nil"/>
              <w:left w:val="single" w:sz="4" w:space="0" w:color="auto"/>
              <w:bottom w:val="single" w:sz="4" w:space="0" w:color="auto"/>
              <w:right w:val="single" w:sz="4" w:space="0" w:color="auto"/>
            </w:tcBorders>
            <w:shd w:val="clear" w:color="auto" w:fill="auto"/>
            <w:hideMark/>
          </w:tcPr>
          <w:p w14:paraId="0D885EB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F32</w:t>
            </w:r>
          </w:p>
        </w:tc>
        <w:tc>
          <w:tcPr>
            <w:tcW w:w="1131" w:type="dxa"/>
            <w:tcBorders>
              <w:top w:val="nil"/>
              <w:left w:val="nil"/>
              <w:bottom w:val="single" w:sz="4" w:space="0" w:color="auto"/>
              <w:right w:val="single" w:sz="4" w:space="0" w:color="auto"/>
            </w:tcBorders>
            <w:shd w:val="clear" w:color="auto" w:fill="auto"/>
            <w:hideMark/>
          </w:tcPr>
          <w:p w14:paraId="43A6625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Majetek</w:t>
            </w:r>
          </w:p>
        </w:tc>
        <w:tc>
          <w:tcPr>
            <w:tcW w:w="2373" w:type="dxa"/>
            <w:tcBorders>
              <w:top w:val="nil"/>
              <w:left w:val="nil"/>
              <w:bottom w:val="single" w:sz="4" w:space="0" w:color="auto"/>
              <w:right w:val="single" w:sz="4" w:space="0" w:color="auto"/>
            </w:tcBorders>
            <w:shd w:val="clear" w:color="auto" w:fill="auto"/>
            <w:hideMark/>
          </w:tcPr>
          <w:p w14:paraId="611808A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Nabyvatel požaduje, aby do nasazovaného systému byly provedeny importy základních údajů karet majetku ze současného systému.</w:t>
            </w:r>
          </w:p>
        </w:tc>
        <w:tc>
          <w:tcPr>
            <w:tcW w:w="993" w:type="dxa"/>
            <w:tcBorders>
              <w:top w:val="nil"/>
              <w:left w:val="nil"/>
              <w:bottom w:val="single" w:sz="4" w:space="0" w:color="auto"/>
              <w:right w:val="single" w:sz="4" w:space="0" w:color="auto"/>
            </w:tcBorders>
            <w:shd w:val="clear" w:color="auto" w:fill="auto"/>
            <w:hideMark/>
          </w:tcPr>
          <w:p w14:paraId="72111FCC"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5FDBE3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4277D7A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0A98923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Importy obsahu karet majetku budou provedeny za pře</w:t>
            </w:r>
            <w:r>
              <w:rPr>
                <w:rFonts w:asciiTheme="minorHAnsi" w:hAnsiTheme="minorHAnsi" w:cstheme="minorHAnsi"/>
                <w:sz w:val="18"/>
                <w:szCs w:val="18"/>
              </w:rPr>
              <w:t>d</w:t>
            </w:r>
            <w:r w:rsidRPr="001D64D5">
              <w:rPr>
                <w:rFonts w:asciiTheme="minorHAnsi" w:hAnsiTheme="minorHAnsi" w:cstheme="minorHAnsi"/>
                <w:sz w:val="18"/>
                <w:szCs w:val="18"/>
              </w:rPr>
              <w:t>pokladu, že zadavatel zajistí jejich export ze stávajícího systému v potřebném rozsahu údajů a ve zpracovatelném formátu = v XML nebo v MS Excel.</w:t>
            </w:r>
          </w:p>
        </w:tc>
      </w:tr>
      <w:tr w:rsidR="00C03AF4" w:rsidRPr="001D64D5" w14:paraId="44EB1B33" w14:textId="77777777" w:rsidTr="000F2E84">
        <w:trPr>
          <w:trHeight w:val="1500"/>
        </w:trPr>
        <w:tc>
          <w:tcPr>
            <w:tcW w:w="460" w:type="dxa"/>
            <w:tcBorders>
              <w:top w:val="nil"/>
              <w:left w:val="single" w:sz="4" w:space="0" w:color="auto"/>
              <w:bottom w:val="single" w:sz="4" w:space="0" w:color="auto"/>
              <w:right w:val="single" w:sz="4" w:space="0" w:color="auto"/>
            </w:tcBorders>
            <w:shd w:val="clear" w:color="auto" w:fill="auto"/>
            <w:hideMark/>
          </w:tcPr>
          <w:p w14:paraId="112BD79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F33</w:t>
            </w:r>
          </w:p>
        </w:tc>
        <w:tc>
          <w:tcPr>
            <w:tcW w:w="1131" w:type="dxa"/>
            <w:tcBorders>
              <w:top w:val="nil"/>
              <w:left w:val="nil"/>
              <w:bottom w:val="single" w:sz="4" w:space="0" w:color="auto"/>
              <w:right w:val="single" w:sz="4" w:space="0" w:color="auto"/>
            </w:tcBorders>
            <w:shd w:val="clear" w:color="auto" w:fill="auto"/>
            <w:hideMark/>
          </w:tcPr>
          <w:p w14:paraId="59F9884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Smlouvy</w:t>
            </w:r>
          </w:p>
        </w:tc>
        <w:tc>
          <w:tcPr>
            <w:tcW w:w="2373" w:type="dxa"/>
            <w:tcBorders>
              <w:top w:val="nil"/>
              <w:left w:val="nil"/>
              <w:bottom w:val="single" w:sz="4" w:space="0" w:color="auto"/>
              <w:right w:val="single" w:sz="4" w:space="0" w:color="auto"/>
            </w:tcBorders>
            <w:shd w:val="clear" w:color="auto" w:fill="auto"/>
            <w:hideMark/>
          </w:tcPr>
          <w:p w14:paraId="54ECF06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Nabyvatel požaduje, aby do nasazovaného systému byl proveden import dat smluvních vztahů v oblasti odstranění odpadů.</w:t>
            </w:r>
          </w:p>
        </w:tc>
        <w:tc>
          <w:tcPr>
            <w:tcW w:w="993" w:type="dxa"/>
            <w:tcBorders>
              <w:top w:val="nil"/>
              <w:left w:val="nil"/>
              <w:bottom w:val="single" w:sz="4" w:space="0" w:color="auto"/>
              <w:right w:val="single" w:sz="4" w:space="0" w:color="auto"/>
            </w:tcBorders>
            <w:shd w:val="clear" w:color="auto" w:fill="auto"/>
            <w:hideMark/>
          </w:tcPr>
          <w:p w14:paraId="20CF10CF"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2C49EE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0C11E01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24CF6F3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Import dat smluvních vztahů bude proveden v rámci implementace systému. Množina importovaných údajů bude závislá na vstupním importním datovém souboru a podle rozsahu těchto dat bude vytvořena prvotní evidence smluv v Helios.</w:t>
            </w:r>
          </w:p>
        </w:tc>
      </w:tr>
      <w:tr w:rsidR="00C03AF4" w:rsidRPr="001D64D5" w14:paraId="26D71288" w14:textId="77777777" w:rsidTr="000F2E84">
        <w:trPr>
          <w:trHeight w:val="3300"/>
        </w:trPr>
        <w:tc>
          <w:tcPr>
            <w:tcW w:w="460" w:type="dxa"/>
            <w:tcBorders>
              <w:top w:val="nil"/>
              <w:left w:val="single" w:sz="4" w:space="0" w:color="auto"/>
              <w:bottom w:val="single" w:sz="4" w:space="0" w:color="auto"/>
              <w:right w:val="single" w:sz="4" w:space="0" w:color="auto"/>
            </w:tcBorders>
            <w:shd w:val="clear" w:color="auto" w:fill="auto"/>
            <w:hideMark/>
          </w:tcPr>
          <w:p w14:paraId="0A7F5B8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F34</w:t>
            </w:r>
          </w:p>
        </w:tc>
        <w:tc>
          <w:tcPr>
            <w:tcW w:w="1131" w:type="dxa"/>
            <w:tcBorders>
              <w:top w:val="nil"/>
              <w:left w:val="nil"/>
              <w:bottom w:val="single" w:sz="4" w:space="0" w:color="auto"/>
              <w:right w:val="single" w:sz="4" w:space="0" w:color="auto"/>
            </w:tcBorders>
            <w:shd w:val="clear" w:color="auto" w:fill="auto"/>
            <w:hideMark/>
          </w:tcPr>
          <w:p w14:paraId="52E72860"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Zákazníci</w:t>
            </w:r>
          </w:p>
        </w:tc>
        <w:tc>
          <w:tcPr>
            <w:tcW w:w="2373" w:type="dxa"/>
            <w:tcBorders>
              <w:top w:val="nil"/>
              <w:left w:val="nil"/>
              <w:bottom w:val="single" w:sz="4" w:space="0" w:color="auto"/>
              <w:right w:val="single" w:sz="4" w:space="0" w:color="auto"/>
            </w:tcBorders>
            <w:shd w:val="clear" w:color="auto" w:fill="auto"/>
            <w:hideMark/>
          </w:tcPr>
          <w:p w14:paraId="0904DF0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Nabyvatel požaduje, aby do nasazovaného systému byl proveden import dat Zákazníků (dodavatelů i odběratelů), min. v rozsahu - Obchodní jméno, IČO, DIČ, sídlo - ulice, město, PSČ, poštovní adresa (upřesnění, ulice, město, PSČ), kontaktní osoba, telefon, e-mail, bankovní účet</w:t>
            </w:r>
          </w:p>
        </w:tc>
        <w:tc>
          <w:tcPr>
            <w:tcW w:w="993" w:type="dxa"/>
            <w:tcBorders>
              <w:top w:val="nil"/>
              <w:left w:val="nil"/>
              <w:bottom w:val="single" w:sz="4" w:space="0" w:color="auto"/>
              <w:right w:val="single" w:sz="4" w:space="0" w:color="auto"/>
            </w:tcBorders>
            <w:shd w:val="clear" w:color="auto" w:fill="auto"/>
            <w:hideMark/>
          </w:tcPr>
          <w:p w14:paraId="1AEC64C3"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9E24B2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96B025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1945D3B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Naplnění číselníku organizací probíhá obvykle v několika krocích. Se</w:t>
            </w:r>
            <w:r>
              <w:rPr>
                <w:rFonts w:asciiTheme="minorHAnsi" w:hAnsiTheme="minorHAnsi" w:cstheme="minorHAnsi"/>
                <w:sz w:val="18"/>
                <w:szCs w:val="18"/>
              </w:rPr>
              <w:t>z</w:t>
            </w:r>
            <w:r w:rsidRPr="001D64D5">
              <w:rPr>
                <w:rFonts w:asciiTheme="minorHAnsi" w:hAnsiTheme="minorHAnsi" w:cstheme="minorHAnsi"/>
                <w:sz w:val="18"/>
                <w:szCs w:val="18"/>
              </w:rPr>
              <w:t>nam podnikajících subjektů je potřeby očistit o duplicity a k vlastnímu provedení importu stačí IČO (do</w:t>
            </w:r>
            <w:r>
              <w:rPr>
                <w:rFonts w:asciiTheme="minorHAnsi" w:hAnsiTheme="minorHAnsi" w:cstheme="minorHAnsi"/>
                <w:sz w:val="18"/>
                <w:szCs w:val="18"/>
              </w:rPr>
              <w:t>t</w:t>
            </w:r>
            <w:r w:rsidRPr="001D64D5">
              <w:rPr>
                <w:rFonts w:asciiTheme="minorHAnsi" w:hAnsiTheme="minorHAnsi" w:cstheme="minorHAnsi"/>
                <w:sz w:val="18"/>
                <w:szCs w:val="18"/>
              </w:rPr>
              <w:t>ažení údajů organizací se provede z ARES). K vzni</w:t>
            </w:r>
            <w:r>
              <w:rPr>
                <w:rFonts w:asciiTheme="minorHAnsi" w:hAnsiTheme="minorHAnsi" w:cstheme="minorHAnsi"/>
                <w:sz w:val="18"/>
                <w:szCs w:val="18"/>
              </w:rPr>
              <w:t>k</w:t>
            </w:r>
            <w:r w:rsidRPr="001D64D5">
              <w:rPr>
                <w:rFonts w:asciiTheme="minorHAnsi" w:hAnsiTheme="minorHAnsi" w:cstheme="minorHAnsi"/>
                <w:sz w:val="18"/>
                <w:szCs w:val="18"/>
              </w:rPr>
              <w:t>lým zázna</w:t>
            </w:r>
            <w:r>
              <w:rPr>
                <w:rFonts w:asciiTheme="minorHAnsi" w:hAnsiTheme="minorHAnsi" w:cstheme="minorHAnsi"/>
                <w:sz w:val="18"/>
                <w:szCs w:val="18"/>
              </w:rPr>
              <w:t>m</w:t>
            </w:r>
            <w:r w:rsidRPr="001D64D5">
              <w:rPr>
                <w:rFonts w:asciiTheme="minorHAnsi" w:hAnsiTheme="minorHAnsi" w:cstheme="minorHAnsi"/>
                <w:sz w:val="18"/>
                <w:szCs w:val="18"/>
              </w:rPr>
              <w:t>ům organizací se nás</w:t>
            </w:r>
            <w:r>
              <w:rPr>
                <w:rFonts w:asciiTheme="minorHAnsi" w:hAnsiTheme="minorHAnsi" w:cstheme="minorHAnsi"/>
                <w:sz w:val="18"/>
                <w:szCs w:val="18"/>
              </w:rPr>
              <w:t>l</w:t>
            </w:r>
            <w:r w:rsidRPr="001D64D5">
              <w:rPr>
                <w:rFonts w:asciiTheme="minorHAnsi" w:hAnsiTheme="minorHAnsi" w:cstheme="minorHAnsi"/>
                <w:sz w:val="18"/>
                <w:szCs w:val="18"/>
              </w:rPr>
              <w:t>edně doimportují související záznam, např. Kontaktní o</w:t>
            </w:r>
            <w:r>
              <w:rPr>
                <w:rFonts w:asciiTheme="minorHAnsi" w:hAnsiTheme="minorHAnsi" w:cstheme="minorHAnsi"/>
                <w:sz w:val="18"/>
                <w:szCs w:val="18"/>
              </w:rPr>
              <w:t>s</w:t>
            </w:r>
            <w:r w:rsidRPr="001D64D5">
              <w:rPr>
                <w:rFonts w:asciiTheme="minorHAnsi" w:hAnsiTheme="minorHAnsi" w:cstheme="minorHAnsi"/>
                <w:sz w:val="18"/>
                <w:szCs w:val="18"/>
              </w:rPr>
              <w:t>oby, nebo BÚ. pro BÚ je pak spuštěna f</w:t>
            </w:r>
            <w:r>
              <w:rPr>
                <w:rFonts w:asciiTheme="minorHAnsi" w:hAnsiTheme="minorHAnsi" w:cstheme="minorHAnsi"/>
                <w:sz w:val="18"/>
                <w:szCs w:val="18"/>
              </w:rPr>
              <w:t>u</w:t>
            </w:r>
            <w:r w:rsidRPr="001D64D5">
              <w:rPr>
                <w:rFonts w:asciiTheme="minorHAnsi" w:hAnsiTheme="minorHAnsi" w:cstheme="minorHAnsi"/>
                <w:sz w:val="18"/>
                <w:szCs w:val="18"/>
              </w:rPr>
              <w:t>n</w:t>
            </w:r>
            <w:r>
              <w:rPr>
                <w:rFonts w:asciiTheme="minorHAnsi" w:hAnsiTheme="minorHAnsi" w:cstheme="minorHAnsi"/>
                <w:sz w:val="18"/>
                <w:szCs w:val="18"/>
              </w:rPr>
              <w:t>kc</w:t>
            </w:r>
            <w:r w:rsidRPr="001D64D5">
              <w:rPr>
                <w:rFonts w:asciiTheme="minorHAnsi" w:hAnsiTheme="minorHAnsi" w:cstheme="minorHAnsi"/>
                <w:sz w:val="18"/>
                <w:szCs w:val="18"/>
              </w:rPr>
              <w:t>e na ověření spolehlivosti plátce DPH.</w:t>
            </w:r>
            <w:r w:rsidRPr="001D64D5">
              <w:rPr>
                <w:rFonts w:asciiTheme="minorHAnsi" w:hAnsiTheme="minorHAnsi" w:cstheme="minorHAnsi"/>
                <w:sz w:val="18"/>
                <w:szCs w:val="18"/>
              </w:rPr>
              <w:br/>
              <w:t>Souk</w:t>
            </w:r>
            <w:r>
              <w:rPr>
                <w:rFonts w:asciiTheme="minorHAnsi" w:hAnsiTheme="minorHAnsi" w:cstheme="minorHAnsi"/>
                <w:sz w:val="18"/>
                <w:szCs w:val="18"/>
              </w:rPr>
              <w:t>r</w:t>
            </w:r>
            <w:r w:rsidRPr="001D64D5">
              <w:rPr>
                <w:rFonts w:asciiTheme="minorHAnsi" w:hAnsiTheme="minorHAnsi" w:cstheme="minorHAnsi"/>
                <w:sz w:val="18"/>
                <w:szCs w:val="18"/>
              </w:rPr>
              <w:t>omé osoby se zpravidla neimportují, protož se nepředpokládají do</w:t>
            </w:r>
            <w:r>
              <w:rPr>
                <w:rFonts w:asciiTheme="minorHAnsi" w:hAnsiTheme="minorHAnsi" w:cstheme="minorHAnsi"/>
                <w:sz w:val="18"/>
                <w:szCs w:val="18"/>
              </w:rPr>
              <w:t>st</w:t>
            </w:r>
            <w:r w:rsidRPr="001D64D5">
              <w:rPr>
                <w:rFonts w:asciiTheme="minorHAnsi" w:hAnsiTheme="minorHAnsi" w:cstheme="minorHAnsi"/>
                <w:sz w:val="18"/>
                <w:szCs w:val="18"/>
              </w:rPr>
              <w:t>at</w:t>
            </w:r>
            <w:r>
              <w:rPr>
                <w:rFonts w:asciiTheme="minorHAnsi" w:hAnsiTheme="minorHAnsi" w:cstheme="minorHAnsi"/>
                <w:sz w:val="18"/>
                <w:szCs w:val="18"/>
              </w:rPr>
              <w:t>e</w:t>
            </w:r>
            <w:r w:rsidRPr="001D64D5">
              <w:rPr>
                <w:rFonts w:asciiTheme="minorHAnsi" w:hAnsiTheme="minorHAnsi" w:cstheme="minorHAnsi"/>
                <w:sz w:val="18"/>
                <w:szCs w:val="18"/>
              </w:rPr>
              <w:t>čn</w:t>
            </w:r>
            <w:r>
              <w:rPr>
                <w:rFonts w:asciiTheme="minorHAnsi" w:hAnsiTheme="minorHAnsi" w:cstheme="minorHAnsi"/>
                <w:sz w:val="18"/>
                <w:szCs w:val="18"/>
              </w:rPr>
              <w:t xml:space="preserve">ě </w:t>
            </w:r>
            <w:r w:rsidRPr="001D64D5">
              <w:rPr>
                <w:rFonts w:asciiTheme="minorHAnsi" w:hAnsiTheme="minorHAnsi" w:cstheme="minorHAnsi"/>
                <w:sz w:val="18"/>
                <w:szCs w:val="18"/>
              </w:rPr>
              <w:t>kvalitní data ve starém systému.</w:t>
            </w:r>
          </w:p>
        </w:tc>
      </w:tr>
      <w:tr w:rsidR="00C03AF4" w:rsidRPr="001D64D5" w14:paraId="17F91356" w14:textId="77777777" w:rsidTr="000F2E84">
        <w:trPr>
          <w:trHeight w:val="1200"/>
        </w:trPr>
        <w:tc>
          <w:tcPr>
            <w:tcW w:w="460" w:type="dxa"/>
            <w:tcBorders>
              <w:top w:val="nil"/>
              <w:left w:val="single" w:sz="4" w:space="0" w:color="auto"/>
              <w:bottom w:val="single" w:sz="4" w:space="0" w:color="auto"/>
              <w:right w:val="single" w:sz="4" w:space="0" w:color="auto"/>
            </w:tcBorders>
            <w:shd w:val="clear" w:color="auto" w:fill="auto"/>
            <w:hideMark/>
          </w:tcPr>
          <w:p w14:paraId="23EEAE1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F35</w:t>
            </w:r>
          </w:p>
        </w:tc>
        <w:tc>
          <w:tcPr>
            <w:tcW w:w="1131" w:type="dxa"/>
            <w:tcBorders>
              <w:top w:val="nil"/>
              <w:left w:val="nil"/>
              <w:bottom w:val="single" w:sz="4" w:space="0" w:color="auto"/>
              <w:right w:val="single" w:sz="4" w:space="0" w:color="auto"/>
            </w:tcBorders>
            <w:shd w:val="clear" w:color="auto" w:fill="auto"/>
            <w:hideMark/>
          </w:tcPr>
          <w:p w14:paraId="16999B8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Pohřebnictví</w:t>
            </w:r>
          </w:p>
        </w:tc>
        <w:tc>
          <w:tcPr>
            <w:tcW w:w="2373" w:type="dxa"/>
            <w:tcBorders>
              <w:top w:val="nil"/>
              <w:left w:val="nil"/>
              <w:bottom w:val="single" w:sz="4" w:space="0" w:color="auto"/>
              <w:right w:val="single" w:sz="4" w:space="0" w:color="auto"/>
            </w:tcBorders>
            <w:shd w:val="clear" w:color="auto" w:fill="auto"/>
            <w:hideMark/>
          </w:tcPr>
          <w:p w14:paraId="1DF01E20" w14:textId="66E4856D"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Nabyvatel požaduje převod dat se stávající evidence hrobů minimálně v rozsahu, hřbitovy, hrobová místa, nájemci (i historie), předpisy nájmů, zemřelí.</w:t>
            </w:r>
          </w:p>
        </w:tc>
        <w:tc>
          <w:tcPr>
            <w:tcW w:w="993" w:type="dxa"/>
            <w:tcBorders>
              <w:top w:val="nil"/>
              <w:left w:val="nil"/>
              <w:bottom w:val="single" w:sz="4" w:space="0" w:color="auto"/>
              <w:right w:val="single" w:sz="4" w:space="0" w:color="auto"/>
            </w:tcBorders>
            <w:shd w:val="clear" w:color="auto" w:fill="auto"/>
            <w:hideMark/>
          </w:tcPr>
          <w:p w14:paraId="1FC07F2E"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6DBBB1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26A6123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4C168BA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V rámci implementace budou provedeny potřebné importy pro spuštění modulu evidencí Pohřebnictví.</w:t>
            </w:r>
          </w:p>
        </w:tc>
      </w:tr>
      <w:tr w:rsidR="00C03AF4" w:rsidRPr="001D64D5" w14:paraId="6AF0DFF8" w14:textId="77777777" w:rsidTr="000F2E84">
        <w:trPr>
          <w:trHeight w:val="900"/>
        </w:trPr>
        <w:tc>
          <w:tcPr>
            <w:tcW w:w="460" w:type="dxa"/>
            <w:tcBorders>
              <w:top w:val="nil"/>
              <w:left w:val="single" w:sz="4" w:space="0" w:color="auto"/>
              <w:bottom w:val="single" w:sz="4" w:space="0" w:color="auto"/>
              <w:right w:val="single" w:sz="4" w:space="0" w:color="auto"/>
            </w:tcBorders>
            <w:shd w:val="clear" w:color="auto" w:fill="auto"/>
            <w:hideMark/>
          </w:tcPr>
          <w:p w14:paraId="4967998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F36</w:t>
            </w:r>
          </w:p>
        </w:tc>
        <w:tc>
          <w:tcPr>
            <w:tcW w:w="1131" w:type="dxa"/>
            <w:tcBorders>
              <w:top w:val="nil"/>
              <w:left w:val="nil"/>
              <w:bottom w:val="single" w:sz="4" w:space="0" w:color="auto"/>
              <w:right w:val="single" w:sz="4" w:space="0" w:color="auto"/>
            </w:tcBorders>
            <w:shd w:val="clear" w:color="auto" w:fill="auto"/>
            <w:hideMark/>
          </w:tcPr>
          <w:p w14:paraId="26793D8A" w14:textId="77777777" w:rsidR="00C03AF4" w:rsidRPr="001D64D5" w:rsidRDefault="00C03AF4" w:rsidP="000F2E84">
            <w:pPr>
              <w:rPr>
                <w:rFonts w:asciiTheme="minorHAnsi" w:hAnsiTheme="minorHAnsi" w:cstheme="minorHAnsi"/>
                <w:b/>
                <w:bCs/>
                <w:sz w:val="18"/>
                <w:szCs w:val="18"/>
              </w:rPr>
            </w:pPr>
            <w:r w:rsidRPr="001D64D5">
              <w:rPr>
                <w:rFonts w:asciiTheme="minorHAnsi" w:hAnsiTheme="minorHAnsi" w:cstheme="minorHAnsi"/>
                <w:b/>
                <w:bCs/>
                <w:sz w:val="18"/>
                <w:szCs w:val="18"/>
              </w:rPr>
              <w:t>Podpora, licenční a servisní podmínky</w:t>
            </w:r>
          </w:p>
        </w:tc>
        <w:tc>
          <w:tcPr>
            <w:tcW w:w="2373" w:type="dxa"/>
            <w:tcBorders>
              <w:top w:val="nil"/>
              <w:left w:val="nil"/>
              <w:bottom w:val="single" w:sz="4" w:space="0" w:color="auto"/>
              <w:right w:val="single" w:sz="4" w:space="0" w:color="auto"/>
            </w:tcBorders>
            <w:shd w:val="clear" w:color="auto" w:fill="auto"/>
            <w:hideMark/>
          </w:tcPr>
          <w:p w14:paraId="143A8FC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3" w:type="dxa"/>
            <w:tcBorders>
              <w:top w:val="nil"/>
              <w:left w:val="nil"/>
              <w:bottom w:val="single" w:sz="4" w:space="0" w:color="auto"/>
              <w:right w:val="single" w:sz="4" w:space="0" w:color="auto"/>
            </w:tcBorders>
            <w:shd w:val="clear" w:color="auto" w:fill="auto"/>
            <w:hideMark/>
          </w:tcPr>
          <w:p w14:paraId="25AAAB6C"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hideMark/>
          </w:tcPr>
          <w:p w14:paraId="1F7F17D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9C16EA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3CBE488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r>
      <w:tr w:rsidR="00C03AF4" w:rsidRPr="001D64D5" w14:paraId="37E3298F" w14:textId="77777777" w:rsidTr="000F2E84">
        <w:trPr>
          <w:trHeight w:val="7200"/>
        </w:trPr>
        <w:tc>
          <w:tcPr>
            <w:tcW w:w="460" w:type="dxa"/>
            <w:tcBorders>
              <w:top w:val="nil"/>
              <w:left w:val="single" w:sz="4" w:space="0" w:color="auto"/>
              <w:bottom w:val="single" w:sz="4" w:space="0" w:color="auto"/>
              <w:right w:val="single" w:sz="4" w:space="0" w:color="auto"/>
            </w:tcBorders>
            <w:shd w:val="clear" w:color="auto" w:fill="auto"/>
            <w:hideMark/>
          </w:tcPr>
          <w:p w14:paraId="35CD1C2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F37</w:t>
            </w:r>
          </w:p>
        </w:tc>
        <w:tc>
          <w:tcPr>
            <w:tcW w:w="1131" w:type="dxa"/>
            <w:tcBorders>
              <w:top w:val="nil"/>
              <w:left w:val="nil"/>
              <w:bottom w:val="single" w:sz="4" w:space="0" w:color="auto"/>
              <w:right w:val="single" w:sz="4" w:space="0" w:color="auto"/>
            </w:tcBorders>
            <w:shd w:val="clear" w:color="auto" w:fill="auto"/>
            <w:hideMark/>
          </w:tcPr>
          <w:p w14:paraId="18BD4C0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Licenční podmínky</w:t>
            </w:r>
          </w:p>
        </w:tc>
        <w:tc>
          <w:tcPr>
            <w:tcW w:w="2373" w:type="dxa"/>
            <w:tcBorders>
              <w:top w:val="nil"/>
              <w:left w:val="nil"/>
              <w:bottom w:val="single" w:sz="4" w:space="0" w:color="auto"/>
              <w:right w:val="single" w:sz="4" w:space="0" w:color="auto"/>
            </w:tcBorders>
            <w:shd w:val="clear" w:color="auto" w:fill="auto"/>
            <w:hideMark/>
          </w:tcPr>
          <w:p w14:paraId="311B405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Poskytovatel uvede v nabídce stručný popis licenční politiky k nabízenému systému.</w:t>
            </w:r>
          </w:p>
        </w:tc>
        <w:tc>
          <w:tcPr>
            <w:tcW w:w="993" w:type="dxa"/>
            <w:tcBorders>
              <w:top w:val="nil"/>
              <w:left w:val="nil"/>
              <w:bottom w:val="single" w:sz="4" w:space="0" w:color="auto"/>
              <w:right w:val="single" w:sz="4" w:space="0" w:color="auto"/>
            </w:tcBorders>
            <w:shd w:val="clear" w:color="auto" w:fill="auto"/>
            <w:hideMark/>
          </w:tcPr>
          <w:p w14:paraId="7D7F936E"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247D6A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3902898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3162D71C" w14:textId="02C642DE"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b/>
                <w:bCs/>
                <w:sz w:val="18"/>
                <w:szCs w:val="18"/>
              </w:rPr>
              <w:t>Licenční model Helios Green</w:t>
            </w:r>
            <w:r w:rsidRPr="001D64D5">
              <w:rPr>
                <w:rFonts w:asciiTheme="minorHAnsi" w:hAnsiTheme="minorHAnsi" w:cstheme="minorHAnsi"/>
                <w:b/>
                <w:bCs/>
                <w:sz w:val="18"/>
                <w:szCs w:val="18"/>
              </w:rPr>
              <w:br/>
            </w:r>
            <w:r w:rsidRPr="001D64D5">
              <w:rPr>
                <w:rFonts w:asciiTheme="minorHAnsi" w:hAnsiTheme="minorHAnsi" w:cstheme="minorHAnsi"/>
                <w:sz w:val="18"/>
                <w:szCs w:val="18"/>
              </w:rPr>
              <w:t>Ceny za licence Helios Green se dělí na cenu za funkcionalitu (nemění se v závislosti na počtu uživatelů) a cenu za konkurenční uživatele (současně přistupující do systému). Konkurenční uživatele dále rozdělujeme na:</w:t>
            </w:r>
            <w:r w:rsidRPr="001D64D5">
              <w:rPr>
                <w:rFonts w:asciiTheme="minorHAnsi" w:hAnsiTheme="minorHAnsi" w:cstheme="minorHAnsi"/>
                <w:sz w:val="18"/>
                <w:szCs w:val="18"/>
              </w:rPr>
              <w:br/>
              <w:t>1. „plnohodnotné“ s plnou funkcionalitou</w:t>
            </w:r>
            <w:r w:rsidRPr="001D64D5">
              <w:rPr>
                <w:rFonts w:asciiTheme="minorHAnsi" w:hAnsiTheme="minorHAnsi" w:cstheme="minorHAnsi"/>
                <w:sz w:val="18"/>
                <w:szCs w:val="18"/>
              </w:rPr>
              <w:br/>
              <w:t>2. „definované“ umožňující plně pracovat s modulem Účetnictví, nahlížet do celého systému a schvalovat WF</w:t>
            </w:r>
            <w:r w:rsidRPr="001D64D5">
              <w:rPr>
                <w:rFonts w:asciiTheme="minorHAnsi" w:hAnsiTheme="minorHAnsi" w:cstheme="minorHAnsi"/>
                <w:sz w:val="18"/>
                <w:szCs w:val="18"/>
              </w:rPr>
              <w:br/>
              <w:t xml:space="preserve">3. „technické“ pro podporu komunikace s modulem Práce na projektu </w:t>
            </w:r>
            <w:r w:rsidRPr="001D64D5">
              <w:rPr>
                <w:rFonts w:asciiTheme="minorHAnsi" w:hAnsiTheme="minorHAnsi" w:cstheme="minorHAnsi"/>
                <w:sz w:val="18"/>
                <w:szCs w:val="18"/>
              </w:rPr>
              <w:br/>
            </w:r>
            <w:r w:rsidRPr="001D64D5">
              <w:rPr>
                <w:rFonts w:asciiTheme="minorHAnsi" w:hAnsiTheme="minorHAnsi" w:cstheme="minorHAnsi"/>
                <w:b/>
                <w:bCs/>
                <w:sz w:val="18"/>
                <w:szCs w:val="18"/>
              </w:rPr>
              <w:t>Údržba systému</w:t>
            </w:r>
            <w:r w:rsidRPr="001D64D5">
              <w:rPr>
                <w:rFonts w:asciiTheme="minorHAnsi" w:hAnsiTheme="minorHAnsi" w:cstheme="minorHAnsi"/>
                <w:sz w:val="18"/>
                <w:szCs w:val="18"/>
              </w:rPr>
              <w:br/>
              <w:t>Pro systém Helios Green je stanovený poplatek za údržbu ve výši 18% z ceny licencí před slevou a případných dovývojů ročně.</w:t>
            </w:r>
            <w:r w:rsidRPr="001D64D5">
              <w:rPr>
                <w:rFonts w:asciiTheme="minorHAnsi" w:hAnsiTheme="minorHAnsi" w:cstheme="minorHAnsi"/>
                <w:sz w:val="18"/>
                <w:szCs w:val="18"/>
              </w:rPr>
              <w:br/>
              <w:t>Tato údržba bude fakturována podle  do servisního režimu a bude fakturována na základě reálně předávaných licencí do provozu. Proto očekáváme, že plná údržba bude hrazena až od roku 20</w:t>
            </w:r>
            <w:r w:rsidR="00BE1305">
              <w:rPr>
                <w:rFonts w:asciiTheme="minorHAnsi" w:hAnsiTheme="minorHAnsi" w:cstheme="minorHAnsi"/>
                <w:sz w:val="18"/>
                <w:szCs w:val="18"/>
              </w:rPr>
              <w:t>2</w:t>
            </w:r>
            <w:r w:rsidRPr="001D64D5">
              <w:rPr>
                <w:rFonts w:asciiTheme="minorHAnsi" w:hAnsiTheme="minorHAnsi" w:cstheme="minorHAnsi"/>
                <w:sz w:val="18"/>
                <w:szCs w:val="18"/>
              </w:rPr>
              <w:t>3 a reálná úspora na údržbě v prvním roce tak bude až XXX tis. Kč.</w:t>
            </w:r>
            <w:r w:rsidRPr="001D64D5">
              <w:rPr>
                <w:rFonts w:asciiTheme="minorHAnsi" w:hAnsiTheme="minorHAnsi" w:cstheme="minorHAnsi"/>
                <w:sz w:val="18"/>
                <w:szCs w:val="18"/>
              </w:rPr>
              <w:br/>
              <w:t>Pro údržbu systému Helios Green je standardně uzavírána smlouva o údržbě informačního systému.</w:t>
            </w:r>
          </w:p>
        </w:tc>
      </w:tr>
      <w:tr w:rsidR="00C03AF4" w:rsidRPr="001D64D5" w14:paraId="66325A6F" w14:textId="77777777" w:rsidTr="000F2E84">
        <w:trPr>
          <w:trHeight w:val="2700"/>
        </w:trPr>
        <w:tc>
          <w:tcPr>
            <w:tcW w:w="460" w:type="dxa"/>
            <w:tcBorders>
              <w:top w:val="nil"/>
              <w:left w:val="single" w:sz="4" w:space="0" w:color="auto"/>
              <w:bottom w:val="single" w:sz="4" w:space="0" w:color="auto"/>
              <w:right w:val="single" w:sz="4" w:space="0" w:color="auto"/>
            </w:tcBorders>
            <w:shd w:val="clear" w:color="auto" w:fill="auto"/>
            <w:hideMark/>
          </w:tcPr>
          <w:p w14:paraId="20BE2B5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F38</w:t>
            </w:r>
          </w:p>
        </w:tc>
        <w:tc>
          <w:tcPr>
            <w:tcW w:w="1131" w:type="dxa"/>
            <w:tcBorders>
              <w:top w:val="nil"/>
              <w:left w:val="nil"/>
              <w:bottom w:val="single" w:sz="4" w:space="0" w:color="auto"/>
              <w:right w:val="single" w:sz="4" w:space="0" w:color="auto"/>
            </w:tcBorders>
            <w:shd w:val="clear" w:color="auto" w:fill="auto"/>
            <w:hideMark/>
          </w:tcPr>
          <w:p w14:paraId="3A92758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Administrace</w:t>
            </w:r>
          </w:p>
        </w:tc>
        <w:tc>
          <w:tcPr>
            <w:tcW w:w="2373" w:type="dxa"/>
            <w:tcBorders>
              <w:top w:val="nil"/>
              <w:left w:val="nil"/>
              <w:bottom w:val="single" w:sz="4" w:space="0" w:color="auto"/>
              <w:right w:val="single" w:sz="4" w:space="0" w:color="auto"/>
            </w:tcBorders>
            <w:shd w:val="clear" w:color="auto" w:fill="auto"/>
            <w:hideMark/>
          </w:tcPr>
          <w:p w14:paraId="1FB2FD8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Systém musí umožňovat nastavení a provoz automatického zálohování systému a jeho dat. Poskytovatel navrhne proces automatického zálohování.</w:t>
            </w:r>
          </w:p>
        </w:tc>
        <w:tc>
          <w:tcPr>
            <w:tcW w:w="993" w:type="dxa"/>
            <w:tcBorders>
              <w:top w:val="nil"/>
              <w:left w:val="nil"/>
              <w:bottom w:val="single" w:sz="4" w:space="0" w:color="auto"/>
              <w:right w:val="single" w:sz="4" w:space="0" w:color="auto"/>
            </w:tcBorders>
            <w:shd w:val="clear" w:color="auto" w:fill="auto"/>
            <w:hideMark/>
          </w:tcPr>
          <w:p w14:paraId="30B5F7B2"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FEC299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3204CCC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7D314509"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Veškerá data - jak vlastní data, tak i repository (metadata a nastavení) systému jsou uloženy v jedné databázi MS SQL serveru. Zálohování probíhá pomocí prostředků MS SQL Serveru, který podporuje nejrůznější zálohovací scénáře (úplná, rozdílová, přírůstková, ...). Zálohování lze samozřejmě naplánovat a funguje pak zcela automaticky. Konkrétní nastavení zálohování bude dohodnuto v rámci implementace systému</w:t>
            </w:r>
          </w:p>
        </w:tc>
      </w:tr>
      <w:tr w:rsidR="00C03AF4" w:rsidRPr="001D64D5" w14:paraId="560E66B5" w14:textId="77777777" w:rsidTr="000F2E84">
        <w:trPr>
          <w:trHeight w:val="5700"/>
        </w:trPr>
        <w:tc>
          <w:tcPr>
            <w:tcW w:w="460" w:type="dxa"/>
            <w:tcBorders>
              <w:top w:val="nil"/>
              <w:left w:val="single" w:sz="4" w:space="0" w:color="auto"/>
              <w:bottom w:val="single" w:sz="4" w:space="0" w:color="auto"/>
              <w:right w:val="single" w:sz="4" w:space="0" w:color="auto"/>
            </w:tcBorders>
            <w:shd w:val="clear" w:color="auto" w:fill="auto"/>
            <w:hideMark/>
          </w:tcPr>
          <w:p w14:paraId="34C4516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F39</w:t>
            </w:r>
          </w:p>
        </w:tc>
        <w:tc>
          <w:tcPr>
            <w:tcW w:w="1131" w:type="dxa"/>
            <w:tcBorders>
              <w:top w:val="nil"/>
              <w:left w:val="nil"/>
              <w:bottom w:val="single" w:sz="4" w:space="0" w:color="auto"/>
              <w:right w:val="single" w:sz="4" w:space="0" w:color="auto"/>
            </w:tcBorders>
            <w:shd w:val="clear" w:color="auto" w:fill="auto"/>
            <w:hideMark/>
          </w:tcPr>
          <w:p w14:paraId="6A72D62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528E367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Systém musí umožňovat nastavení individuálních uživatelských účtů a dílčích přístupových práv do jednotlivých modulů, ke spouštění funkcí, ke spouštění reportů.</w:t>
            </w:r>
          </w:p>
        </w:tc>
        <w:tc>
          <w:tcPr>
            <w:tcW w:w="993" w:type="dxa"/>
            <w:tcBorders>
              <w:top w:val="nil"/>
              <w:left w:val="nil"/>
              <w:bottom w:val="single" w:sz="4" w:space="0" w:color="auto"/>
              <w:right w:val="single" w:sz="4" w:space="0" w:color="auto"/>
            </w:tcBorders>
            <w:shd w:val="clear" w:color="auto" w:fill="auto"/>
            <w:hideMark/>
          </w:tcPr>
          <w:p w14:paraId="34CC31B9"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89C4C6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3F2C5FEA"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246872F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Systém uživatelských práv umožňuje definovat práva jednotlivým uživatelům nebo rolím (skupinám uživatelů). Lze nastavovat práva nejrůznějších typů:</w:t>
            </w:r>
            <w:r w:rsidRPr="001D64D5">
              <w:rPr>
                <w:rFonts w:asciiTheme="minorHAnsi" w:hAnsiTheme="minorHAnsi" w:cstheme="minorHAnsi"/>
                <w:sz w:val="18"/>
                <w:szCs w:val="18"/>
              </w:rPr>
              <w:br/>
              <w:t>- datová práva (vidět, přidat, editovat, mazat záznam, přidat, editovat, mazat položku záznamu)</w:t>
            </w:r>
            <w:r w:rsidRPr="001D64D5">
              <w:rPr>
                <w:rFonts w:asciiTheme="minorHAnsi" w:hAnsiTheme="minorHAnsi" w:cstheme="minorHAnsi"/>
                <w:sz w:val="18"/>
                <w:szCs w:val="18"/>
              </w:rPr>
              <w:br/>
              <w:t>- práva na základní operace typu hromadná změna dat, export / import dat, změna defaultního pohledu na data, tisk, sloučení, přesun dat, ...</w:t>
            </w:r>
            <w:r w:rsidRPr="001D64D5">
              <w:rPr>
                <w:rFonts w:asciiTheme="minorHAnsi" w:hAnsiTheme="minorHAnsi" w:cstheme="minorHAnsi"/>
                <w:sz w:val="18"/>
                <w:szCs w:val="18"/>
              </w:rPr>
              <w:br/>
              <w:t>- šablony = tiskové výstupy  (editace, tvorba, mazání, použití)</w:t>
            </w:r>
            <w:r w:rsidRPr="001D64D5">
              <w:rPr>
                <w:rFonts w:asciiTheme="minorHAnsi" w:hAnsiTheme="minorHAnsi" w:cstheme="minorHAnsi"/>
                <w:sz w:val="18"/>
                <w:szCs w:val="18"/>
              </w:rPr>
              <w:br/>
              <w:t>- formuláře = pohledy na data (editace, tvorba, mazání, použití)</w:t>
            </w:r>
            <w:r w:rsidRPr="001D64D5">
              <w:rPr>
                <w:rFonts w:asciiTheme="minorHAnsi" w:hAnsiTheme="minorHAnsi" w:cstheme="minorHAnsi"/>
                <w:sz w:val="18"/>
                <w:szCs w:val="18"/>
              </w:rPr>
              <w:br/>
              <w:t>- funkce = spouštění speciálních f</w:t>
            </w:r>
            <w:r>
              <w:rPr>
                <w:rFonts w:asciiTheme="minorHAnsi" w:hAnsiTheme="minorHAnsi" w:cstheme="minorHAnsi"/>
                <w:sz w:val="18"/>
                <w:szCs w:val="18"/>
              </w:rPr>
              <w:t>unk</w:t>
            </w:r>
            <w:r w:rsidRPr="001D64D5">
              <w:rPr>
                <w:rFonts w:asciiTheme="minorHAnsi" w:hAnsiTheme="minorHAnsi" w:cstheme="minorHAnsi"/>
                <w:sz w:val="18"/>
                <w:szCs w:val="18"/>
              </w:rPr>
              <w:t>cí nad záznamy</w:t>
            </w:r>
            <w:r w:rsidRPr="001D64D5">
              <w:rPr>
                <w:rFonts w:asciiTheme="minorHAnsi" w:hAnsiTheme="minorHAnsi" w:cstheme="minorHAnsi"/>
                <w:sz w:val="18"/>
                <w:szCs w:val="18"/>
              </w:rPr>
              <w:br/>
              <w:t>- moduly - vstup d</w:t>
            </w:r>
            <w:r>
              <w:rPr>
                <w:rFonts w:asciiTheme="minorHAnsi" w:hAnsiTheme="minorHAnsi" w:cstheme="minorHAnsi"/>
                <w:sz w:val="18"/>
                <w:szCs w:val="18"/>
              </w:rPr>
              <w:t>o</w:t>
            </w:r>
            <w:r w:rsidRPr="001D64D5">
              <w:rPr>
                <w:rFonts w:asciiTheme="minorHAnsi" w:hAnsiTheme="minorHAnsi" w:cstheme="minorHAnsi"/>
                <w:sz w:val="18"/>
                <w:szCs w:val="18"/>
              </w:rPr>
              <w:t xml:space="preserve"> jednotlivých modu</w:t>
            </w:r>
            <w:r>
              <w:rPr>
                <w:rFonts w:asciiTheme="minorHAnsi" w:hAnsiTheme="minorHAnsi" w:cstheme="minorHAnsi"/>
                <w:sz w:val="18"/>
                <w:szCs w:val="18"/>
              </w:rPr>
              <w:t>l</w:t>
            </w:r>
            <w:r w:rsidRPr="001D64D5">
              <w:rPr>
                <w:rFonts w:asciiTheme="minorHAnsi" w:hAnsiTheme="minorHAnsi" w:cstheme="minorHAnsi"/>
                <w:sz w:val="18"/>
                <w:szCs w:val="18"/>
              </w:rPr>
              <w:t>ů</w:t>
            </w:r>
            <w:r w:rsidRPr="001D64D5">
              <w:rPr>
                <w:rFonts w:asciiTheme="minorHAnsi" w:hAnsiTheme="minorHAnsi" w:cstheme="minorHAnsi"/>
                <w:sz w:val="18"/>
                <w:szCs w:val="18"/>
              </w:rPr>
              <w:br/>
              <w:t>- globální nastavení systému</w:t>
            </w:r>
            <w:r w:rsidRPr="001D64D5">
              <w:rPr>
                <w:rFonts w:asciiTheme="minorHAnsi" w:hAnsiTheme="minorHAnsi" w:cstheme="minorHAnsi"/>
                <w:sz w:val="18"/>
                <w:szCs w:val="18"/>
              </w:rPr>
              <w:br/>
              <w:t>Datová práva lze svázat s třídou (datovým objektem), pořadačem (číselnou řadou záznamů), nebo konkrétním záznamem. Datová práva lze nastavit až na úroveň konkrétního atributu.</w:t>
            </w:r>
          </w:p>
        </w:tc>
      </w:tr>
      <w:tr w:rsidR="00C03AF4" w:rsidRPr="001D64D5" w14:paraId="5EEAD76A" w14:textId="77777777" w:rsidTr="000F2E84">
        <w:trPr>
          <w:trHeight w:val="900"/>
        </w:trPr>
        <w:tc>
          <w:tcPr>
            <w:tcW w:w="460" w:type="dxa"/>
            <w:tcBorders>
              <w:top w:val="nil"/>
              <w:left w:val="single" w:sz="4" w:space="0" w:color="auto"/>
              <w:bottom w:val="single" w:sz="4" w:space="0" w:color="auto"/>
              <w:right w:val="single" w:sz="4" w:space="0" w:color="auto"/>
            </w:tcBorders>
            <w:shd w:val="clear" w:color="auto" w:fill="auto"/>
            <w:hideMark/>
          </w:tcPr>
          <w:p w14:paraId="018721D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F40</w:t>
            </w:r>
          </w:p>
        </w:tc>
        <w:tc>
          <w:tcPr>
            <w:tcW w:w="1131" w:type="dxa"/>
            <w:tcBorders>
              <w:top w:val="nil"/>
              <w:left w:val="nil"/>
              <w:bottom w:val="single" w:sz="4" w:space="0" w:color="auto"/>
              <w:right w:val="single" w:sz="4" w:space="0" w:color="auto"/>
            </w:tcBorders>
            <w:shd w:val="clear" w:color="auto" w:fill="auto"/>
            <w:hideMark/>
          </w:tcPr>
          <w:p w14:paraId="382936A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Podpora provozu</w:t>
            </w:r>
          </w:p>
        </w:tc>
        <w:tc>
          <w:tcPr>
            <w:tcW w:w="2373" w:type="dxa"/>
            <w:tcBorders>
              <w:top w:val="nil"/>
              <w:left w:val="nil"/>
              <w:bottom w:val="single" w:sz="4" w:space="0" w:color="auto"/>
              <w:right w:val="single" w:sz="4" w:space="0" w:color="auto"/>
            </w:tcBorders>
            <w:shd w:val="clear" w:color="auto" w:fill="auto"/>
            <w:hideMark/>
          </w:tcPr>
          <w:p w14:paraId="202180F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Poskytovatel uvede reakční doby pro odstraňování závad chyb v systému a pro nové požadavky Nabyvatele.</w:t>
            </w:r>
          </w:p>
        </w:tc>
        <w:tc>
          <w:tcPr>
            <w:tcW w:w="993" w:type="dxa"/>
            <w:tcBorders>
              <w:top w:val="nil"/>
              <w:left w:val="nil"/>
              <w:bottom w:val="single" w:sz="4" w:space="0" w:color="auto"/>
              <w:right w:val="single" w:sz="4" w:space="0" w:color="auto"/>
            </w:tcBorders>
            <w:shd w:val="clear" w:color="auto" w:fill="auto"/>
            <w:hideMark/>
          </w:tcPr>
          <w:p w14:paraId="405CD400"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43DE92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16265F4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5920EB2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Reakční doby pro odstraňování chyb v systému a nových požadavků zadavatele jsou uvedeny v návrhu smlouvy o údržbě.</w:t>
            </w:r>
          </w:p>
        </w:tc>
      </w:tr>
      <w:tr w:rsidR="00C03AF4" w:rsidRPr="001D64D5" w14:paraId="0E9A793F" w14:textId="77777777" w:rsidTr="000F2E84">
        <w:trPr>
          <w:trHeight w:val="1500"/>
        </w:trPr>
        <w:tc>
          <w:tcPr>
            <w:tcW w:w="460" w:type="dxa"/>
            <w:tcBorders>
              <w:top w:val="nil"/>
              <w:left w:val="single" w:sz="4" w:space="0" w:color="auto"/>
              <w:bottom w:val="single" w:sz="4" w:space="0" w:color="auto"/>
              <w:right w:val="single" w:sz="4" w:space="0" w:color="auto"/>
            </w:tcBorders>
            <w:shd w:val="clear" w:color="auto" w:fill="auto"/>
            <w:hideMark/>
          </w:tcPr>
          <w:p w14:paraId="7256F4F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F41</w:t>
            </w:r>
          </w:p>
        </w:tc>
        <w:tc>
          <w:tcPr>
            <w:tcW w:w="1131" w:type="dxa"/>
            <w:tcBorders>
              <w:top w:val="nil"/>
              <w:left w:val="nil"/>
              <w:bottom w:val="single" w:sz="4" w:space="0" w:color="auto"/>
              <w:right w:val="single" w:sz="4" w:space="0" w:color="auto"/>
            </w:tcBorders>
            <w:shd w:val="clear" w:color="auto" w:fill="auto"/>
            <w:hideMark/>
          </w:tcPr>
          <w:p w14:paraId="0CFFAFEC"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480CB9A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Podpora uživatelům systému – HelpDesk, HotLine, dostupná v průběhu pracovní doby Nabyvatele.</w:t>
            </w:r>
          </w:p>
        </w:tc>
        <w:tc>
          <w:tcPr>
            <w:tcW w:w="993" w:type="dxa"/>
            <w:tcBorders>
              <w:top w:val="nil"/>
              <w:left w:val="nil"/>
              <w:bottom w:val="single" w:sz="4" w:space="0" w:color="auto"/>
              <w:right w:val="single" w:sz="4" w:space="0" w:color="auto"/>
            </w:tcBorders>
            <w:shd w:val="clear" w:color="auto" w:fill="auto"/>
            <w:hideMark/>
          </w:tcPr>
          <w:p w14:paraId="2B3A984E"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1F1A60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2E7A3AA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2228B452"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V rámci podpory systému bude uchazeč smluvně garantovat uživatelům službu Hotline (telefonický a e-mailový), dostupný v pracovní době uchazeče (8:00 – 17:00, po – pá) a helpdeskový systém provozovaný na extranetu uchazeče.</w:t>
            </w:r>
          </w:p>
        </w:tc>
      </w:tr>
      <w:tr w:rsidR="00C03AF4" w:rsidRPr="001D64D5" w14:paraId="5FF68F7E" w14:textId="77777777" w:rsidTr="000F2E84">
        <w:trPr>
          <w:trHeight w:val="3300"/>
        </w:trPr>
        <w:tc>
          <w:tcPr>
            <w:tcW w:w="460" w:type="dxa"/>
            <w:tcBorders>
              <w:top w:val="nil"/>
              <w:left w:val="single" w:sz="4" w:space="0" w:color="auto"/>
              <w:bottom w:val="single" w:sz="4" w:space="0" w:color="auto"/>
              <w:right w:val="single" w:sz="4" w:space="0" w:color="auto"/>
            </w:tcBorders>
            <w:shd w:val="clear" w:color="auto" w:fill="auto"/>
            <w:hideMark/>
          </w:tcPr>
          <w:p w14:paraId="572A15F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F42</w:t>
            </w:r>
          </w:p>
        </w:tc>
        <w:tc>
          <w:tcPr>
            <w:tcW w:w="1131" w:type="dxa"/>
            <w:tcBorders>
              <w:top w:val="nil"/>
              <w:left w:val="nil"/>
              <w:bottom w:val="single" w:sz="4" w:space="0" w:color="auto"/>
              <w:right w:val="single" w:sz="4" w:space="0" w:color="auto"/>
            </w:tcBorders>
            <w:shd w:val="clear" w:color="auto" w:fill="auto"/>
            <w:hideMark/>
          </w:tcPr>
          <w:p w14:paraId="049A7C4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373" w:type="dxa"/>
            <w:tcBorders>
              <w:top w:val="nil"/>
              <w:left w:val="nil"/>
              <w:bottom w:val="single" w:sz="4" w:space="0" w:color="auto"/>
              <w:right w:val="single" w:sz="4" w:space="0" w:color="auto"/>
            </w:tcBorders>
            <w:shd w:val="clear" w:color="auto" w:fill="auto"/>
            <w:hideMark/>
          </w:tcPr>
          <w:p w14:paraId="359E82D1" w14:textId="0689934C"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Systém musí umožňovat technickou podporu jak proškolenými lokálními pracovníky</w:t>
            </w:r>
            <w:r w:rsidR="00EC5C0A">
              <w:rPr>
                <w:rFonts w:asciiTheme="minorHAnsi" w:hAnsiTheme="minorHAnsi" w:cstheme="minorHAnsi"/>
                <w:sz w:val="18"/>
                <w:szCs w:val="18"/>
              </w:rPr>
              <w:t>,</w:t>
            </w:r>
            <w:r w:rsidRPr="001D64D5">
              <w:rPr>
                <w:rFonts w:asciiTheme="minorHAnsi" w:hAnsiTheme="minorHAnsi" w:cstheme="minorHAnsi"/>
                <w:sz w:val="18"/>
                <w:szCs w:val="18"/>
              </w:rPr>
              <w:t xml:space="preserve"> tak možnost dálkového přístupu a opravy.</w:t>
            </w:r>
          </w:p>
        </w:tc>
        <w:tc>
          <w:tcPr>
            <w:tcW w:w="993" w:type="dxa"/>
            <w:tcBorders>
              <w:top w:val="nil"/>
              <w:left w:val="nil"/>
              <w:bottom w:val="single" w:sz="4" w:space="0" w:color="auto"/>
              <w:right w:val="single" w:sz="4" w:space="0" w:color="auto"/>
            </w:tcBorders>
            <w:shd w:val="clear" w:color="auto" w:fill="auto"/>
            <w:hideMark/>
          </w:tcPr>
          <w:p w14:paraId="1D0D494B"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1C1930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1A31F95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0A364B6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Podpora provozu systému probíhá podle uzavření smlouvy o údržbě. Běžná podpora uživatelů může probíhat proškolenými lokálními pracovníky, buď přímo v sídle zadavatele, nebo formou vzdáleného přístupu. Vzhledem k charakteru organizace zadavatele (PO) uchazeč poskytne podporu kapacitami konzultantů, kteří mají dlouholeté zkušenosti se správou Helios u tohoto charakteru organizací. Tato podpora zpravidla probíhá vzdáleným přístupem, ale může být pro konkrétní případy dohodnuta i návštěva u Zadavatele.</w:t>
            </w:r>
          </w:p>
        </w:tc>
      </w:tr>
      <w:tr w:rsidR="00C03AF4" w:rsidRPr="001D64D5" w14:paraId="686CA8CA" w14:textId="77777777" w:rsidTr="000F2E84">
        <w:trPr>
          <w:trHeight w:val="4101"/>
        </w:trPr>
        <w:tc>
          <w:tcPr>
            <w:tcW w:w="460" w:type="dxa"/>
            <w:tcBorders>
              <w:top w:val="nil"/>
              <w:left w:val="single" w:sz="4" w:space="0" w:color="auto"/>
              <w:bottom w:val="single" w:sz="4" w:space="0" w:color="auto"/>
              <w:right w:val="single" w:sz="4" w:space="0" w:color="auto"/>
            </w:tcBorders>
            <w:shd w:val="clear" w:color="auto" w:fill="auto"/>
            <w:hideMark/>
          </w:tcPr>
          <w:p w14:paraId="10EBCB0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lastRenderedPageBreak/>
              <w:t>F43</w:t>
            </w:r>
          </w:p>
        </w:tc>
        <w:tc>
          <w:tcPr>
            <w:tcW w:w="1131" w:type="dxa"/>
            <w:tcBorders>
              <w:top w:val="nil"/>
              <w:left w:val="nil"/>
              <w:bottom w:val="single" w:sz="4" w:space="0" w:color="auto"/>
              <w:right w:val="single" w:sz="4" w:space="0" w:color="auto"/>
            </w:tcBorders>
            <w:shd w:val="clear" w:color="auto" w:fill="auto"/>
            <w:hideMark/>
          </w:tcPr>
          <w:p w14:paraId="40D7FDB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Server</w:t>
            </w:r>
          </w:p>
        </w:tc>
        <w:tc>
          <w:tcPr>
            <w:tcW w:w="2373" w:type="dxa"/>
            <w:tcBorders>
              <w:top w:val="nil"/>
              <w:left w:val="nil"/>
              <w:bottom w:val="single" w:sz="4" w:space="0" w:color="auto"/>
              <w:right w:val="single" w:sz="4" w:space="0" w:color="auto"/>
            </w:tcBorders>
            <w:shd w:val="clear" w:color="auto" w:fill="auto"/>
            <w:hideMark/>
          </w:tcPr>
          <w:p w14:paraId="392C53B5"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xml:space="preserve">Systém bude provozován na virtuálním serveru zřizovatele - uveďte požadované parametry na server </w:t>
            </w:r>
          </w:p>
        </w:tc>
        <w:tc>
          <w:tcPr>
            <w:tcW w:w="993" w:type="dxa"/>
            <w:tcBorders>
              <w:top w:val="nil"/>
              <w:left w:val="nil"/>
              <w:bottom w:val="single" w:sz="4" w:space="0" w:color="auto"/>
              <w:right w:val="single" w:sz="4" w:space="0" w:color="auto"/>
            </w:tcBorders>
            <w:shd w:val="clear" w:color="auto" w:fill="auto"/>
            <w:hideMark/>
          </w:tcPr>
          <w:p w14:paraId="74940983"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E3DE0B8"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56E2F60B"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000000" w:fill="FFFFFF"/>
            <w:hideMark/>
          </w:tcPr>
          <w:p w14:paraId="5C05DFEF"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Databázový server:</w:t>
            </w:r>
            <w:r w:rsidRPr="001D64D5">
              <w:rPr>
                <w:rFonts w:asciiTheme="minorHAnsi" w:hAnsiTheme="minorHAnsi" w:cstheme="minorHAnsi"/>
                <w:sz w:val="18"/>
                <w:szCs w:val="18"/>
              </w:rPr>
              <w:br/>
              <w:t xml:space="preserve">- serverový procesor podporující x64 set instrukcí Intel, AMD, frekvence min. 2 GHz </w:t>
            </w:r>
            <w:r w:rsidRPr="001D64D5">
              <w:rPr>
                <w:rFonts w:asciiTheme="minorHAnsi" w:hAnsiTheme="minorHAnsi" w:cstheme="minorHAnsi"/>
                <w:sz w:val="18"/>
                <w:szCs w:val="18"/>
              </w:rPr>
              <w:br/>
              <w:t>- min. 16 GB RAM</w:t>
            </w:r>
            <w:r w:rsidRPr="001D64D5">
              <w:rPr>
                <w:rFonts w:asciiTheme="minorHAnsi" w:hAnsiTheme="minorHAnsi" w:cstheme="minorHAnsi"/>
                <w:sz w:val="18"/>
                <w:szCs w:val="18"/>
              </w:rPr>
              <w:br/>
              <w:t>- samostatný disk pro databáze o velikosti min. 256 GB</w:t>
            </w:r>
            <w:r w:rsidRPr="001D64D5">
              <w:rPr>
                <w:rFonts w:asciiTheme="minorHAnsi" w:hAnsiTheme="minorHAnsi" w:cstheme="minorHAnsi"/>
                <w:sz w:val="18"/>
                <w:szCs w:val="18"/>
              </w:rPr>
              <w:br/>
              <w:t>- OS Windows Server 2019 64-bit</w:t>
            </w:r>
            <w:r w:rsidRPr="001D64D5">
              <w:rPr>
                <w:rFonts w:asciiTheme="minorHAnsi" w:hAnsiTheme="minorHAnsi" w:cstheme="minorHAnsi"/>
                <w:sz w:val="18"/>
                <w:szCs w:val="18"/>
              </w:rPr>
              <w:br/>
              <w:t>- MS SQL 2019</w:t>
            </w:r>
            <w:r w:rsidRPr="001D64D5">
              <w:rPr>
                <w:rFonts w:asciiTheme="minorHAnsi" w:hAnsiTheme="minorHAnsi" w:cstheme="minorHAnsi"/>
                <w:sz w:val="18"/>
                <w:szCs w:val="18"/>
              </w:rPr>
              <w:br/>
              <w:t>Aplikační server:</w:t>
            </w:r>
            <w:r w:rsidRPr="001D64D5">
              <w:rPr>
                <w:rFonts w:asciiTheme="minorHAnsi" w:hAnsiTheme="minorHAnsi" w:cstheme="minorHAnsi"/>
                <w:sz w:val="18"/>
                <w:szCs w:val="18"/>
              </w:rPr>
              <w:br/>
              <w:t>- CPU s min. 4 jádry</w:t>
            </w:r>
            <w:r w:rsidRPr="001D64D5">
              <w:rPr>
                <w:rFonts w:asciiTheme="minorHAnsi" w:hAnsiTheme="minorHAnsi" w:cstheme="minorHAnsi"/>
                <w:sz w:val="18"/>
                <w:szCs w:val="18"/>
              </w:rPr>
              <w:br/>
              <w:t>- min. 12 GB RAM</w:t>
            </w:r>
            <w:r w:rsidRPr="001D64D5">
              <w:rPr>
                <w:rFonts w:asciiTheme="minorHAnsi" w:hAnsiTheme="minorHAnsi" w:cstheme="minorHAnsi"/>
                <w:sz w:val="18"/>
                <w:szCs w:val="18"/>
              </w:rPr>
              <w:br/>
              <w:t>- disk min. 256 GB</w:t>
            </w:r>
            <w:r w:rsidRPr="001D64D5">
              <w:rPr>
                <w:rFonts w:asciiTheme="minorHAnsi" w:hAnsiTheme="minorHAnsi" w:cstheme="minorHAnsi"/>
                <w:sz w:val="18"/>
                <w:szCs w:val="18"/>
              </w:rPr>
              <w:br/>
              <w:t>- OS Windows Server 2019 64-bit</w:t>
            </w:r>
            <w:r w:rsidRPr="001D64D5">
              <w:rPr>
                <w:rFonts w:asciiTheme="minorHAnsi" w:hAnsiTheme="minorHAnsi" w:cstheme="minorHAnsi"/>
                <w:sz w:val="18"/>
                <w:szCs w:val="18"/>
              </w:rPr>
              <w:br/>
              <w:t>- Aplikační server HELIOS nemůže být provozován na serveru, kde je instalován doménový řadič (domain controller)</w:t>
            </w:r>
          </w:p>
        </w:tc>
      </w:tr>
      <w:tr w:rsidR="00C03AF4" w:rsidRPr="001D64D5" w14:paraId="1A0FEADA" w14:textId="77777777" w:rsidTr="000F2E84">
        <w:trPr>
          <w:trHeight w:val="4500"/>
        </w:trPr>
        <w:tc>
          <w:tcPr>
            <w:tcW w:w="460" w:type="dxa"/>
            <w:tcBorders>
              <w:top w:val="nil"/>
              <w:left w:val="single" w:sz="4" w:space="0" w:color="auto"/>
              <w:bottom w:val="single" w:sz="4" w:space="0" w:color="auto"/>
              <w:right w:val="single" w:sz="4" w:space="0" w:color="auto"/>
            </w:tcBorders>
            <w:shd w:val="clear" w:color="auto" w:fill="auto"/>
            <w:hideMark/>
          </w:tcPr>
          <w:p w14:paraId="2B944CD6"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F44</w:t>
            </w:r>
          </w:p>
        </w:tc>
        <w:tc>
          <w:tcPr>
            <w:tcW w:w="1131" w:type="dxa"/>
            <w:tcBorders>
              <w:top w:val="nil"/>
              <w:left w:val="nil"/>
              <w:bottom w:val="single" w:sz="4" w:space="0" w:color="auto"/>
              <w:right w:val="single" w:sz="4" w:space="0" w:color="auto"/>
            </w:tcBorders>
            <w:shd w:val="clear" w:color="auto" w:fill="auto"/>
            <w:hideMark/>
          </w:tcPr>
          <w:p w14:paraId="7354867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Stanice</w:t>
            </w:r>
          </w:p>
        </w:tc>
        <w:tc>
          <w:tcPr>
            <w:tcW w:w="2373" w:type="dxa"/>
            <w:tcBorders>
              <w:top w:val="nil"/>
              <w:left w:val="nil"/>
              <w:bottom w:val="single" w:sz="4" w:space="0" w:color="auto"/>
              <w:right w:val="single" w:sz="4" w:space="0" w:color="auto"/>
            </w:tcBorders>
            <w:shd w:val="clear" w:color="auto" w:fill="auto"/>
            <w:hideMark/>
          </w:tcPr>
          <w:p w14:paraId="0CB712B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Uživatelské stanice s procesorem Intel i3, 4GB RAM, OS MS WINDOWS 10 Pro 64bit</w:t>
            </w:r>
          </w:p>
        </w:tc>
        <w:tc>
          <w:tcPr>
            <w:tcW w:w="993" w:type="dxa"/>
            <w:tcBorders>
              <w:top w:val="nil"/>
              <w:left w:val="nil"/>
              <w:bottom w:val="single" w:sz="4" w:space="0" w:color="auto"/>
              <w:right w:val="single" w:sz="4" w:space="0" w:color="auto"/>
            </w:tcBorders>
            <w:shd w:val="clear" w:color="auto" w:fill="auto"/>
            <w:hideMark/>
          </w:tcPr>
          <w:p w14:paraId="6656CD93"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B19765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0ADDBDB4"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000000" w:fill="FFFFFF"/>
            <w:hideMark/>
          </w:tcPr>
          <w:p w14:paraId="77C34A8D"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Klientské stanice:</w:t>
            </w:r>
            <w:r w:rsidRPr="001D64D5">
              <w:rPr>
                <w:rFonts w:asciiTheme="minorHAnsi" w:hAnsiTheme="minorHAnsi" w:cstheme="minorHAnsi"/>
                <w:sz w:val="18"/>
                <w:szCs w:val="18"/>
              </w:rPr>
              <w:br/>
              <w:t>- CPU quad-core procesor 2,2 GHz+, Intel/AMD, GPU integrovaná Intel HD Graphics 510, nebo dedikovaná Nvidia 750, AMD R7 360.</w:t>
            </w:r>
            <w:r w:rsidRPr="001D64D5">
              <w:rPr>
                <w:rFonts w:asciiTheme="minorHAnsi" w:hAnsiTheme="minorHAnsi" w:cstheme="minorHAnsi"/>
                <w:sz w:val="18"/>
                <w:szCs w:val="18"/>
              </w:rPr>
              <w:br/>
              <w:t>- doporučeno 6 GB RAM Windows 7SP1 ESU; pro Windows 8.1 a 10 12GB RAM.</w:t>
            </w:r>
            <w:r w:rsidRPr="001D64D5">
              <w:rPr>
                <w:rFonts w:asciiTheme="minorHAnsi" w:hAnsiTheme="minorHAnsi" w:cstheme="minorHAnsi"/>
                <w:sz w:val="18"/>
                <w:szCs w:val="18"/>
              </w:rPr>
              <w:br/>
              <w:t>- min. 1 GB diskového prostoru</w:t>
            </w:r>
            <w:r w:rsidRPr="001D64D5">
              <w:rPr>
                <w:rFonts w:asciiTheme="minorHAnsi" w:hAnsiTheme="minorHAnsi" w:cstheme="minorHAnsi"/>
                <w:sz w:val="18"/>
                <w:szCs w:val="18"/>
              </w:rPr>
              <w:br/>
              <w:t>- rozlišení monitoru min.1024x768, 1920x1080, 2560x1440, 3840 x 2160 a 4096 × 2160.</w:t>
            </w:r>
            <w:r w:rsidRPr="001D64D5">
              <w:rPr>
                <w:rFonts w:asciiTheme="minorHAnsi" w:hAnsiTheme="minorHAnsi" w:cstheme="minorHAnsi"/>
                <w:sz w:val="18"/>
                <w:szCs w:val="18"/>
              </w:rPr>
              <w:br/>
              <w:t>- doporučujeme použít quad-core procesor, pokud na klientské stanici budete provozovat současně i jiné aplikace než klienta HELIOS Green, např. MS Outlook.</w:t>
            </w:r>
            <w:r w:rsidRPr="001D64D5">
              <w:rPr>
                <w:rFonts w:asciiTheme="minorHAnsi" w:hAnsiTheme="minorHAnsi" w:cstheme="minorHAnsi"/>
                <w:sz w:val="18"/>
                <w:szCs w:val="18"/>
              </w:rPr>
              <w:br/>
              <w:t>- OS Windows 7 SP1 ESU, OS Windows 8.1, OS Windows 10(doporučeno)</w:t>
            </w:r>
            <w:r w:rsidRPr="001D64D5">
              <w:rPr>
                <w:rFonts w:asciiTheme="minorHAnsi" w:hAnsiTheme="minorHAnsi" w:cstheme="minorHAnsi"/>
                <w:sz w:val="18"/>
                <w:szCs w:val="18"/>
              </w:rPr>
              <w:br/>
              <w:t>- MS.NET Framework 4.8</w:t>
            </w:r>
          </w:p>
        </w:tc>
      </w:tr>
      <w:tr w:rsidR="00C03AF4" w:rsidRPr="001D64D5" w14:paraId="64544980" w14:textId="77777777" w:rsidTr="000F2E84">
        <w:trPr>
          <w:trHeight w:val="2400"/>
        </w:trPr>
        <w:tc>
          <w:tcPr>
            <w:tcW w:w="460" w:type="dxa"/>
            <w:tcBorders>
              <w:top w:val="nil"/>
              <w:left w:val="single" w:sz="4" w:space="0" w:color="auto"/>
              <w:bottom w:val="single" w:sz="4" w:space="0" w:color="auto"/>
              <w:right w:val="single" w:sz="4" w:space="0" w:color="auto"/>
            </w:tcBorders>
            <w:shd w:val="clear" w:color="auto" w:fill="auto"/>
            <w:hideMark/>
          </w:tcPr>
          <w:p w14:paraId="6FB168C3"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F45</w:t>
            </w:r>
          </w:p>
        </w:tc>
        <w:tc>
          <w:tcPr>
            <w:tcW w:w="1131" w:type="dxa"/>
            <w:tcBorders>
              <w:top w:val="nil"/>
              <w:left w:val="nil"/>
              <w:bottom w:val="single" w:sz="4" w:space="0" w:color="auto"/>
              <w:right w:val="single" w:sz="4" w:space="0" w:color="auto"/>
            </w:tcBorders>
            <w:shd w:val="clear" w:color="auto" w:fill="auto"/>
            <w:hideMark/>
          </w:tcPr>
          <w:p w14:paraId="040CEA31"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Licence pro provoz databáze systému</w:t>
            </w:r>
          </w:p>
        </w:tc>
        <w:tc>
          <w:tcPr>
            <w:tcW w:w="2373" w:type="dxa"/>
            <w:tcBorders>
              <w:top w:val="nil"/>
              <w:left w:val="nil"/>
              <w:bottom w:val="single" w:sz="4" w:space="0" w:color="auto"/>
              <w:right w:val="single" w:sz="4" w:space="0" w:color="auto"/>
            </w:tcBorders>
            <w:shd w:val="clear" w:color="auto" w:fill="auto"/>
            <w:hideMark/>
          </w:tcPr>
          <w:p w14:paraId="7E811C42" w14:textId="14547141"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Zadavatel požaduje</w:t>
            </w:r>
            <w:r w:rsidR="00EC5C0A">
              <w:rPr>
                <w:rFonts w:asciiTheme="minorHAnsi" w:hAnsiTheme="minorHAnsi" w:cstheme="minorHAnsi"/>
                <w:sz w:val="18"/>
                <w:szCs w:val="18"/>
              </w:rPr>
              <w:t>,</w:t>
            </w:r>
            <w:r w:rsidRPr="001D64D5">
              <w:rPr>
                <w:rFonts w:asciiTheme="minorHAnsi" w:hAnsiTheme="minorHAnsi" w:cstheme="minorHAnsi"/>
                <w:sz w:val="18"/>
                <w:szCs w:val="18"/>
              </w:rPr>
              <w:t xml:space="preserve"> aby součástí dodávky systému byly následující licence pro provoz databáze:</w:t>
            </w:r>
            <w:r w:rsidRPr="001D64D5">
              <w:rPr>
                <w:rFonts w:asciiTheme="minorHAnsi" w:hAnsiTheme="minorHAnsi" w:cstheme="minorHAnsi"/>
                <w:sz w:val="18"/>
                <w:szCs w:val="18"/>
              </w:rPr>
              <w:br/>
              <w:t>- SQL Server StdRuntime 2019 … 1 server</w:t>
            </w:r>
            <w:r w:rsidRPr="001D64D5">
              <w:rPr>
                <w:rFonts w:asciiTheme="minorHAnsi" w:hAnsiTheme="minorHAnsi" w:cstheme="minorHAnsi"/>
                <w:sz w:val="18"/>
                <w:szCs w:val="18"/>
              </w:rPr>
              <w:br/>
              <w:t>- Microsoft SQL user CAL Runtime 2019 … 25 uživatelů</w:t>
            </w:r>
            <w:r w:rsidRPr="001D64D5">
              <w:rPr>
                <w:rFonts w:asciiTheme="minorHAnsi" w:hAnsiTheme="minorHAnsi" w:cstheme="minorHAnsi"/>
                <w:sz w:val="18"/>
                <w:szCs w:val="18"/>
              </w:rPr>
              <w:br/>
              <w:t>- pro přístup 20 konkurenčních uživatelů do informačního systému v jednom okamžiku současně.</w:t>
            </w:r>
          </w:p>
        </w:tc>
        <w:tc>
          <w:tcPr>
            <w:tcW w:w="993" w:type="dxa"/>
            <w:tcBorders>
              <w:top w:val="nil"/>
              <w:left w:val="nil"/>
              <w:bottom w:val="single" w:sz="4" w:space="0" w:color="auto"/>
              <w:right w:val="single" w:sz="4" w:space="0" w:color="auto"/>
            </w:tcBorders>
            <w:shd w:val="clear" w:color="auto" w:fill="auto"/>
            <w:hideMark/>
          </w:tcPr>
          <w:p w14:paraId="3A26149A" w14:textId="77777777" w:rsidR="00C03AF4" w:rsidRPr="001D64D5" w:rsidRDefault="00C03AF4" w:rsidP="000F2E84">
            <w:pPr>
              <w:jc w:val="center"/>
              <w:rPr>
                <w:rFonts w:asciiTheme="minorHAnsi" w:hAnsiTheme="minorHAnsi" w:cstheme="minorHAnsi"/>
                <w:sz w:val="18"/>
                <w:szCs w:val="18"/>
              </w:rPr>
            </w:pPr>
            <w:r w:rsidRPr="001D64D5">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1F11EE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7A3B5E47"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 </w:t>
            </w:r>
          </w:p>
        </w:tc>
        <w:tc>
          <w:tcPr>
            <w:tcW w:w="2694" w:type="dxa"/>
            <w:tcBorders>
              <w:top w:val="nil"/>
              <w:left w:val="nil"/>
              <w:bottom w:val="single" w:sz="4" w:space="0" w:color="auto"/>
              <w:right w:val="single" w:sz="4" w:space="0" w:color="auto"/>
            </w:tcBorders>
            <w:shd w:val="clear" w:color="auto" w:fill="auto"/>
            <w:hideMark/>
          </w:tcPr>
          <w:p w14:paraId="529CCC3E" w14:textId="77777777" w:rsidR="00C03AF4" w:rsidRPr="001D64D5" w:rsidRDefault="00C03AF4" w:rsidP="000F2E84">
            <w:pPr>
              <w:rPr>
                <w:rFonts w:asciiTheme="minorHAnsi" w:hAnsiTheme="minorHAnsi" w:cstheme="minorHAnsi"/>
                <w:sz w:val="18"/>
                <w:szCs w:val="18"/>
              </w:rPr>
            </w:pPr>
            <w:r w:rsidRPr="001D64D5">
              <w:rPr>
                <w:rFonts w:asciiTheme="minorHAnsi" w:hAnsiTheme="minorHAnsi" w:cstheme="minorHAnsi"/>
                <w:sz w:val="18"/>
                <w:szCs w:val="18"/>
              </w:rPr>
              <w:t>Součástí nabídky jsou také licence pro provoz databáze v rozsahu podle specifikace tohoto požadavku.</w:t>
            </w:r>
          </w:p>
        </w:tc>
      </w:tr>
    </w:tbl>
    <w:p w14:paraId="1094B1AF" w14:textId="77777777" w:rsidR="00C03AF4" w:rsidRDefault="00C03AF4" w:rsidP="00C03AF4">
      <w:pPr>
        <w:jc w:val="both"/>
        <w:rPr>
          <w:rFonts w:ascii="Verdana" w:hAnsi="Verdana" w:cs="Arial"/>
          <w:sz w:val="20"/>
          <w:szCs w:val="20"/>
        </w:rPr>
      </w:pPr>
    </w:p>
    <w:p w14:paraId="3371358E" w14:textId="77777777" w:rsidR="00C03AF4" w:rsidRDefault="00C03AF4" w:rsidP="00C03AF4">
      <w:pPr>
        <w:jc w:val="both"/>
        <w:rPr>
          <w:rFonts w:ascii="Verdana" w:hAnsi="Verdana" w:cs="Arial"/>
          <w:sz w:val="20"/>
          <w:szCs w:val="20"/>
        </w:rPr>
      </w:pPr>
    </w:p>
    <w:p w14:paraId="19205E28" w14:textId="77777777" w:rsidR="00C03AF4" w:rsidRPr="00EA675E" w:rsidRDefault="00C03AF4" w:rsidP="00C03AF4">
      <w:pPr>
        <w:pStyle w:val="Zkladntext31"/>
        <w:rPr>
          <w:rFonts w:eastAsia="Calibri"/>
          <w:b/>
        </w:rPr>
      </w:pPr>
      <w:r w:rsidRPr="00EA675E">
        <w:rPr>
          <w:rFonts w:eastAsia="Calibri"/>
          <w:b/>
        </w:rPr>
        <w:t>Ekonomika</w:t>
      </w:r>
    </w:p>
    <w:tbl>
      <w:tblPr>
        <w:tblW w:w="9493" w:type="dxa"/>
        <w:tblInd w:w="75" w:type="dxa"/>
        <w:tblCellMar>
          <w:left w:w="70" w:type="dxa"/>
          <w:right w:w="70" w:type="dxa"/>
        </w:tblCellMar>
        <w:tblLook w:val="04A0" w:firstRow="1" w:lastRow="0" w:firstColumn="1" w:lastColumn="0" w:noHBand="0" w:noVBand="1"/>
      </w:tblPr>
      <w:tblGrid>
        <w:gridCol w:w="492"/>
        <w:gridCol w:w="1166"/>
        <w:gridCol w:w="2257"/>
        <w:gridCol w:w="1072"/>
        <w:gridCol w:w="917"/>
        <w:gridCol w:w="1121"/>
        <w:gridCol w:w="2468"/>
      </w:tblGrid>
      <w:tr w:rsidR="00C03AF4" w:rsidRPr="00790C8D" w14:paraId="6FD823CC" w14:textId="77777777" w:rsidTr="000F2E84">
        <w:trPr>
          <w:trHeight w:val="600"/>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8E8A5" w14:textId="77777777" w:rsidR="00C03AF4" w:rsidRPr="00EA675E" w:rsidRDefault="00C03AF4" w:rsidP="000F2E84">
            <w:pPr>
              <w:jc w:val="center"/>
              <w:rPr>
                <w:rFonts w:asciiTheme="minorHAnsi" w:hAnsiTheme="minorHAnsi" w:cstheme="minorHAnsi"/>
                <w:b/>
                <w:bCs/>
                <w:sz w:val="18"/>
                <w:szCs w:val="18"/>
              </w:rPr>
            </w:pPr>
            <w:r w:rsidRPr="00EA675E">
              <w:rPr>
                <w:rFonts w:asciiTheme="minorHAnsi" w:hAnsiTheme="minorHAnsi" w:cstheme="minorHAnsi"/>
                <w:b/>
                <w:bCs/>
                <w:sz w:val="18"/>
                <w:szCs w:val="18"/>
              </w:rPr>
              <w:t>P.Č.</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B91B9AF" w14:textId="77777777" w:rsidR="00C03AF4" w:rsidRPr="00EA675E" w:rsidRDefault="00C03AF4" w:rsidP="000F2E84">
            <w:pPr>
              <w:jc w:val="center"/>
              <w:rPr>
                <w:rFonts w:asciiTheme="minorHAnsi" w:hAnsiTheme="minorHAnsi" w:cstheme="minorHAnsi"/>
                <w:b/>
                <w:bCs/>
                <w:sz w:val="18"/>
                <w:szCs w:val="18"/>
              </w:rPr>
            </w:pPr>
            <w:r w:rsidRPr="00EA675E">
              <w:rPr>
                <w:rFonts w:asciiTheme="minorHAnsi" w:hAnsiTheme="minorHAnsi" w:cstheme="minorHAnsi"/>
                <w:b/>
                <w:bCs/>
                <w:sz w:val="18"/>
                <w:szCs w:val="18"/>
              </w:rPr>
              <w:t>Oblast</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208D742C" w14:textId="77777777" w:rsidR="00C03AF4" w:rsidRPr="00EA675E" w:rsidRDefault="00C03AF4" w:rsidP="000F2E84">
            <w:pPr>
              <w:jc w:val="center"/>
              <w:rPr>
                <w:rFonts w:asciiTheme="minorHAnsi" w:hAnsiTheme="minorHAnsi" w:cstheme="minorHAnsi"/>
                <w:b/>
                <w:bCs/>
                <w:sz w:val="18"/>
                <w:szCs w:val="18"/>
              </w:rPr>
            </w:pPr>
            <w:r w:rsidRPr="00EA675E">
              <w:rPr>
                <w:rFonts w:asciiTheme="minorHAnsi" w:hAnsiTheme="minorHAnsi" w:cstheme="minorHAnsi"/>
                <w:b/>
                <w:bCs/>
                <w:sz w:val="18"/>
                <w:szCs w:val="18"/>
              </w:rPr>
              <w:t>Požadavek</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6DAE90BA" w14:textId="77777777" w:rsidR="00C03AF4" w:rsidRPr="00EA675E" w:rsidRDefault="00C03AF4" w:rsidP="000F2E84">
            <w:pPr>
              <w:jc w:val="center"/>
              <w:rPr>
                <w:rFonts w:asciiTheme="minorHAnsi" w:hAnsiTheme="minorHAnsi" w:cstheme="minorHAnsi"/>
                <w:b/>
                <w:bCs/>
                <w:sz w:val="18"/>
                <w:szCs w:val="18"/>
              </w:rPr>
            </w:pPr>
            <w:r w:rsidRPr="00EA675E">
              <w:rPr>
                <w:rFonts w:asciiTheme="minorHAnsi" w:hAnsiTheme="minorHAnsi" w:cstheme="minorHAnsi"/>
                <w:b/>
                <w:bCs/>
                <w:sz w:val="18"/>
                <w:szCs w:val="18"/>
              </w:rPr>
              <w:t>Splněno ve standardu</w:t>
            </w:r>
          </w:p>
        </w:tc>
        <w:tc>
          <w:tcPr>
            <w:tcW w:w="917" w:type="dxa"/>
            <w:tcBorders>
              <w:top w:val="single" w:sz="4" w:space="0" w:color="auto"/>
              <w:left w:val="nil"/>
              <w:bottom w:val="single" w:sz="4" w:space="0" w:color="auto"/>
              <w:right w:val="single" w:sz="4" w:space="0" w:color="auto"/>
            </w:tcBorders>
            <w:shd w:val="clear" w:color="auto" w:fill="auto"/>
            <w:vAlign w:val="center"/>
            <w:hideMark/>
          </w:tcPr>
          <w:p w14:paraId="5CF31A1E" w14:textId="77777777" w:rsidR="00C03AF4" w:rsidRPr="00EA675E" w:rsidRDefault="00C03AF4" w:rsidP="000F2E84">
            <w:pPr>
              <w:jc w:val="center"/>
              <w:rPr>
                <w:rFonts w:asciiTheme="minorHAnsi" w:hAnsiTheme="minorHAnsi" w:cstheme="minorHAnsi"/>
                <w:b/>
                <w:bCs/>
                <w:sz w:val="18"/>
                <w:szCs w:val="18"/>
              </w:rPr>
            </w:pPr>
            <w:r w:rsidRPr="00EA675E">
              <w:rPr>
                <w:rFonts w:asciiTheme="minorHAnsi" w:hAnsiTheme="minorHAnsi" w:cstheme="minorHAnsi"/>
                <w:b/>
                <w:bCs/>
                <w:sz w:val="18"/>
                <w:szCs w:val="18"/>
              </w:rPr>
              <w:t>Splněno vývojem</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753DD620" w14:textId="77777777" w:rsidR="00C03AF4" w:rsidRPr="00EA675E" w:rsidRDefault="00C03AF4" w:rsidP="000F2E84">
            <w:pPr>
              <w:jc w:val="center"/>
              <w:rPr>
                <w:rFonts w:asciiTheme="minorHAnsi" w:hAnsiTheme="minorHAnsi" w:cstheme="minorHAnsi"/>
                <w:b/>
                <w:bCs/>
                <w:sz w:val="18"/>
                <w:szCs w:val="18"/>
              </w:rPr>
            </w:pPr>
            <w:r w:rsidRPr="00EA675E">
              <w:rPr>
                <w:rFonts w:asciiTheme="minorHAnsi" w:hAnsiTheme="minorHAnsi" w:cstheme="minorHAnsi"/>
                <w:b/>
                <w:bCs/>
                <w:sz w:val="18"/>
                <w:szCs w:val="18"/>
              </w:rPr>
              <w:t>Nesplněno</w:t>
            </w:r>
          </w:p>
        </w:tc>
        <w:tc>
          <w:tcPr>
            <w:tcW w:w="2468" w:type="dxa"/>
            <w:tcBorders>
              <w:top w:val="single" w:sz="4" w:space="0" w:color="auto"/>
              <w:left w:val="nil"/>
              <w:bottom w:val="single" w:sz="4" w:space="0" w:color="auto"/>
              <w:right w:val="single" w:sz="4" w:space="0" w:color="auto"/>
            </w:tcBorders>
            <w:shd w:val="clear" w:color="auto" w:fill="auto"/>
            <w:vAlign w:val="center"/>
            <w:hideMark/>
          </w:tcPr>
          <w:p w14:paraId="604C72AC" w14:textId="77777777" w:rsidR="00C03AF4" w:rsidRPr="00EA675E" w:rsidRDefault="00C03AF4" w:rsidP="000F2E84">
            <w:pPr>
              <w:jc w:val="center"/>
              <w:rPr>
                <w:rFonts w:asciiTheme="minorHAnsi" w:hAnsiTheme="minorHAnsi" w:cstheme="minorHAnsi"/>
                <w:b/>
                <w:bCs/>
                <w:sz w:val="18"/>
                <w:szCs w:val="18"/>
              </w:rPr>
            </w:pPr>
            <w:r w:rsidRPr="00EA675E">
              <w:rPr>
                <w:rFonts w:asciiTheme="minorHAnsi" w:hAnsiTheme="minorHAnsi" w:cstheme="minorHAnsi"/>
                <w:b/>
                <w:bCs/>
                <w:sz w:val="18"/>
                <w:szCs w:val="18"/>
              </w:rPr>
              <w:t>Popis způsobu řešení</w:t>
            </w:r>
          </w:p>
        </w:tc>
      </w:tr>
      <w:tr w:rsidR="00C03AF4" w:rsidRPr="00790C8D" w14:paraId="1046ACF0" w14:textId="77777777" w:rsidTr="000F2E84">
        <w:trPr>
          <w:trHeight w:val="300"/>
        </w:trPr>
        <w:tc>
          <w:tcPr>
            <w:tcW w:w="492" w:type="dxa"/>
            <w:tcBorders>
              <w:top w:val="nil"/>
              <w:left w:val="single" w:sz="4" w:space="0" w:color="auto"/>
              <w:bottom w:val="single" w:sz="4" w:space="0" w:color="auto"/>
              <w:right w:val="single" w:sz="4" w:space="0" w:color="auto"/>
            </w:tcBorders>
            <w:shd w:val="clear" w:color="auto" w:fill="auto"/>
            <w:hideMark/>
          </w:tcPr>
          <w:p w14:paraId="51E237D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w:t>
            </w:r>
          </w:p>
        </w:tc>
        <w:tc>
          <w:tcPr>
            <w:tcW w:w="1166" w:type="dxa"/>
            <w:tcBorders>
              <w:top w:val="nil"/>
              <w:left w:val="nil"/>
              <w:bottom w:val="single" w:sz="4" w:space="0" w:color="auto"/>
              <w:right w:val="single" w:sz="4" w:space="0" w:color="auto"/>
            </w:tcBorders>
            <w:shd w:val="clear" w:color="auto" w:fill="auto"/>
            <w:hideMark/>
          </w:tcPr>
          <w:p w14:paraId="6E859204" w14:textId="77777777" w:rsidR="00C03AF4" w:rsidRPr="00EA675E" w:rsidRDefault="00C03AF4" w:rsidP="000F2E84">
            <w:pPr>
              <w:rPr>
                <w:rFonts w:asciiTheme="minorHAnsi" w:hAnsiTheme="minorHAnsi" w:cstheme="minorHAnsi"/>
                <w:b/>
                <w:bCs/>
                <w:sz w:val="18"/>
                <w:szCs w:val="18"/>
                <w:u w:val="single"/>
              </w:rPr>
            </w:pPr>
            <w:r w:rsidRPr="00EA675E">
              <w:rPr>
                <w:rFonts w:asciiTheme="minorHAnsi" w:hAnsiTheme="minorHAnsi" w:cstheme="minorHAnsi"/>
                <w:b/>
                <w:bCs/>
                <w:sz w:val="18"/>
                <w:szCs w:val="18"/>
                <w:u w:val="single"/>
              </w:rPr>
              <w:t>Účetnictví</w:t>
            </w:r>
          </w:p>
        </w:tc>
        <w:tc>
          <w:tcPr>
            <w:tcW w:w="2257" w:type="dxa"/>
            <w:tcBorders>
              <w:top w:val="nil"/>
              <w:left w:val="nil"/>
              <w:bottom w:val="single" w:sz="4" w:space="0" w:color="auto"/>
              <w:right w:val="single" w:sz="4" w:space="0" w:color="auto"/>
            </w:tcBorders>
            <w:shd w:val="clear" w:color="auto" w:fill="auto"/>
            <w:hideMark/>
          </w:tcPr>
          <w:p w14:paraId="153F8BE8" w14:textId="77777777" w:rsidR="00C03AF4" w:rsidRPr="00EA675E" w:rsidRDefault="00C03AF4" w:rsidP="000F2E84">
            <w:pPr>
              <w:rPr>
                <w:rFonts w:asciiTheme="minorHAnsi" w:hAnsiTheme="minorHAnsi" w:cstheme="minorHAnsi"/>
                <w:b/>
                <w:bCs/>
                <w:sz w:val="18"/>
                <w:szCs w:val="18"/>
                <w:u w:val="single"/>
              </w:rPr>
            </w:pPr>
            <w:r w:rsidRPr="00EA675E">
              <w:rPr>
                <w:rFonts w:asciiTheme="minorHAnsi" w:hAnsiTheme="minorHAnsi" w:cstheme="minorHAnsi"/>
                <w:b/>
                <w:bCs/>
                <w:sz w:val="18"/>
                <w:szCs w:val="18"/>
                <w:u w:val="single"/>
              </w:rPr>
              <w:t> </w:t>
            </w:r>
          </w:p>
        </w:tc>
        <w:tc>
          <w:tcPr>
            <w:tcW w:w="1072" w:type="dxa"/>
            <w:tcBorders>
              <w:top w:val="nil"/>
              <w:left w:val="nil"/>
              <w:bottom w:val="single" w:sz="4" w:space="0" w:color="auto"/>
              <w:right w:val="single" w:sz="4" w:space="0" w:color="auto"/>
            </w:tcBorders>
            <w:shd w:val="clear" w:color="auto" w:fill="auto"/>
            <w:hideMark/>
          </w:tcPr>
          <w:p w14:paraId="41E6FED9"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 </w:t>
            </w:r>
          </w:p>
        </w:tc>
        <w:tc>
          <w:tcPr>
            <w:tcW w:w="917" w:type="dxa"/>
            <w:tcBorders>
              <w:top w:val="nil"/>
              <w:left w:val="nil"/>
              <w:bottom w:val="single" w:sz="4" w:space="0" w:color="auto"/>
              <w:right w:val="single" w:sz="4" w:space="0" w:color="auto"/>
            </w:tcBorders>
            <w:shd w:val="clear" w:color="auto" w:fill="auto"/>
            <w:hideMark/>
          </w:tcPr>
          <w:p w14:paraId="55CBB42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02CC316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6E8F734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r>
      <w:tr w:rsidR="00C03AF4" w:rsidRPr="00790C8D" w14:paraId="5E49AA81" w14:textId="77777777" w:rsidTr="000F2E84">
        <w:trPr>
          <w:trHeight w:val="2100"/>
        </w:trPr>
        <w:tc>
          <w:tcPr>
            <w:tcW w:w="492" w:type="dxa"/>
            <w:tcBorders>
              <w:top w:val="nil"/>
              <w:left w:val="single" w:sz="4" w:space="0" w:color="auto"/>
              <w:bottom w:val="single" w:sz="4" w:space="0" w:color="auto"/>
              <w:right w:val="single" w:sz="4" w:space="0" w:color="auto"/>
            </w:tcBorders>
            <w:shd w:val="clear" w:color="auto" w:fill="auto"/>
            <w:hideMark/>
          </w:tcPr>
          <w:p w14:paraId="02652F8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A2</w:t>
            </w:r>
          </w:p>
        </w:tc>
        <w:tc>
          <w:tcPr>
            <w:tcW w:w="1166" w:type="dxa"/>
            <w:tcBorders>
              <w:top w:val="nil"/>
              <w:left w:val="nil"/>
              <w:bottom w:val="single" w:sz="4" w:space="0" w:color="auto"/>
              <w:right w:val="single" w:sz="4" w:space="0" w:color="auto"/>
            </w:tcBorders>
            <w:shd w:val="clear" w:color="auto" w:fill="auto"/>
            <w:hideMark/>
          </w:tcPr>
          <w:p w14:paraId="7EDC4A2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Legislativa</w:t>
            </w:r>
          </w:p>
        </w:tc>
        <w:tc>
          <w:tcPr>
            <w:tcW w:w="2257" w:type="dxa"/>
            <w:tcBorders>
              <w:top w:val="nil"/>
              <w:left w:val="nil"/>
              <w:bottom w:val="single" w:sz="4" w:space="0" w:color="auto"/>
              <w:right w:val="single" w:sz="4" w:space="0" w:color="auto"/>
            </w:tcBorders>
            <w:shd w:val="clear" w:color="auto" w:fill="auto"/>
            <w:hideMark/>
          </w:tcPr>
          <w:p w14:paraId="6416397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Garantovat do budoucna soulad systému s vývojem legislativy pro systém CSUIS (Vyhl.5/2014 Sb. ve znění pozdějších předpisů).</w:t>
            </w:r>
          </w:p>
        </w:tc>
        <w:tc>
          <w:tcPr>
            <w:tcW w:w="1072" w:type="dxa"/>
            <w:tcBorders>
              <w:top w:val="nil"/>
              <w:left w:val="nil"/>
              <w:bottom w:val="single" w:sz="4" w:space="0" w:color="auto"/>
              <w:right w:val="single" w:sz="4" w:space="0" w:color="auto"/>
            </w:tcBorders>
            <w:shd w:val="clear" w:color="auto" w:fill="auto"/>
            <w:hideMark/>
          </w:tcPr>
          <w:p w14:paraId="43A6DBDA"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34D035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C856BC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584AF6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Dodavatel deklaruje v rámci standardu soulad systému Helios s tuzemskou legislativou, včetně Vyhl. 449/2009 sb. ve znění pozdějších předpisů. Dodavatel deklaruje legislativní upgrade v návrhu ú</w:t>
            </w:r>
            <w:r w:rsidRPr="00790C8D">
              <w:rPr>
                <w:rFonts w:asciiTheme="minorHAnsi" w:hAnsiTheme="minorHAnsi" w:cstheme="minorHAnsi"/>
                <w:sz w:val="18"/>
                <w:szCs w:val="18"/>
              </w:rPr>
              <w:t>d</w:t>
            </w:r>
            <w:r w:rsidRPr="00EA675E">
              <w:rPr>
                <w:rFonts w:asciiTheme="minorHAnsi" w:hAnsiTheme="minorHAnsi" w:cstheme="minorHAnsi"/>
                <w:sz w:val="18"/>
                <w:szCs w:val="18"/>
              </w:rPr>
              <w:t>ržbové smlouvy.</w:t>
            </w:r>
            <w:r w:rsidRPr="00EA675E">
              <w:rPr>
                <w:rFonts w:asciiTheme="minorHAnsi" w:hAnsiTheme="minorHAnsi" w:cstheme="minorHAnsi"/>
                <w:sz w:val="18"/>
                <w:szCs w:val="18"/>
              </w:rPr>
              <w:br/>
              <w:t>Nabízený systém sestaví předepsané výkazy a zajistí jejich předání, buď přímo do CSUIS nebo do JASU, nebo export dat výkazů ve formátech CSUIS.</w:t>
            </w:r>
          </w:p>
        </w:tc>
      </w:tr>
      <w:tr w:rsidR="00C03AF4" w:rsidRPr="00790C8D" w14:paraId="5DE6AA44"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4B1EF78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w:t>
            </w:r>
          </w:p>
        </w:tc>
        <w:tc>
          <w:tcPr>
            <w:tcW w:w="1166" w:type="dxa"/>
            <w:tcBorders>
              <w:top w:val="nil"/>
              <w:left w:val="nil"/>
              <w:bottom w:val="single" w:sz="4" w:space="0" w:color="auto"/>
              <w:right w:val="single" w:sz="4" w:space="0" w:color="auto"/>
            </w:tcBorders>
            <w:shd w:val="clear" w:color="auto" w:fill="auto"/>
            <w:hideMark/>
          </w:tcPr>
          <w:p w14:paraId="7E0A8F4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628124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Garance souladu účetnictví se zákony o účetnictví a vyhlášky 410/2009 Sb. a 383/2009 a Českými účetními standardy, v aktuálním znění.</w:t>
            </w:r>
          </w:p>
        </w:tc>
        <w:tc>
          <w:tcPr>
            <w:tcW w:w="1072" w:type="dxa"/>
            <w:tcBorders>
              <w:top w:val="nil"/>
              <w:left w:val="nil"/>
              <w:bottom w:val="single" w:sz="4" w:space="0" w:color="auto"/>
              <w:right w:val="single" w:sz="4" w:space="0" w:color="auto"/>
            </w:tcBorders>
            <w:shd w:val="clear" w:color="auto" w:fill="auto"/>
            <w:hideMark/>
          </w:tcPr>
          <w:p w14:paraId="7A51119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31BCC4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C79A41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19861A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Standardní postupy pro vedení účetnictví v Helios splňují ustanovení podle zákona o účetnictví, dále podle vyhlášky č.410/2009 Sb. a účetní standardy, platné pro účtování ve státní příspěvkové organizaci.</w:t>
            </w:r>
          </w:p>
        </w:tc>
      </w:tr>
      <w:tr w:rsidR="00C03AF4" w:rsidRPr="00790C8D" w14:paraId="67C5B107" w14:textId="77777777" w:rsidTr="000F2E84">
        <w:trPr>
          <w:trHeight w:val="1800"/>
        </w:trPr>
        <w:tc>
          <w:tcPr>
            <w:tcW w:w="492" w:type="dxa"/>
            <w:tcBorders>
              <w:top w:val="nil"/>
              <w:left w:val="single" w:sz="4" w:space="0" w:color="auto"/>
              <w:bottom w:val="single" w:sz="4" w:space="0" w:color="auto"/>
              <w:right w:val="single" w:sz="4" w:space="0" w:color="auto"/>
            </w:tcBorders>
            <w:shd w:val="clear" w:color="auto" w:fill="auto"/>
            <w:hideMark/>
          </w:tcPr>
          <w:p w14:paraId="751EDCC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66" w:type="dxa"/>
            <w:tcBorders>
              <w:top w:val="nil"/>
              <w:left w:val="nil"/>
              <w:bottom w:val="single" w:sz="4" w:space="0" w:color="auto"/>
              <w:right w:val="single" w:sz="4" w:space="0" w:color="auto"/>
            </w:tcBorders>
            <w:shd w:val="clear" w:color="auto" w:fill="auto"/>
            <w:hideMark/>
          </w:tcPr>
          <w:p w14:paraId="3C09861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46A875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Povinné účetní výkazy pro příspěvkové organizace včetně PAP dle vyhlášky 410/2009 Sb.a č. 383/2009 Sb.a zabezpečení přenosu krajskému úřadu na automat VYK</w:t>
            </w:r>
          </w:p>
        </w:tc>
        <w:tc>
          <w:tcPr>
            <w:tcW w:w="1072" w:type="dxa"/>
            <w:tcBorders>
              <w:top w:val="nil"/>
              <w:left w:val="nil"/>
              <w:bottom w:val="single" w:sz="4" w:space="0" w:color="auto"/>
              <w:right w:val="single" w:sz="4" w:space="0" w:color="auto"/>
            </w:tcBorders>
            <w:shd w:val="clear" w:color="auto" w:fill="auto"/>
            <w:hideMark/>
          </w:tcPr>
          <w:p w14:paraId="15D7AE3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E42322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C8A6C9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0574AAB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Výkaz PAP se všemi jeho částmi je součástí modulu Integrované výkaznictví. Modul Integrované výkaznictví obsahuje plnou funkčnost pro přípravu, kontroly, sestavení a odeslání výkazů ve formátu podle platné vyhlášky MF ČR. Přenos výkazů krajskému úřadu je tak zabezpečen použitím společného formátu podle standardu pro CSUIS.</w:t>
            </w:r>
          </w:p>
        </w:tc>
      </w:tr>
      <w:tr w:rsidR="00C03AF4" w:rsidRPr="00790C8D" w14:paraId="42FC44E5" w14:textId="77777777" w:rsidTr="000F2E84">
        <w:trPr>
          <w:trHeight w:val="1500"/>
        </w:trPr>
        <w:tc>
          <w:tcPr>
            <w:tcW w:w="492" w:type="dxa"/>
            <w:tcBorders>
              <w:top w:val="nil"/>
              <w:left w:val="single" w:sz="4" w:space="0" w:color="auto"/>
              <w:bottom w:val="single" w:sz="4" w:space="0" w:color="auto"/>
              <w:right w:val="single" w:sz="4" w:space="0" w:color="auto"/>
            </w:tcBorders>
            <w:shd w:val="clear" w:color="auto" w:fill="auto"/>
            <w:hideMark/>
          </w:tcPr>
          <w:p w14:paraId="26253A2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w:t>
            </w:r>
          </w:p>
        </w:tc>
        <w:tc>
          <w:tcPr>
            <w:tcW w:w="1166" w:type="dxa"/>
            <w:tcBorders>
              <w:top w:val="nil"/>
              <w:left w:val="nil"/>
              <w:bottom w:val="single" w:sz="4" w:space="0" w:color="auto"/>
              <w:right w:val="single" w:sz="4" w:space="0" w:color="auto"/>
            </w:tcBorders>
            <w:shd w:val="clear" w:color="auto" w:fill="auto"/>
            <w:hideMark/>
          </w:tcPr>
          <w:p w14:paraId="7D33BCA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44D878F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Nastavení a evidenci DPH v souladu se zákonem o DPH. Současně možnost snížení DPH poměrnou výší dle zák. č. 235/2004 Sb., § 75, kdy neuplatněná část DPH se účtuje na příslušný nákladový účet a nákladové středisko. Tento přepočet přímo u jednotlivých přijatých faktur a výdajových pokladních dokladů.</w:t>
            </w:r>
          </w:p>
        </w:tc>
        <w:tc>
          <w:tcPr>
            <w:tcW w:w="1072" w:type="dxa"/>
            <w:tcBorders>
              <w:top w:val="nil"/>
              <w:left w:val="nil"/>
              <w:bottom w:val="single" w:sz="4" w:space="0" w:color="auto"/>
              <w:right w:val="single" w:sz="4" w:space="0" w:color="auto"/>
            </w:tcBorders>
            <w:shd w:val="clear" w:color="auto" w:fill="auto"/>
            <w:hideMark/>
          </w:tcPr>
          <w:p w14:paraId="3FA5FED7"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E2E46C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05E6E3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31B68AE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Dodavatel deklaruje soulad standardu systému Helios s tuzemskou legislativou, včetně zákona o DPH a garanci budoucích legislativních upgrade.</w:t>
            </w:r>
            <w:r w:rsidRPr="00EA675E">
              <w:rPr>
                <w:rFonts w:asciiTheme="minorHAnsi" w:hAnsiTheme="minorHAnsi" w:cstheme="minorHAnsi"/>
                <w:sz w:val="18"/>
                <w:szCs w:val="18"/>
              </w:rPr>
              <w:br/>
              <w:t>HeN disponuje fun</w:t>
            </w:r>
            <w:r w:rsidRPr="00790C8D">
              <w:rPr>
                <w:rFonts w:asciiTheme="minorHAnsi" w:hAnsiTheme="minorHAnsi" w:cstheme="minorHAnsi"/>
                <w:sz w:val="18"/>
                <w:szCs w:val="18"/>
              </w:rPr>
              <w:t>k</w:t>
            </w:r>
            <w:r w:rsidRPr="00EA675E">
              <w:rPr>
                <w:rFonts w:asciiTheme="minorHAnsi" w:hAnsiTheme="minorHAnsi" w:cstheme="minorHAnsi"/>
                <w:sz w:val="18"/>
                <w:szCs w:val="18"/>
              </w:rPr>
              <w:t>čností pro poměrný koeficient DPH podle platné legislativy.</w:t>
            </w:r>
          </w:p>
        </w:tc>
      </w:tr>
      <w:tr w:rsidR="00C03AF4" w:rsidRPr="00790C8D" w14:paraId="18D91BC5"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62EBD1C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w:t>
            </w:r>
          </w:p>
        </w:tc>
        <w:tc>
          <w:tcPr>
            <w:tcW w:w="1166" w:type="dxa"/>
            <w:tcBorders>
              <w:top w:val="nil"/>
              <w:left w:val="nil"/>
              <w:bottom w:val="single" w:sz="4" w:space="0" w:color="auto"/>
              <w:right w:val="single" w:sz="4" w:space="0" w:color="auto"/>
            </w:tcBorders>
            <w:shd w:val="clear" w:color="auto" w:fill="auto"/>
            <w:hideMark/>
          </w:tcPr>
          <w:p w14:paraId="0BDB3E7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4F85B8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Automatické ověřování plátce DPH, nespolehlivého plátce DPH, v insolvenci</w:t>
            </w:r>
          </w:p>
        </w:tc>
        <w:tc>
          <w:tcPr>
            <w:tcW w:w="1072" w:type="dxa"/>
            <w:tcBorders>
              <w:top w:val="nil"/>
              <w:left w:val="nil"/>
              <w:bottom w:val="single" w:sz="4" w:space="0" w:color="auto"/>
              <w:right w:val="single" w:sz="4" w:space="0" w:color="auto"/>
            </w:tcBorders>
            <w:shd w:val="clear" w:color="auto" w:fill="auto"/>
            <w:hideMark/>
          </w:tcPr>
          <w:p w14:paraId="76DB62D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96CB3F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A41ECE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0E2ABE7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Automatické ověření plátce DPH probíhá autom</w:t>
            </w:r>
            <w:r w:rsidRPr="00790C8D">
              <w:rPr>
                <w:rFonts w:asciiTheme="minorHAnsi" w:hAnsiTheme="minorHAnsi" w:cstheme="minorHAnsi"/>
                <w:sz w:val="18"/>
                <w:szCs w:val="18"/>
              </w:rPr>
              <w:t>a</w:t>
            </w:r>
            <w:r w:rsidRPr="00EA675E">
              <w:rPr>
                <w:rFonts w:asciiTheme="minorHAnsi" w:hAnsiTheme="minorHAnsi" w:cstheme="minorHAnsi"/>
                <w:sz w:val="18"/>
                <w:szCs w:val="18"/>
              </w:rPr>
              <w:t>ticky při uložení prvotního dokladu, při uložení nové org</w:t>
            </w:r>
            <w:r w:rsidRPr="00790C8D">
              <w:rPr>
                <w:rFonts w:asciiTheme="minorHAnsi" w:hAnsiTheme="minorHAnsi" w:cstheme="minorHAnsi"/>
                <w:sz w:val="18"/>
                <w:szCs w:val="18"/>
              </w:rPr>
              <w:t>a</w:t>
            </w:r>
            <w:r w:rsidRPr="00EA675E">
              <w:rPr>
                <w:rFonts w:asciiTheme="minorHAnsi" w:hAnsiTheme="minorHAnsi" w:cstheme="minorHAnsi"/>
                <w:sz w:val="18"/>
                <w:szCs w:val="18"/>
              </w:rPr>
              <w:t>nizace a jejího BÚ, při vytvoření platebního příkazu z FD</w:t>
            </w:r>
          </w:p>
        </w:tc>
      </w:tr>
      <w:tr w:rsidR="00C03AF4" w:rsidRPr="00790C8D" w14:paraId="2A8A3E64"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5C0B0DC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A6</w:t>
            </w:r>
          </w:p>
        </w:tc>
        <w:tc>
          <w:tcPr>
            <w:tcW w:w="1166" w:type="dxa"/>
            <w:tcBorders>
              <w:top w:val="nil"/>
              <w:left w:val="nil"/>
              <w:bottom w:val="single" w:sz="4" w:space="0" w:color="auto"/>
              <w:right w:val="single" w:sz="4" w:space="0" w:color="auto"/>
            </w:tcBorders>
            <w:shd w:val="clear" w:color="auto" w:fill="auto"/>
            <w:hideMark/>
          </w:tcPr>
          <w:p w14:paraId="2F1DB5B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1D0D61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Systém musí splňovat požadavky na vedení účetnictví a výkaznictví příspěvkové organizace.</w:t>
            </w:r>
          </w:p>
        </w:tc>
        <w:tc>
          <w:tcPr>
            <w:tcW w:w="1072" w:type="dxa"/>
            <w:tcBorders>
              <w:top w:val="nil"/>
              <w:left w:val="nil"/>
              <w:bottom w:val="single" w:sz="4" w:space="0" w:color="auto"/>
              <w:right w:val="single" w:sz="4" w:space="0" w:color="auto"/>
            </w:tcBorders>
            <w:shd w:val="clear" w:color="auto" w:fill="auto"/>
            <w:hideMark/>
          </w:tcPr>
          <w:p w14:paraId="63B21B6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42D3141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6B69AF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6648D3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Systém HeN ve svém standardu splňuje požadavky na vedení účetnictví a výkazni</w:t>
            </w:r>
            <w:r w:rsidRPr="00790C8D">
              <w:rPr>
                <w:rFonts w:asciiTheme="minorHAnsi" w:hAnsiTheme="minorHAnsi" w:cstheme="minorHAnsi"/>
                <w:sz w:val="18"/>
                <w:szCs w:val="18"/>
              </w:rPr>
              <w:t>c</w:t>
            </w:r>
            <w:r w:rsidRPr="00EA675E">
              <w:rPr>
                <w:rFonts w:asciiTheme="minorHAnsi" w:hAnsiTheme="minorHAnsi" w:cstheme="minorHAnsi"/>
                <w:sz w:val="18"/>
                <w:szCs w:val="18"/>
              </w:rPr>
              <w:t>tví pro příspěvkové organizace - viz též odpovědi na předchozí body.</w:t>
            </w:r>
          </w:p>
        </w:tc>
      </w:tr>
      <w:tr w:rsidR="00C03AF4" w:rsidRPr="00790C8D" w14:paraId="00F601B2" w14:textId="77777777" w:rsidTr="000F2E84">
        <w:trPr>
          <w:trHeight w:val="2552"/>
        </w:trPr>
        <w:tc>
          <w:tcPr>
            <w:tcW w:w="492" w:type="dxa"/>
            <w:tcBorders>
              <w:top w:val="nil"/>
              <w:left w:val="single" w:sz="4" w:space="0" w:color="auto"/>
              <w:bottom w:val="single" w:sz="4" w:space="0" w:color="auto"/>
              <w:right w:val="single" w:sz="4" w:space="0" w:color="auto"/>
            </w:tcBorders>
            <w:shd w:val="clear" w:color="auto" w:fill="auto"/>
            <w:hideMark/>
          </w:tcPr>
          <w:p w14:paraId="148839C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A7</w:t>
            </w:r>
          </w:p>
        </w:tc>
        <w:tc>
          <w:tcPr>
            <w:tcW w:w="1166" w:type="dxa"/>
            <w:tcBorders>
              <w:top w:val="nil"/>
              <w:left w:val="nil"/>
              <w:bottom w:val="single" w:sz="4" w:space="0" w:color="auto"/>
              <w:right w:val="single" w:sz="4" w:space="0" w:color="auto"/>
            </w:tcBorders>
            <w:shd w:val="clear" w:color="auto" w:fill="auto"/>
            <w:hideMark/>
          </w:tcPr>
          <w:p w14:paraId="491D4AA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Účetní dimenze</w:t>
            </w:r>
          </w:p>
        </w:tc>
        <w:tc>
          <w:tcPr>
            <w:tcW w:w="2257" w:type="dxa"/>
            <w:tcBorders>
              <w:top w:val="nil"/>
              <w:left w:val="nil"/>
              <w:bottom w:val="single" w:sz="4" w:space="0" w:color="auto"/>
              <w:right w:val="single" w:sz="4" w:space="0" w:color="auto"/>
            </w:tcBorders>
            <w:shd w:val="clear" w:color="auto" w:fill="auto"/>
            <w:hideMark/>
          </w:tcPr>
          <w:p w14:paraId="03C5CDD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Zadávání účetních dimenzí na prvotní doklady v rozsahu podle nastavení pro dané účetní období.</w:t>
            </w:r>
          </w:p>
        </w:tc>
        <w:tc>
          <w:tcPr>
            <w:tcW w:w="1072" w:type="dxa"/>
            <w:tcBorders>
              <w:top w:val="nil"/>
              <w:left w:val="nil"/>
              <w:bottom w:val="single" w:sz="4" w:space="0" w:color="auto"/>
              <w:right w:val="single" w:sz="4" w:space="0" w:color="auto"/>
            </w:tcBorders>
            <w:shd w:val="clear" w:color="auto" w:fill="auto"/>
            <w:hideMark/>
          </w:tcPr>
          <w:p w14:paraId="5675D35F"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13AB47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428E6C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7029718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Jádro Helios podporuje standardně nastavení účetních dimenzí podle požadavku implementované zakázky. Vedle základních účetních dimenzí Zakázka, Aktivita, Útvar organizační struktury lze nastavit další účetní dimenze do Dynamických vztahů a prostřednictvím nastavení Integritních omezení účtů definovat, které účetní dimenze se z prvotních dokladů přenesou automaticky při zaúčtování do Účetního deníku.</w:t>
            </w:r>
            <w:r w:rsidRPr="00EA675E">
              <w:rPr>
                <w:rFonts w:asciiTheme="minorHAnsi" w:hAnsiTheme="minorHAnsi" w:cstheme="minorHAnsi"/>
                <w:sz w:val="18"/>
                <w:szCs w:val="18"/>
              </w:rPr>
              <w:br/>
              <w:t>Množinu účetních dimenzí lze nastavit pro každé účetní ob</w:t>
            </w:r>
            <w:r w:rsidRPr="00790C8D">
              <w:rPr>
                <w:rFonts w:asciiTheme="minorHAnsi" w:hAnsiTheme="minorHAnsi" w:cstheme="minorHAnsi"/>
                <w:sz w:val="18"/>
                <w:szCs w:val="18"/>
              </w:rPr>
              <w:t>d</w:t>
            </w:r>
            <w:r w:rsidRPr="00EA675E">
              <w:rPr>
                <w:rFonts w:asciiTheme="minorHAnsi" w:hAnsiTheme="minorHAnsi" w:cstheme="minorHAnsi"/>
                <w:sz w:val="18"/>
                <w:szCs w:val="18"/>
              </w:rPr>
              <w:t>obí jinak.</w:t>
            </w:r>
            <w:r w:rsidRPr="00EA675E">
              <w:rPr>
                <w:rFonts w:asciiTheme="minorHAnsi" w:hAnsiTheme="minorHAnsi" w:cstheme="minorHAnsi"/>
                <w:sz w:val="18"/>
                <w:szCs w:val="18"/>
              </w:rPr>
              <w:br/>
              <w:t>Dodavatel nastaví provozní a účetní dimenze v rámci dodávky systému podle požadavku ZD.</w:t>
            </w:r>
          </w:p>
        </w:tc>
      </w:tr>
      <w:tr w:rsidR="00C03AF4" w:rsidRPr="00790C8D" w14:paraId="708F7A7A" w14:textId="77777777" w:rsidTr="000F2E84">
        <w:trPr>
          <w:trHeight w:val="1800"/>
        </w:trPr>
        <w:tc>
          <w:tcPr>
            <w:tcW w:w="492" w:type="dxa"/>
            <w:tcBorders>
              <w:top w:val="nil"/>
              <w:left w:val="single" w:sz="4" w:space="0" w:color="auto"/>
              <w:bottom w:val="single" w:sz="4" w:space="0" w:color="auto"/>
              <w:right w:val="single" w:sz="4" w:space="0" w:color="auto"/>
            </w:tcBorders>
            <w:shd w:val="clear" w:color="auto" w:fill="auto"/>
            <w:hideMark/>
          </w:tcPr>
          <w:p w14:paraId="78ABCAA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A8</w:t>
            </w:r>
          </w:p>
        </w:tc>
        <w:tc>
          <w:tcPr>
            <w:tcW w:w="1166" w:type="dxa"/>
            <w:tcBorders>
              <w:top w:val="nil"/>
              <w:left w:val="nil"/>
              <w:bottom w:val="single" w:sz="4" w:space="0" w:color="auto"/>
              <w:right w:val="single" w:sz="4" w:space="0" w:color="auto"/>
            </w:tcBorders>
            <w:shd w:val="clear" w:color="auto" w:fill="auto"/>
            <w:hideMark/>
          </w:tcPr>
          <w:p w14:paraId="7189487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3AAE220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nastavení nejméně 5 a v případě potřeby i více účetních dimenzí na prvotních dokladech - jejich nastavení je platné pro účetní období.</w:t>
            </w:r>
          </w:p>
        </w:tc>
        <w:tc>
          <w:tcPr>
            <w:tcW w:w="1072" w:type="dxa"/>
            <w:tcBorders>
              <w:top w:val="nil"/>
              <w:left w:val="nil"/>
              <w:bottom w:val="single" w:sz="4" w:space="0" w:color="auto"/>
              <w:right w:val="single" w:sz="4" w:space="0" w:color="auto"/>
            </w:tcBorders>
            <w:shd w:val="clear" w:color="auto" w:fill="auto"/>
            <w:hideMark/>
          </w:tcPr>
          <w:p w14:paraId="455B1DF6"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399368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7CE339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7C9EBB9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 rámci standardu - viz popis pro předchozí bod A6.</w:t>
            </w:r>
            <w:r w:rsidRPr="00EA675E">
              <w:rPr>
                <w:rFonts w:asciiTheme="minorHAnsi" w:hAnsiTheme="minorHAnsi" w:cstheme="minorHAnsi"/>
                <w:sz w:val="18"/>
                <w:szCs w:val="18"/>
              </w:rPr>
              <w:br/>
              <w:t>Technicky není počet nastavených účetních dimenzí v Helios omezen. Při praktické realizaci je třeba vzít v potaz pracnost jejich zadávání, i když v Helios lze nastavit přednast</w:t>
            </w:r>
            <w:r w:rsidRPr="00790C8D">
              <w:rPr>
                <w:rFonts w:asciiTheme="minorHAnsi" w:hAnsiTheme="minorHAnsi" w:cstheme="minorHAnsi"/>
                <w:sz w:val="18"/>
                <w:szCs w:val="18"/>
              </w:rPr>
              <w:t>a</w:t>
            </w:r>
            <w:r w:rsidRPr="00EA675E">
              <w:rPr>
                <w:rFonts w:asciiTheme="minorHAnsi" w:hAnsiTheme="minorHAnsi" w:cstheme="minorHAnsi"/>
                <w:sz w:val="18"/>
                <w:szCs w:val="18"/>
              </w:rPr>
              <w:t>vení podle dohodnutých pravidel - jak je popsáno u následujících požadavků.</w:t>
            </w:r>
          </w:p>
        </w:tc>
      </w:tr>
      <w:tr w:rsidR="00C03AF4" w:rsidRPr="00790C8D" w14:paraId="2AFB9BE6"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4B5A867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A9</w:t>
            </w:r>
          </w:p>
        </w:tc>
        <w:tc>
          <w:tcPr>
            <w:tcW w:w="1166" w:type="dxa"/>
            <w:tcBorders>
              <w:top w:val="nil"/>
              <w:left w:val="nil"/>
              <w:bottom w:val="single" w:sz="4" w:space="0" w:color="auto"/>
              <w:right w:val="single" w:sz="4" w:space="0" w:color="auto"/>
            </w:tcBorders>
            <w:shd w:val="clear" w:color="auto" w:fill="auto"/>
            <w:hideMark/>
          </w:tcPr>
          <w:p w14:paraId="6AE47B1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A52D34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Součástí modelu účetních dimenzí bude také odlišení hlavní a vedlejší činnosti.</w:t>
            </w:r>
          </w:p>
        </w:tc>
        <w:tc>
          <w:tcPr>
            <w:tcW w:w="1072" w:type="dxa"/>
            <w:tcBorders>
              <w:top w:val="nil"/>
              <w:left w:val="nil"/>
              <w:bottom w:val="single" w:sz="4" w:space="0" w:color="auto"/>
              <w:right w:val="single" w:sz="4" w:space="0" w:color="auto"/>
            </w:tcBorders>
            <w:shd w:val="clear" w:color="auto" w:fill="auto"/>
            <w:hideMark/>
          </w:tcPr>
          <w:p w14:paraId="367F63EB"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028F92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EEB0B4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2A1CB94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Nastavením zvláštní účetní dimenze Nákladový okruh bude na prvotních i účetních dokladech odlišena hlavní a vedlejší činnost, aniž by bylo nutné odlišovat obě činnosti v analytice účtů v účetním rozvrhu. Viz též A6 a A7.</w:t>
            </w:r>
          </w:p>
        </w:tc>
      </w:tr>
      <w:tr w:rsidR="00C03AF4" w:rsidRPr="00790C8D" w14:paraId="6362DC96"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1198A39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A10</w:t>
            </w:r>
          </w:p>
        </w:tc>
        <w:tc>
          <w:tcPr>
            <w:tcW w:w="1166" w:type="dxa"/>
            <w:tcBorders>
              <w:top w:val="nil"/>
              <w:left w:val="nil"/>
              <w:bottom w:val="single" w:sz="4" w:space="0" w:color="auto"/>
              <w:right w:val="single" w:sz="4" w:space="0" w:color="auto"/>
            </w:tcBorders>
            <w:shd w:val="clear" w:color="auto" w:fill="auto"/>
            <w:hideMark/>
          </w:tcPr>
          <w:p w14:paraId="27C9AEC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F43D67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Nastavitelná kontrola povinnosti zadat na prvotním dokladu účetní dimenze podle dohodnutých pravidel.</w:t>
            </w:r>
          </w:p>
        </w:tc>
        <w:tc>
          <w:tcPr>
            <w:tcW w:w="1072" w:type="dxa"/>
            <w:tcBorders>
              <w:top w:val="nil"/>
              <w:left w:val="nil"/>
              <w:bottom w:val="single" w:sz="4" w:space="0" w:color="auto"/>
              <w:right w:val="single" w:sz="4" w:space="0" w:color="auto"/>
            </w:tcBorders>
            <w:shd w:val="clear" w:color="auto" w:fill="auto"/>
            <w:hideMark/>
          </w:tcPr>
          <w:p w14:paraId="6887BE4A"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A9C111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048BB5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14872A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Jádro Helios umožňuje nastavit povinnost zadat na prvotním dokladu účetní dimenze prostřednictvím Integritních omezení pro celé třídy nebo pro jednotlivé pořadače prvotních dokladů. Integritní omezení jsou součástí standardu Helios.</w:t>
            </w:r>
          </w:p>
        </w:tc>
      </w:tr>
      <w:tr w:rsidR="00C03AF4" w:rsidRPr="00790C8D" w14:paraId="2D79E0A9" w14:textId="77777777" w:rsidTr="000F2E84">
        <w:trPr>
          <w:trHeight w:val="567"/>
        </w:trPr>
        <w:tc>
          <w:tcPr>
            <w:tcW w:w="492" w:type="dxa"/>
            <w:tcBorders>
              <w:top w:val="nil"/>
              <w:left w:val="single" w:sz="4" w:space="0" w:color="auto"/>
              <w:bottom w:val="single" w:sz="4" w:space="0" w:color="auto"/>
              <w:right w:val="single" w:sz="4" w:space="0" w:color="auto"/>
            </w:tcBorders>
            <w:shd w:val="clear" w:color="auto" w:fill="auto"/>
            <w:hideMark/>
          </w:tcPr>
          <w:p w14:paraId="62B54C9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A11</w:t>
            </w:r>
          </w:p>
        </w:tc>
        <w:tc>
          <w:tcPr>
            <w:tcW w:w="1166" w:type="dxa"/>
            <w:tcBorders>
              <w:top w:val="nil"/>
              <w:left w:val="nil"/>
              <w:bottom w:val="single" w:sz="4" w:space="0" w:color="auto"/>
              <w:right w:val="single" w:sz="4" w:space="0" w:color="auto"/>
            </w:tcBorders>
            <w:shd w:val="clear" w:color="auto" w:fill="auto"/>
            <w:hideMark/>
          </w:tcPr>
          <w:p w14:paraId="6049395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429A6A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Automatický přenos vybraných účetních dimenzí z prvotního dokladu na účetní doklad v okamžiku zaúčtování.</w:t>
            </w:r>
          </w:p>
        </w:tc>
        <w:tc>
          <w:tcPr>
            <w:tcW w:w="1072" w:type="dxa"/>
            <w:tcBorders>
              <w:top w:val="nil"/>
              <w:left w:val="nil"/>
              <w:bottom w:val="single" w:sz="4" w:space="0" w:color="auto"/>
              <w:right w:val="single" w:sz="4" w:space="0" w:color="auto"/>
            </w:tcBorders>
            <w:shd w:val="clear" w:color="auto" w:fill="auto"/>
            <w:hideMark/>
          </w:tcPr>
          <w:p w14:paraId="7CEC4683"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F59FF9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0AAFCC6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54259C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Pomocí nastavení konkrétních účetních dimenzí v nástroji Integritní omezení účtů (pro konkrétní účet účetního rozvrhu) se automaticky přenesou takto nastavené účetní dimenze při zaúčtování prvotního dokladu na účetní doklad.</w:t>
            </w:r>
            <w:r w:rsidRPr="00EA675E">
              <w:rPr>
                <w:rFonts w:asciiTheme="minorHAnsi" w:hAnsiTheme="minorHAnsi" w:cstheme="minorHAnsi"/>
                <w:sz w:val="18"/>
                <w:szCs w:val="18"/>
              </w:rPr>
              <w:br/>
              <w:t>Integritní omezení účtů jsou součástí standardu Helios.</w:t>
            </w:r>
          </w:p>
        </w:tc>
      </w:tr>
      <w:tr w:rsidR="00C03AF4" w:rsidRPr="00790C8D" w14:paraId="58E3BBAF"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37AC78E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A12</w:t>
            </w:r>
          </w:p>
        </w:tc>
        <w:tc>
          <w:tcPr>
            <w:tcW w:w="1166" w:type="dxa"/>
            <w:tcBorders>
              <w:top w:val="nil"/>
              <w:left w:val="nil"/>
              <w:bottom w:val="single" w:sz="4" w:space="0" w:color="auto"/>
              <w:right w:val="single" w:sz="4" w:space="0" w:color="auto"/>
            </w:tcBorders>
            <w:shd w:val="clear" w:color="auto" w:fill="auto"/>
            <w:hideMark/>
          </w:tcPr>
          <w:p w14:paraId="6EA80B8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Banka</w:t>
            </w:r>
          </w:p>
        </w:tc>
        <w:tc>
          <w:tcPr>
            <w:tcW w:w="2257" w:type="dxa"/>
            <w:tcBorders>
              <w:top w:val="nil"/>
              <w:left w:val="nil"/>
              <w:bottom w:val="single" w:sz="4" w:space="0" w:color="auto"/>
              <w:right w:val="single" w:sz="4" w:space="0" w:color="auto"/>
            </w:tcBorders>
            <w:shd w:val="clear" w:color="auto" w:fill="auto"/>
            <w:hideMark/>
          </w:tcPr>
          <w:p w14:paraId="3FCEA49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Vytváření platebních příkazů </w:t>
            </w:r>
          </w:p>
        </w:tc>
        <w:tc>
          <w:tcPr>
            <w:tcW w:w="1072" w:type="dxa"/>
            <w:tcBorders>
              <w:top w:val="nil"/>
              <w:left w:val="nil"/>
              <w:bottom w:val="single" w:sz="4" w:space="0" w:color="auto"/>
              <w:right w:val="single" w:sz="4" w:space="0" w:color="auto"/>
            </w:tcBorders>
            <w:shd w:val="clear" w:color="auto" w:fill="auto"/>
            <w:hideMark/>
          </w:tcPr>
          <w:p w14:paraId="758DF6F8"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248836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2E6C5D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3A40896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PP tuzemské i zahraniční se v Helios standardně vytváří funkcí, kterou je možné spustit nad FD nebo nad několika FD, údaje do PP jsou přebírány z FD. Funkčnost je součástí standardu Helios.</w:t>
            </w:r>
          </w:p>
        </w:tc>
      </w:tr>
      <w:tr w:rsidR="00C03AF4" w:rsidRPr="00790C8D" w14:paraId="548F1698" w14:textId="77777777" w:rsidTr="000F2E84">
        <w:trPr>
          <w:trHeight w:val="2100"/>
        </w:trPr>
        <w:tc>
          <w:tcPr>
            <w:tcW w:w="492" w:type="dxa"/>
            <w:tcBorders>
              <w:top w:val="nil"/>
              <w:left w:val="single" w:sz="4" w:space="0" w:color="auto"/>
              <w:bottom w:val="single" w:sz="4" w:space="0" w:color="auto"/>
              <w:right w:val="single" w:sz="4" w:space="0" w:color="auto"/>
            </w:tcBorders>
            <w:shd w:val="clear" w:color="auto" w:fill="auto"/>
            <w:hideMark/>
          </w:tcPr>
          <w:p w14:paraId="33A41A2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A13</w:t>
            </w:r>
          </w:p>
        </w:tc>
        <w:tc>
          <w:tcPr>
            <w:tcW w:w="1166" w:type="dxa"/>
            <w:tcBorders>
              <w:top w:val="nil"/>
              <w:left w:val="nil"/>
              <w:bottom w:val="single" w:sz="4" w:space="0" w:color="auto"/>
              <w:right w:val="single" w:sz="4" w:space="0" w:color="auto"/>
            </w:tcBorders>
            <w:shd w:val="clear" w:color="auto" w:fill="auto"/>
            <w:hideMark/>
          </w:tcPr>
          <w:p w14:paraId="398CA52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63A9D37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Elektronická komunikace s Bankami, platební příkazy, bankovní výpisy.</w:t>
            </w:r>
          </w:p>
        </w:tc>
        <w:tc>
          <w:tcPr>
            <w:tcW w:w="1072" w:type="dxa"/>
            <w:tcBorders>
              <w:top w:val="nil"/>
              <w:left w:val="nil"/>
              <w:bottom w:val="single" w:sz="4" w:space="0" w:color="auto"/>
              <w:right w:val="single" w:sz="4" w:space="0" w:color="auto"/>
            </w:tcBorders>
            <w:shd w:val="clear" w:color="auto" w:fill="auto"/>
            <w:hideMark/>
          </w:tcPr>
          <w:p w14:paraId="052167F4"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D9D9D3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2A4E27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A9155A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Datové formáty pro elektronickou komunikaci s bankami jsou součástí standardu Helios.</w:t>
            </w:r>
            <w:r w:rsidRPr="00EA675E">
              <w:rPr>
                <w:rFonts w:asciiTheme="minorHAnsi" w:hAnsiTheme="minorHAnsi" w:cstheme="minorHAnsi"/>
                <w:sz w:val="18"/>
                <w:szCs w:val="18"/>
              </w:rPr>
              <w:br/>
              <w:t>Systém podporuje komunikaci pomocí následujících bankovních formátů: ABO, Best KB, EDI-Best KB, CITI Direct, CITI Internet, ČSOB EPS-ZEPS, CLIK, ČSOB FV2, FV3, FV4, GE, Gemini 4.1+, Multicash.</w:t>
            </w:r>
            <w:r w:rsidRPr="00EA675E">
              <w:rPr>
                <w:rFonts w:asciiTheme="minorHAnsi" w:hAnsiTheme="minorHAnsi" w:cstheme="minorHAnsi"/>
                <w:sz w:val="18"/>
                <w:szCs w:val="18"/>
              </w:rPr>
              <w:br/>
              <w:t>Bankovní formáty jsou do Helios průběžně doplňovány.</w:t>
            </w:r>
          </w:p>
        </w:tc>
      </w:tr>
      <w:tr w:rsidR="00C03AF4" w:rsidRPr="00790C8D" w14:paraId="5EC83EBD"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1062B0E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A14</w:t>
            </w:r>
          </w:p>
        </w:tc>
        <w:tc>
          <w:tcPr>
            <w:tcW w:w="1166" w:type="dxa"/>
            <w:tcBorders>
              <w:top w:val="nil"/>
              <w:left w:val="nil"/>
              <w:bottom w:val="single" w:sz="4" w:space="0" w:color="auto"/>
              <w:right w:val="single" w:sz="4" w:space="0" w:color="auto"/>
            </w:tcBorders>
            <w:shd w:val="clear" w:color="auto" w:fill="auto"/>
            <w:hideMark/>
          </w:tcPr>
          <w:p w14:paraId="3528F55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F58F4A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Automatické párování položek bankovních výpisů s předpisy</w:t>
            </w:r>
          </w:p>
        </w:tc>
        <w:tc>
          <w:tcPr>
            <w:tcW w:w="1072" w:type="dxa"/>
            <w:tcBorders>
              <w:top w:val="nil"/>
              <w:left w:val="nil"/>
              <w:bottom w:val="single" w:sz="4" w:space="0" w:color="auto"/>
              <w:right w:val="single" w:sz="4" w:space="0" w:color="auto"/>
            </w:tcBorders>
            <w:shd w:val="clear" w:color="auto" w:fill="auto"/>
            <w:hideMark/>
          </w:tcPr>
          <w:p w14:paraId="12AD9F28"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29BF6CE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FC22D5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753394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Standardně v okamžiku importu BV dochází k dohledání prvotního / hrazeného dokladu dle nastavení párovací funkce (zpravidla podle VS a částky, přičemž dohledávat podle částky je možné i s nastavenou tolerancí.</w:t>
            </w:r>
          </w:p>
        </w:tc>
      </w:tr>
      <w:tr w:rsidR="00C03AF4" w:rsidRPr="00790C8D" w14:paraId="40707460"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431BC77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A15</w:t>
            </w:r>
          </w:p>
        </w:tc>
        <w:tc>
          <w:tcPr>
            <w:tcW w:w="1166" w:type="dxa"/>
            <w:tcBorders>
              <w:top w:val="nil"/>
              <w:left w:val="nil"/>
              <w:bottom w:val="single" w:sz="4" w:space="0" w:color="auto"/>
              <w:right w:val="single" w:sz="4" w:space="0" w:color="auto"/>
            </w:tcBorders>
            <w:shd w:val="clear" w:color="auto" w:fill="auto"/>
            <w:hideMark/>
          </w:tcPr>
          <w:p w14:paraId="1BC085F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43E004C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Jednoduché ruční opravy</w:t>
            </w:r>
          </w:p>
        </w:tc>
        <w:tc>
          <w:tcPr>
            <w:tcW w:w="1072" w:type="dxa"/>
            <w:tcBorders>
              <w:top w:val="nil"/>
              <w:left w:val="nil"/>
              <w:bottom w:val="single" w:sz="4" w:space="0" w:color="auto"/>
              <w:right w:val="single" w:sz="4" w:space="0" w:color="auto"/>
            </w:tcBorders>
            <w:shd w:val="clear" w:color="auto" w:fill="auto"/>
            <w:hideMark/>
          </w:tcPr>
          <w:p w14:paraId="042370E1"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EAE188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7EF634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5C1A1F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Systé</w:t>
            </w:r>
            <w:r w:rsidRPr="00790C8D">
              <w:rPr>
                <w:rFonts w:asciiTheme="minorHAnsi" w:hAnsiTheme="minorHAnsi" w:cstheme="minorHAnsi"/>
                <w:sz w:val="18"/>
                <w:szCs w:val="18"/>
              </w:rPr>
              <w:t>m</w:t>
            </w:r>
            <w:r w:rsidRPr="00EA675E">
              <w:rPr>
                <w:rFonts w:asciiTheme="minorHAnsi" w:hAnsiTheme="minorHAnsi" w:cstheme="minorHAnsi"/>
                <w:sz w:val="18"/>
                <w:szCs w:val="18"/>
              </w:rPr>
              <w:t xml:space="preserve"> podporuje provádět potřebné úpravy na BV, zejména nasazení nebo změny účetních dimenzí nebo jiné úpravy.</w:t>
            </w:r>
          </w:p>
        </w:tc>
      </w:tr>
      <w:tr w:rsidR="00C03AF4" w:rsidRPr="00790C8D" w14:paraId="000BF7E2"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352D5E5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A16</w:t>
            </w:r>
          </w:p>
        </w:tc>
        <w:tc>
          <w:tcPr>
            <w:tcW w:w="1166" w:type="dxa"/>
            <w:tcBorders>
              <w:top w:val="nil"/>
              <w:left w:val="nil"/>
              <w:bottom w:val="single" w:sz="4" w:space="0" w:color="auto"/>
              <w:right w:val="single" w:sz="4" w:space="0" w:color="auto"/>
            </w:tcBorders>
            <w:shd w:val="clear" w:color="auto" w:fill="auto"/>
            <w:hideMark/>
          </w:tcPr>
          <w:p w14:paraId="2888224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09985B0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Tvorba úhrad na základě párování položek bankovních výpisů na prvotní doklady.</w:t>
            </w:r>
          </w:p>
        </w:tc>
        <w:tc>
          <w:tcPr>
            <w:tcW w:w="1072" w:type="dxa"/>
            <w:tcBorders>
              <w:top w:val="nil"/>
              <w:left w:val="nil"/>
              <w:bottom w:val="single" w:sz="4" w:space="0" w:color="auto"/>
              <w:right w:val="single" w:sz="4" w:space="0" w:color="auto"/>
            </w:tcBorders>
            <w:shd w:val="clear" w:color="auto" w:fill="auto"/>
            <w:hideMark/>
          </w:tcPr>
          <w:p w14:paraId="34EA10B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28EF94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1FE856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6C51252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Při spárování BV dojde v Helios automaticky k vytvoření úhrady ke spárovanému prvotnímu dokladu. Tvorba úhrad je součástí standardu Helios.</w:t>
            </w:r>
          </w:p>
        </w:tc>
      </w:tr>
      <w:tr w:rsidR="00C03AF4" w:rsidRPr="00790C8D" w14:paraId="1BED414A" w14:textId="77777777" w:rsidTr="000F2E84">
        <w:trPr>
          <w:trHeight w:val="2100"/>
        </w:trPr>
        <w:tc>
          <w:tcPr>
            <w:tcW w:w="492" w:type="dxa"/>
            <w:tcBorders>
              <w:top w:val="nil"/>
              <w:left w:val="single" w:sz="4" w:space="0" w:color="auto"/>
              <w:bottom w:val="single" w:sz="4" w:space="0" w:color="auto"/>
              <w:right w:val="single" w:sz="4" w:space="0" w:color="auto"/>
            </w:tcBorders>
            <w:shd w:val="clear" w:color="auto" w:fill="auto"/>
            <w:hideMark/>
          </w:tcPr>
          <w:p w14:paraId="663145F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A17</w:t>
            </w:r>
          </w:p>
        </w:tc>
        <w:tc>
          <w:tcPr>
            <w:tcW w:w="1166" w:type="dxa"/>
            <w:tcBorders>
              <w:top w:val="nil"/>
              <w:left w:val="nil"/>
              <w:bottom w:val="single" w:sz="4" w:space="0" w:color="auto"/>
              <w:right w:val="single" w:sz="4" w:space="0" w:color="auto"/>
            </w:tcBorders>
            <w:shd w:val="clear" w:color="auto" w:fill="auto"/>
            <w:hideMark/>
          </w:tcPr>
          <w:p w14:paraId="0B56A6D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Pokladní operace</w:t>
            </w:r>
          </w:p>
        </w:tc>
        <w:tc>
          <w:tcPr>
            <w:tcW w:w="2257" w:type="dxa"/>
            <w:tcBorders>
              <w:top w:val="nil"/>
              <w:left w:val="nil"/>
              <w:bottom w:val="single" w:sz="4" w:space="0" w:color="auto"/>
              <w:right w:val="single" w:sz="4" w:space="0" w:color="auto"/>
            </w:tcBorders>
            <w:shd w:val="clear" w:color="auto" w:fill="auto"/>
            <w:hideMark/>
          </w:tcPr>
          <w:p w14:paraId="164A985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IS musí obsahovat modul Pokladna – evidence hotovostních příjmů a výdajů v členění podle jednotlivých pokladen s vazbou na účetní dimenze s přenosem do účetnictví.</w:t>
            </w:r>
          </w:p>
        </w:tc>
        <w:tc>
          <w:tcPr>
            <w:tcW w:w="1072" w:type="dxa"/>
            <w:tcBorders>
              <w:top w:val="nil"/>
              <w:left w:val="nil"/>
              <w:bottom w:val="single" w:sz="4" w:space="0" w:color="auto"/>
              <w:right w:val="single" w:sz="4" w:space="0" w:color="auto"/>
            </w:tcBorders>
            <w:shd w:val="clear" w:color="auto" w:fill="auto"/>
            <w:hideMark/>
          </w:tcPr>
          <w:p w14:paraId="46C2F11C"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FA89F2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2EE8F2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4F6D24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obsahuje v rámci standardu samosta</w:t>
            </w:r>
            <w:r w:rsidRPr="00790C8D">
              <w:rPr>
                <w:rFonts w:asciiTheme="minorHAnsi" w:hAnsiTheme="minorHAnsi" w:cstheme="minorHAnsi"/>
                <w:sz w:val="18"/>
                <w:szCs w:val="18"/>
              </w:rPr>
              <w:t>t</w:t>
            </w:r>
            <w:r w:rsidRPr="00EA675E">
              <w:rPr>
                <w:rFonts w:asciiTheme="minorHAnsi" w:hAnsiTheme="minorHAnsi" w:cstheme="minorHAnsi"/>
                <w:sz w:val="18"/>
                <w:szCs w:val="18"/>
              </w:rPr>
              <w:t>ný modul Pokladna.</w:t>
            </w:r>
            <w:r w:rsidRPr="00EA675E">
              <w:rPr>
                <w:rFonts w:asciiTheme="minorHAnsi" w:hAnsiTheme="minorHAnsi" w:cstheme="minorHAnsi"/>
                <w:sz w:val="18"/>
                <w:szCs w:val="18"/>
              </w:rPr>
              <w:br/>
              <w:t>Pokladna umožňuje provádět standardní pokladní operace. Na prvotní pokladní doklad lze zadat potřebné účetní dimenze, které se po zaúčtování dokladu přenesou na vytvářený účetní doklad.</w:t>
            </w:r>
            <w:r w:rsidRPr="00EA675E">
              <w:rPr>
                <w:rFonts w:asciiTheme="minorHAnsi" w:hAnsiTheme="minorHAnsi" w:cstheme="minorHAnsi"/>
                <w:sz w:val="18"/>
                <w:szCs w:val="18"/>
              </w:rPr>
              <w:br/>
              <w:t>Členění pořadačů pokladen se provádí v rámci implementace podle potřeb dané zakázky a lze ho v budoucnosti měnit.</w:t>
            </w:r>
          </w:p>
        </w:tc>
      </w:tr>
      <w:tr w:rsidR="00C03AF4" w:rsidRPr="00790C8D" w14:paraId="01B285CE" w14:textId="77777777" w:rsidTr="000F2E84">
        <w:trPr>
          <w:trHeight w:val="568"/>
        </w:trPr>
        <w:tc>
          <w:tcPr>
            <w:tcW w:w="492" w:type="dxa"/>
            <w:tcBorders>
              <w:top w:val="nil"/>
              <w:left w:val="single" w:sz="4" w:space="0" w:color="auto"/>
              <w:bottom w:val="single" w:sz="4" w:space="0" w:color="auto"/>
              <w:right w:val="single" w:sz="4" w:space="0" w:color="auto"/>
            </w:tcBorders>
            <w:shd w:val="clear" w:color="auto" w:fill="auto"/>
            <w:hideMark/>
          </w:tcPr>
          <w:p w14:paraId="77EE6B6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A18</w:t>
            </w:r>
          </w:p>
        </w:tc>
        <w:tc>
          <w:tcPr>
            <w:tcW w:w="1166" w:type="dxa"/>
            <w:tcBorders>
              <w:top w:val="nil"/>
              <w:left w:val="nil"/>
              <w:bottom w:val="single" w:sz="4" w:space="0" w:color="auto"/>
              <w:right w:val="single" w:sz="4" w:space="0" w:color="auto"/>
            </w:tcBorders>
            <w:shd w:val="clear" w:color="auto" w:fill="auto"/>
            <w:hideMark/>
          </w:tcPr>
          <w:p w14:paraId="109B3F1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ED0F63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Úhrady závazků nebo pohledávek pokladním dokladem.</w:t>
            </w:r>
          </w:p>
        </w:tc>
        <w:tc>
          <w:tcPr>
            <w:tcW w:w="1072" w:type="dxa"/>
            <w:tcBorders>
              <w:top w:val="nil"/>
              <w:left w:val="nil"/>
              <w:bottom w:val="single" w:sz="4" w:space="0" w:color="auto"/>
              <w:right w:val="single" w:sz="4" w:space="0" w:color="auto"/>
            </w:tcBorders>
            <w:shd w:val="clear" w:color="auto" w:fill="auto"/>
            <w:hideMark/>
          </w:tcPr>
          <w:p w14:paraId="21820B59"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4FA22B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B13521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0F42689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disponuje funkčností, pomocí které lze provádět úhrady závazků a pohledávek pokladním dokladem. Automaticky tak vznikne úhrada faktury přijaté nebo vydané.</w:t>
            </w:r>
          </w:p>
        </w:tc>
      </w:tr>
      <w:tr w:rsidR="00C03AF4" w:rsidRPr="00790C8D" w14:paraId="65BF2A52"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38C3DE5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A19</w:t>
            </w:r>
          </w:p>
        </w:tc>
        <w:tc>
          <w:tcPr>
            <w:tcW w:w="1166" w:type="dxa"/>
            <w:tcBorders>
              <w:top w:val="nil"/>
              <w:left w:val="nil"/>
              <w:bottom w:val="single" w:sz="4" w:space="0" w:color="auto"/>
              <w:right w:val="single" w:sz="4" w:space="0" w:color="auto"/>
            </w:tcBorders>
            <w:shd w:val="clear" w:color="auto" w:fill="auto"/>
            <w:hideMark/>
          </w:tcPr>
          <w:p w14:paraId="4D368E4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40FCE0E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Vedení korunové a valutové pokladny, práce v cizí měně.</w:t>
            </w:r>
          </w:p>
        </w:tc>
        <w:tc>
          <w:tcPr>
            <w:tcW w:w="1072" w:type="dxa"/>
            <w:tcBorders>
              <w:top w:val="nil"/>
              <w:left w:val="nil"/>
              <w:bottom w:val="single" w:sz="4" w:space="0" w:color="auto"/>
              <w:right w:val="single" w:sz="4" w:space="0" w:color="auto"/>
            </w:tcBorders>
            <w:shd w:val="clear" w:color="auto" w:fill="auto"/>
            <w:hideMark/>
          </w:tcPr>
          <w:p w14:paraId="404CF714"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3AF891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02B147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6FBDF72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Pomocí nastavení pořadačů je možné vést oddělené pokladny pro libovolné množství měn.</w:t>
            </w:r>
          </w:p>
        </w:tc>
      </w:tr>
      <w:tr w:rsidR="00C03AF4" w:rsidRPr="00790C8D" w14:paraId="1979316E"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71C76A9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A20</w:t>
            </w:r>
          </w:p>
        </w:tc>
        <w:tc>
          <w:tcPr>
            <w:tcW w:w="1166" w:type="dxa"/>
            <w:tcBorders>
              <w:top w:val="nil"/>
              <w:left w:val="nil"/>
              <w:bottom w:val="single" w:sz="4" w:space="0" w:color="auto"/>
              <w:right w:val="single" w:sz="4" w:space="0" w:color="auto"/>
            </w:tcBorders>
            <w:shd w:val="clear" w:color="auto" w:fill="auto"/>
            <w:hideMark/>
          </w:tcPr>
          <w:p w14:paraId="0A505AA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47B1821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vytváření položek pokladních dokladů.</w:t>
            </w:r>
          </w:p>
        </w:tc>
        <w:tc>
          <w:tcPr>
            <w:tcW w:w="1072" w:type="dxa"/>
            <w:tcBorders>
              <w:top w:val="nil"/>
              <w:left w:val="nil"/>
              <w:bottom w:val="single" w:sz="4" w:space="0" w:color="auto"/>
              <w:right w:val="single" w:sz="4" w:space="0" w:color="auto"/>
            </w:tcBorders>
            <w:shd w:val="clear" w:color="auto" w:fill="auto"/>
            <w:hideMark/>
          </w:tcPr>
          <w:p w14:paraId="7FD7AD2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019947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06286F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EE02F0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Detailní formulář pokladních dokladů v Helios umožňuje vytvářet libovolné množství položek pokladního dokladu.</w:t>
            </w:r>
          </w:p>
        </w:tc>
      </w:tr>
      <w:tr w:rsidR="00C03AF4" w:rsidRPr="00790C8D" w14:paraId="460BBBD5"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596A158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A21</w:t>
            </w:r>
          </w:p>
        </w:tc>
        <w:tc>
          <w:tcPr>
            <w:tcW w:w="1166" w:type="dxa"/>
            <w:tcBorders>
              <w:top w:val="nil"/>
              <w:left w:val="nil"/>
              <w:bottom w:val="single" w:sz="4" w:space="0" w:color="auto"/>
              <w:right w:val="single" w:sz="4" w:space="0" w:color="auto"/>
            </w:tcBorders>
            <w:shd w:val="clear" w:color="auto" w:fill="auto"/>
            <w:hideMark/>
          </w:tcPr>
          <w:p w14:paraId="55C91B0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F1F023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Při účtování výdajových pokladních dokladů možnost snížení DPH poměrnou výší dle zák. č. 235/2004 Sb., § 75, kdy neuplatněná část DPH se účtuje na příslušný nákladový účet a nákladové středisko </w:t>
            </w:r>
          </w:p>
        </w:tc>
        <w:tc>
          <w:tcPr>
            <w:tcW w:w="1072" w:type="dxa"/>
            <w:tcBorders>
              <w:top w:val="nil"/>
              <w:left w:val="nil"/>
              <w:bottom w:val="single" w:sz="4" w:space="0" w:color="auto"/>
              <w:right w:val="single" w:sz="4" w:space="0" w:color="auto"/>
            </w:tcBorders>
            <w:shd w:val="clear" w:color="auto" w:fill="auto"/>
            <w:hideMark/>
          </w:tcPr>
          <w:p w14:paraId="03A39DB8"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6E64AC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BCE765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7A9F22E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Pří přípravě a účtování výdajových pokladních dokladů systém plně podporuje použití poměrného koeficientu. Při vlastním zaúčtování tak umístí příslušné částky DPH na místo podle nastavení poměrného koeficientu.</w:t>
            </w:r>
          </w:p>
        </w:tc>
      </w:tr>
      <w:tr w:rsidR="00C03AF4" w:rsidRPr="00790C8D" w14:paraId="1EFA63C7"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4B31BD3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A22</w:t>
            </w:r>
          </w:p>
        </w:tc>
        <w:tc>
          <w:tcPr>
            <w:tcW w:w="1166" w:type="dxa"/>
            <w:tcBorders>
              <w:top w:val="nil"/>
              <w:left w:val="nil"/>
              <w:bottom w:val="single" w:sz="4" w:space="0" w:color="auto"/>
              <w:right w:val="single" w:sz="4" w:space="0" w:color="auto"/>
            </w:tcBorders>
            <w:shd w:val="clear" w:color="auto" w:fill="auto"/>
            <w:hideMark/>
          </w:tcPr>
          <w:p w14:paraId="4E348A7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0B207B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po položkách pokladních dokladů, nebo sumárně za doklad na základě kontací pohybů.</w:t>
            </w:r>
          </w:p>
        </w:tc>
        <w:tc>
          <w:tcPr>
            <w:tcW w:w="1072" w:type="dxa"/>
            <w:tcBorders>
              <w:top w:val="nil"/>
              <w:left w:val="nil"/>
              <w:bottom w:val="single" w:sz="4" w:space="0" w:color="auto"/>
              <w:right w:val="single" w:sz="4" w:space="0" w:color="auto"/>
            </w:tcBorders>
            <w:shd w:val="clear" w:color="auto" w:fill="auto"/>
            <w:hideMark/>
          </w:tcPr>
          <w:p w14:paraId="58DF1906"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1CFECB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0B849A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8ED344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umožňuje pomocí kontací definovat</w:t>
            </w:r>
            <w:r>
              <w:rPr>
                <w:rFonts w:asciiTheme="minorHAnsi" w:hAnsiTheme="minorHAnsi" w:cstheme="minorHAnsi"/>
                <w:sz w:val="18"/>
                <w:szCs w:val="18"/>
              </w:rPr>
              <w:t>,</w:t>
            </w:r>
            <w:r w:rsidRPr="00EA675E">
              <w:rPr>
                <w:rFonts w:asciiTheme="minorHAnsi" w:hAnsiTheme="minorHAnsi" w:cstheme="minorHAnsi"/>
                <w:sz w:val="18"/>
                <w:szCs w:val="18"/>
              </w:rPr>
              <w:t xml:space="preserve"> zda účtování dokladů bude probíhat po položkách, sumárně za položky, či sumárně za doklad.</w:t>
            </w:r>
          </w:p>
        </w:tc>
      </w:tr>
      <w:tr w:rsidR="00C03AF4" w:rsidRPr="00790C8D" w14:paraId="26678023"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06D28BA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A23</w:t>
            </w:r>
          </w:p>
        </w:tc>
        <w:tc>
          <w:tcPr>
            <w:tcW w:w="1166" w:type="dxa"/>
            <w:tcBorders>
              <w:top w:val="nil"/>
              <w:left w:val="nil"/>
              <w:bottom w:val="single" w:sz="4" w:space="0" w:color="auto"/>
              <w:right w:val="single" w:sz="4" w:space="0" w:color="auto"/>
            </w:tcBorders>
            <w:shd w:val="clear" w:color="auto" w:fill="auto"/>
            <w:hideMark/>
          </w:tcPr>
          <w:p w14:paraId="5645698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3FED44C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Kontrola aktuálního zůstatku pokladny.</w:t>
            </w:r>
          </w:p>
        </w:tc>
        <w:tc>
          <w:tcPr>
            <w:tcW w:w="1072" w:type="dxa"/>
            <w:tcBorders>
              <w:top w:val="nil"/>
              <w:left w:val="nil"/>
              <w:bottom w:val="single" w:sz="4" w:space="0" w:color="auto"/>
              <w:right w:val="single" w:sz="4" w:space="0" w:color="auto"/>
            </w:tcBorders>
            <w:shd w:val="clear" w:color="auto" w:fill="auto"/>
            <w:hideMark/>
          </w:tcPr>
          <w:p w14:paraId="0C74EBC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C86D8F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C3E25C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73BA64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Aktuální zůstatek pokladního místa se zobrazuje uživateli při otevření přehledu dat konkrétní pokladny.</w:t>
            </w:r>
          </w:p>
        </w:tc>
      </w:tr>
      <w:tr w:rsidR="00C03AF4" w:rsidRPr="00790C8D" w14:paraId="0CCE7A18" w14:textId="77777777" w:rsidTr="000F2E84">
        <w:trPr>
          <w:trHeight w:val="1500"/>
        </w:trPr>
        <w:tc>
          <w:tcPr>
            <w:tcW w:w="492" w:type="dxa"/>
            <w:tcBorders>
              <w:top w:val="nil"/>
              <w:left w:val="single" w:sz="4" w:space="0" w:color="auto"/>
              <w:bottom w:val="single" w:sz="4" w:space="0" w:color="auto"/>
              <w:right w:val="single" w:sz="4" w:space="0" w:color="auto"/>
            </w:tcBorders>
            <w:shd w:val="clear" w:color="auto" w:fill="auto"/>
            <w:hideMark/>
          </w:tcPr>
          <w:p w14:paraId="6BAB7FF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A24</w:t>
            </w:r>
          </w:p>
        </w:tc>
        <w:tc>
          <w:tcPr>
            <w:tcW w:w="1166" w:type="dxa"/>
            <w:tcBorders>
              <w:top w:val="nil"/>
              <w:left w:val="nil"/>
              <w:bottom w:val="single" w:sz="4" w:space="0" w:color="auto"/>
              <w:right w:val="single" w:sz="4" w:space="0" w:color="auto"/>
            </w:tcBorders>
            <w:shd w:val="clear" w:color="auto" w:fill="auto"/>
            <w:hideMark/>
          </w:tcPr>
          <w:p w14:paraId="2D597BA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CEA7E6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Funkce pro předání pokladny jiné odpovědné osobě.</w:t>
            </w:r>
          </w:p>
        </w:tc>
        <w:tc>
          <w:tcPr>
            <w:tcW w:w="1072" w:type="dxa"/>
            <w:tcBorders>
              <w:top w:val="nil"/>
              <w:left w:val="nil"/>
              <w:bottom w:val="single" w:sz="4" w:space="0" w:color="auto"/>
              <w:right w:val="single" w:sz="4" w:space="0" w:color="auto"/>
            </w:tcBorders>
            <w:shd w:val="clear" w:color="auto" w:fill="auto"/>
            <w:hideMark/>
          </w:tcPr>
          <w:p w14:paraId="2AFF239C"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905DF6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1575F9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FF9CA3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obsahuje v rámci standardu funkci pro evidenci předávání pokladny mezi zaměstnanci. Funkce spočítá zůstatky na pořadačích z příslušného pokladního místa a umožní zadat skutečný stav pomocí mincovky. Porovnání obou stavů uloží do třídy Zůstatky pokladen.</w:t>
            </w:r>
          </w:p>
        </w:tc>
      </w:tr>
      <w:tr w:rsidR="00C03AF4" w:rsidRPr="00790C8D" w14:paraId="0B6C45A8" w14:textId="77777777" w:rsidTr="000F2E84">
        <w:trPr>
          <w:trHeight w:val="810"/>
        </w:trPr>
        <w:tc>
          <w:tcPr>
            <w:tcW w:w="492" w:type="dxa"/>
            <w:tcBorders>
              <w:top w:val="nil"/>
              <w:left w:val="single" w:sz="4" w:space="0" w:color="auto"/>
              <w:bottom w:val="single" w:sz="4" w:space="0" w:color="auto"/>
              <w:right w:val="single" w:sz="4" w:space="0" w:color="auto"/>
            </w:tcBorders>
            <w:shd w:val="clear" w:color="auto" w:fill="auto"/>
            <w:hideMark/>
          </w:tcPr>
          <w:p w14:paraId="682E985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A25</w:t>
            </w:r>
          </w:p>
        </w:tc>
        <w:tc>
          <w:tcPr>
            <w:tcW w:w="1166" w:type="dxa"/>
            <w:tcBorders>
              <w:top w:val="nil"/>
              <w:left w:val="nil"/>
              <w:bottom w:val="single" w:sz="4" w:space="0" w:color="auto"/>
              <w:right w:val="single" w:sz="4" w:space="0" w:color="auto"/>
            </w:tcBorders>
            <w:shd w:val="clear" w:color="auto" w:fill="auto"/>
            <w:hideMark/>
          </w:tcPr>
          <w:p w14:paraId="5E977FE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51368A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Pokladní kniha pro tuzemskou měnu a pro zahraniční měnu.</w:t>
            </w:r>
          </w:p>
        </w:tc>
        <w:tc>
          <w:tcPr>
            <w:tcW w:w="1072" w:type="dxa"/>
            <w:tcBorders>
              <w:top w:val="nil"/>
              <w:left w:val="nil"/>
              <w:bottom w:val="single" w:sz="4" w:space="0" w:color="auto"/>
              <w:right w:val="single" w:sz="4" w:space="0" w:color="auto"/>
            </w:tcBorders>
            <w:shd w:val="clear" w:color="auto" w:fill="auto"/>
            <w:hideMark/>
          </w:tcPr>
          <w:p w14:paraId="04A2F2C4"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A47F4E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58A7E5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D1D630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Pro tvorbu Pokladní knihy </w:t>
            </w:r>
            <w:r w:rsidRPr="00EA675E">
              <w:rPr>
                <w:rFonts w:asciiTheme="minorHAnsi" w:hAnsiTheme="minorHAnsi" w:cstheme="minorHAnsi"/>
                <w:color w:val="000000"/>
                <w:sz w:val="18"/>
                <w:szCs w:val="18"/>
              </w:rPr>
              <w:t>slouží standardní funkce Pokladní deník. Při spuštění f</w:t>
            </w:r>
            <w:r w:rsidRPr="00790C8D">
              <w:rPr>
                <w:rFonts w:asciiTheme="minorHAnsi" w:hAnsiTheme="minorHAnsi" w:cstheme="minorHAnsi"/>
                <w:color w:val="000000"/>
                <w:sz w:val="18"/>
                <w:szCs w:val="18"/>
              </w:rPr>
              <w:t>unk</w:t>
            </w:r>
            <w:r w:rsidRPr="00EA675E">
              <w:rPr>
                <w:rFonts w:asciiTheme="minorHAnsi" w:hAnsiTheme="minorHAnsi" w:cstheme="minorHAnsi"/>
                <w:color w:val="000000"/>
                <w:sz w:val="18"/>
                <w:szCs w:val="18"/>
              </w:rPr>
              <w:t>ce je možné zadat období, za které chcete pokladní knihu vytvářet, implicitně je nabízeno období od 1.1.</w:t>
            </w:r>
          </w:p>
        </w:tc>
      </w:tr>
      <w:tr w:rsidR="00C03AF4" w:rsidRPr="00790C8D" w14:paraId="1D29C9D3" w14:textId="77777777" w:rsidTr="000F2E84">
        <w:trPr>
          <w:trHeight w:val="709"/>
        </w:trPr>
        <w:tc>
          <w:tcPr>
            <w:tcW w:w="492" w:type="dxa"/>
            <w:tcBorders>
              <w:top w:val="nil"/>
              <w:left w:val="single" w:sz="4" w:space="0" w:color="auto"/>
              <w:bottom w:val="single" w:sz="4" w:space="0" w:color="auto"/>
              <w:right w:val="single" w:sz="4" w:space="0" w:color="auto"/>
            </w:tcBorders>
            <w:shd w:val="clear" w:color="auto" w:fill="auto"/>
            <w:hideMark/>
          </w:tcPr>
          <w:p w14:paraId="53B8F02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A26</w:t>
            </w:r>
          </w:p>
        </w:tc>
        <w:tc>
          <w:tcPr>
            <w:tcW w:w="1166" w:type="dxa"/>
            <w:tcBorders>
              <w:top w:val="nil"/>
              <w:left w:val="nil"/>
              <w:bottom w:val="single" w:sz="4" w:space="0" w:color="auto"/>
              <w:right w:val="single" w:sz="4" w:space="0" w:color="auto"/>
            </w:tcBorders>
            <w:shd w:val="clear" w:color="auto" w:fill="auto"/>
            <w:hideMark/>
          </w:tcPr>
          <w:p w14:paraId="78E21C3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561B3E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Výčetky platidel pro jednotlivé pokladny pro potřeby inventury pokladní hotovosti.</w:t>
            </w:r>
          </w:p>
        </w:tc>
        <w:tc>
          <w:tcPr>
            <w:tcW w:w="1072" w:type="dxa"/>
            <w:tcBorders>
              <w:top w:val="nil"/>
              <w:left w:val="nil"/>
              <w:bottom w:val="single" w:sz="4" w:space="0" w:color="auto"/>
              <w:right w:val="single" w:sz="4" w:space="0" w:color="auto"/>
            </w:tcBorders>
            <w:shd w:val="clear" w:color="auto" w:fill="auto"/>
            <w:hideMark/>
          </w:tcPr>
          <w:p w14:paraId="603FDF9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D70831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060B7E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097D0B5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 rámci standardu Helios je k dispozici funkce, která spočítá zůstatky na pořadačích z příslušného pokladního místa a umožní zadat skutečný stav pomocí mincovky. Porovnání obou stavů uloží do třídy Zůstatky pokladen.</w:t>
            </w:r>
          </w:p>
        </w:tc>
      </w:tr>
      <w:tr w:rsidR="00C03AF4" w:rsidRPr="00790C8D" w14:paraId="2C074DD1" w14:textId="77777777" w:rsidTr="00EC5C0A">
        <w:trPr>
          <w:trHeight w:val="2100"/>
        </w:trPr>
        <w:tc>
          <w:tcPr>
            <w:tcW w:w="492" w:type="dxa"/>
            <w:tcBorders>
              <w:top w:val="nil"/>
              <w:left w:val="single" w:sz="4" w:space="0" w:color="auto"/>
              <w:bottom w:val="single" w:sz="4" w:space="0" w:color="auto"/>
              <w:right w:val="single" w:sz="4" w:space="0" w:color="auto"/>
            </w:tcBorders>
            <w:shd w:val="clear" w:color="auto" w:fill="auto"/>
            <w:hideMark/>
          </w:tcPr>
          <w:p w14:paraId="673071B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A27</w:t>
            </w:r>
          </w:p>
        </w:tc>
        <w:tc>
          <w:tcPr>
            <w:tcW w:w="1166" w:type="dxa"/>
            <w:tcBorders>
              <w:top w:val="nil"/>
              <w:left w:val="nil"/>
              <w:bottom w:val="single" w:sz="4" w:space="0" w:color="auto"/>
              <w:right w:val="single" w:sz="4" w:space="0" w:color="auto"/>
            </w:tcBorders>
            <w:shd w:val="clear" w:color="auto" w:fill="auto"/>
            <w:hideMark/>
          </w:tcPr>
          <w:p w14:paraId="4887D0C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D6029F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Napojení pokladny na možnost úhrady platební kartou</w:t>
            </w:r>
          </w:p>
        </w:tc>
        <w:tc>
          <w:tcPr>
            <w:tcW w:w="1072" w:type="dxa"/>
            <w:tcBorders>
              <w:top w:val="nil"/>
              <w:left w:val="nil"/>
              <w:bottom w:val="single" w:sz="4" w:space="0" w:color="auto"/>
              <w:right w:val="single" w:sz="4" w:space="0" w:color="auto"/>
            </w:tcBorders>
            <w:shd w:val="clear" w:color="auto" w:fill="auto"/>
            <w:hideMark/>
          </w:tcPr>
          <w:p w14:paraId="0D36EF3B" w14:textId="5DB9BC83" w:rsidR="00C03AF4" w:rsidRPr="00EA675E" w:rsidRDefault="00EC5C0A"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r w:rsidR="00C03AF4" w:rsidRPr="00EA675E">
              <w:rPr>
                <w:rFonts w:asciiTheme="minorHAnsi" w:hAnsiTheme="minorHAnsi" w:cstheme="minorHAnsi"/>
                <w:sz w:val="18"/>
                <w:szCs w:val="18"/>
              </w:rPr>
              <w:t> </w:t>
            </w:r>
          </w:p>
        </w:tc>
        <w:tc>
          <w:tcPr>
            <w:tcW w:w="917" w:type="dxa"/>
            <w:tcBorders>
              <w:top w:val="nil"/>
              <w:left w:val="nil"/>
              <w:bottom w:val="single" w:sz="4" w:space="0" w:color="auto"/>
              <w:right w:val="single" w:sz="4" w:space="0" w:color="auto"/>
            </w:tcBorders>
            <w:shd w:val="clear" w:color="auto" w:fill="auto"/>
            <w:hideMark/>
          </w:tcPr>
          <w:p w14:paraId="0F845FA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455A25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441D14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Funkcionalita HELIOS Nephrite zajišťuje propojení s platebním terminálem připojeným přes sériový port, případně lokální síť (dle poskytovatele terminálů) ke klientské stanici </w:t>
            </w:r>
            <w:r w:rsidRPr="00EA675E">
              <w:rPr>
                <w:rFonts w:asciiTheme="minorHAnsi" w:hAnsiTheme="minorHAnsi" w:cstheme="minorHAnsi"/>
                <w:sz w:val="18"/>
                <w:szCs w:val="18"/>
              </w:rPr>
              <w:br/>
              <w:t>Podporována jsou rozhraní na platební terminály společností:</w:t>
            </w:r>
            <w:r w:rsidRPr="00EA675E">
              <w:rPr>
                <w:rFonts w:asciiTheme="minorHAnsi" w:hAnsiTheme="minorHAnsi" w:cstheme="minorHAnsi"/>
                <w:sz w:val="18"/>
                <w:szCs w:val="18"/>
              </w:rPr>
              <w:br/>
              <w:t>Global Payments Europe (GPE) - pouze sériový port</w:t>
            </w:r>
            <w:r w:rsidRPr="00EA675E">
              <w:rPr>
                <w:rFonts w:asciiTheme="minorHAnsi" w:hAnsiTheme="minorHAnsi" w:cstheme="minorHAnsi"/>
                <w:sz w:val="18"/>
                <w:szCs w:val="18"/>
              </w:rPr>
              <w:br/>
              <w:t>SONET - sériový port, TCP/IP</w:t>
            </w:r>
            <w:r w:rsidRPr="00EA675E">
              <w:rPr>
                <w:rFonts w:asciiTheme="minorHAnsi" w:hAnsiTheme="minorHAnsi" w:cstheme="minorHAnsi"/>
                <w:sz w:val="18"/>
                <w:szCs w:val="18"/>
              </w:rPr>
              <w:br/>
              <w:t>ČSOB - pouze sériový port</w:t>
            </w:r>
          </w:p>
        </w:tc>
      </w:tr>
      <w:tr w:rsidR="00C03AF4" w:rsidRPr="00790C8D" w14:paraId="212FE30E" w14:textId="77777777" w:rsidTr="00EC5C0A">
        <w:trPr>
          <w:trHeight w:val="425"/>
        </w:trPr>
        <w:tc>
          <w:tcPr>
            <w:tcW w:w="492" w:type="dxa"/>
            <w:tcBorders>
              <w:top w:val="single" w:sz="4" w:space="0" w:color="auto"/>
              <w:left w:val="single" w:sz="4" w:space="0" w:color="auto"/>
              <w:bottom w:val="single" w:sz="4" w:space="0" w:color="auto"/>
              <w:right w:val="single" w:sz="4" w:space="0" w:color="auto"/>
            </w:tcBorders>
            <w:shd w:val="clear" w:color="auto" w:fill="auto"/>
            <w:hideMark/>
          </w:tcPr>
          <w:p w14:paraId="2F41126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A28</w:t>
            </w:r>
          </w:p>
        </w:tc>
        <w:tc>
          <w:tcPr>
            <w:tcW w:w="1166" w:type="dxa"/>
            <w:tcBorders>
              <w:top w:val="single" w:sz="4" w:space="0" w:color="auto"/>
              <w:left w:val="single" w:sz="4" w:space="0" w:color="auto"/>
              <w:bottom w:val="single" w:sz="4" w:space="0" w:color="auto"/>
              <w:right w:val="single" w:sz="4" w:space="0" w:color="auto"/>
            </w:tcBorders>
            <w:shd w:val="clear" w:color="auto" w:fill="auto"/>
            <w:hideMark/>
          </w:tcPr>
          <w:p w14:paraId="6E6C048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majetku</w:t>
            </w:r>
          </w:p>
        </w:tc>
        <w:tc>
          <w:tcPr>
            <w:tcW w:w="2257" w:type="dxa"/>
            <w:tcBorders>
              <w:top w:val="single" w:sz="4" w:space="0" w:color="auto"/>
              <w:left w:val="single" w:sz="4" w:space="0" w:color="auto"/>
              <w:bottom w:val="single" w:sz="4" w:space="0" w:color="auto"/>
              <w:right w:val="single" w:sz="4" w:space="0" w:color="auto"/>
            </w:tcBorders>
            <w:shd w:val="clear" w:color="auto" w:fill="auto"/>
            <w:hideMark/>
          </w:tcPr>
          <w:p w14:paraId="40F7C78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pohybů majetku na základě kontací pohybů.</w:t>
            </w:r>
          </w:p>
        </w:tc>
        <w:tc>
          <w:tcPr>
            <w:tcW w:w="1072" w:type="dxa"/>
            <w:tcBorders>
              <w:top w:val="single" w:sz="4" w:space="0" w:color="auto"/>
              <w:left w:val="single" w:sz="4" w:space="0" w:color="auto"/>
              <w:bottom w:val="single" w:sz="4" w:space="0" w:color="auto"/>
              <w:right w:val="single" w:sz="4" w:space="0" w:color="auto"/>
            </w:tcBorders>
            <w:shd w:val="clear" w:color="auto" w:fill="auto"/>
            <w:hideMark/>
          </w:tcPr>
          <w:p w14:paraId="7CAF51BF"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6CE0114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single" w:sz="4" w:space="0" w:color="auto"/>
              <w:left w:val="single" w:sz="4" w:space="0" w:color="auto"/>
              <w:bottom w:val="single" w:sz="4" w:space="0" w:color="auto"/>
              <w:right w:val="single" w:sz="4" w:space="0" w:color="auto"/>
            </w:tcBorders>
            <w:shd w:val="clear" w:color="auto" w:fill="auto"/>
            <w:hideMark/>
          </w:tcPr>
          <w:p w14:paraId="6B04E68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single" w:sz="4" w:space="0" w:color="auto"/>
              <w:left w:val="single" w:sz="4" w:space="0" w:color="auto"/>
              <w:bottom w:val="single" w:sz="4" w:space="0" w:color="auto"/>
              <w:right w:val="single" w:sz="4" w:space="0" w:color="auto"/>
            </w:tcBorders>
            <w:shd w:val="clear" w:color="auto" w:fill="auto"/>
            <w:hideMark/>
          </w:tcPr>
          <w:p w14:paraId="360CB95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Účtování pohybů majetku je prováděno pomocí kontací ve standardu Helios. Použití kontace prvotního dokladu je </w:t>
            </w:r>
            <w:r w:rsidRPr="00EA675E">
              <w:rPr>
                <w:rFonts w:asciiTheme="minorHAnsi" w:hAnsiTheme="minorHAnsi" w:cstheme="minorHAnsi"/>
                <w:sz w:val="18"/>
                <w:szCs w:val="18"/>
              </w:rPr>
              <w:lastRenderedPageBreak/>
              <w:t>doporučeno také pro korektní tv</w:t>
            </w:r>
            <w:r w:rsidRPr="00790C8D">
              <w:rPr>
                <w:rFonts w:asciiTheme="minorHAnsi" w:hAnsiTheme="minorHAnsi" w:cstheme="minorHAnsi"/>
                <w:sz w:val="18"/>
                <w:szCs w:val="18"/>
              </w:rPr>
              <w:t>o</w:t>
            </w:r>
            <w:r w:rsidRPr="00EA675E">
              <w:rPr>
                <w:rFonts w:asciiTheme="minorHAnsi" w:hAnsiTheme="minorHAnsi" w:cstheme="minorHAnsi"/>
                <w:sz w:val="18"/>
                <w:szCs w:val="18"/>
              </w:rPr>
              <w:t>rbu PAP výkazu.</w:t>
            </w:r>
          </w:p>
        </w:tc>
      </w:tr>
      <w:tr w:rsidR="00C03AF4" w:rsidRPr="00790C8D" w14:paraId="2C297152" w14:textId="77777777" w:rsidTr="00EC5C0A">
        <w:trPr>
          <w:trHeight w:val="600"/>
        </w:trPr>
        <w:tc>
          <w:tcPr>
            <w:tcW w:w="492" w:type="dxa"/>
            <w:tcBorders>
              <w:top w:val="single" w:sz="4" w:space="0" w:color="auto"/>
              <w:left w:val="single" w:sz="4" w:space="0" w:color="auto"/>
              <w:bottom w:val="single" w:sz="4" w:space="0" w:color="auto"/>
              <w:right w:val="single" w:sz="4" w:space="0" w:color="auto"/>
            </w:tcBorders>
            <w:shd w:val="clear" w:color="auto" w:fill="auto"/>
            <w:hideMark/>
          </w:tcPr>
          <w:p w14:paraId="4526416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A29</w:t>
            </w:r>
          </w:p>
        </w:tc>
        <w:tc>
          <w:tcPr>
            <w:tcW w:w="1166" w:type="dxa"/>
            <w:tcBorders>
              <w:top w:val="single" w:sz="4" w:space="0" w:color="auto"/>
              <w:left w:val="nil"/>
              <w:bottom w:val="single" w:sz="4" w:space="0" w:color="auto"/>
              <w:right w:val="single" w:sz="4" w:space="0" w:color="auto"/>
            </w:tcBorders>
            <w:shd w:val="clear" w:color="auto" w:fill="auto"/>
            <w:hideMark/>
          </w:tcPr>
          <w:p w14:paraId="67A760B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single" w:sz="4" w:space="0" w:color="auto"/>
              <w:left w:val="nil"/>
              <w:bottom w:val="single" w:sz="4" w:space="0" w:color="auto"/>
              <w:right w:val="single" w:sz="4" w:space="0" w:color="auto"/>
            </w:tcBorders>
            <w:shd w:val="clear" w:color="auto" w:fill="auto"/>
            <w:hideMark/>
          </w:tcPr>
          <w:p w14:paraId="1B36EA1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o převodech majetku mezi útvary.</w:t>
            </w:r>
          </w:p>
        </w:tc>
        <w:tc>
          <w:tcPr>
            <w:tcW w:w="1072" w:type="dxa"/>
            <w:tcBorders>
              <w:top w:val="single" w:sz="4" w:space="0" w:color="auto"/>
              <w:left w:val="nil"/>
              <w:bottom w:val="single" w:sz="4" w:space="0" w:color="auto"/>
              <w:right w:val="single" w:sz="4" w:space="0" w:color="auto"/>
            </w:tcBorders>
            <w:shd w:val="clear" w:color="auto" w:fill="auto"/>
            <w:hideMark/>
          </w:tcPr>
          <w:p w14:paraId="24BFF789"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single" w:sz="4" w:space="0" w:color="auto"/>
              <w:left w:val="nil"/>
              <w:bottom w:val="single" w:sz="4" w:space="0" w:color="auto"/>
              <w:right w:val="single" w:sz="4" w:space="0" w:color="auto"/>
            </w:tcBorders>
            <w:shd w:val="clear" w:color="auto" w:fill="auto"/>
            <w:hideMark/>
          </w:tcPr>
          <w:p w14:paraId="7388018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single" w:sz="4" w:space="0" w:color="auto"/>
              <w:left w:val="nil"/>
              <w:bottom w:val="single" w:sz="4" w:space="0" w:color="auto"/>
              <w:right w:val="single" w:sz="4" w:space="0" w:color="auto"/>
            </w:tcBorders>
            <w:shd w:val="clear" w:color="auto" w:fill="auto"/>
            <w:hideMark/>
          </w:tcPr>
          <w:p w14:paraId="43B0AD0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single" w:sz="4" w:space="0" w:color="auto"/>
              <w:left w:val="nil"/>
              <w:bottom w:val="single" w:sz="4" w:space="0" w:color="auto"/>
              <w:right w:val="single" w:sz="4" w:space="0" w:color="auto"/>
            </w:tcBorders>
            <w:shd w:val="clear" w:color="auto" w:fill="auto"/>
            <w:hideMark/>
          </w:tcPr>
          <w:p w14:paraId="6BEADCE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K přeúčtování majetku dochází automaticky při změně útvaru, na který je majetek evidován.</w:t>
            </w:r>
          </w:p>
        </w:tc>
      </w:tr>
      <w:tr w:rsidR="00C03AF4" w:rsidRPr="00790C8D" w14:paraId="065EAAD8"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4CED23B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A30</w:t>
            </w:r>
          </w:p>
        </w:tc>
        <w:tc>
          <w:tcPr>
            <w:tcW w:w="1166" w:type="dxa"/>
            <w:tcBorders>
              <w:top w:val="nil"/>
              <w:left w:val="nil"/>
              <w:bottom w:val="single" w:sz="4" w:space="0" w:color="auto"/>
              <w:right w:val="single" w:sz="4" w:space="0" w:color="auto"/>
            </w:tcBorders>
            <w:shd w:val="clear" w:color="auto" w:fill="auto"/>
            <w:hideMark/>
          </w:tcPr>
          <w:p w14:paraId="4080F86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EC6731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odpisů na základě kontací.</w:t>
            </w:r>
          </w:p>
        </w:tc>
        <w:tc>
          <w:tcPr>
            <w:tcW w:w="1072" w:type="dxa"/>
            <w:tcBorders>
              <w:top w:val="nil"/>
              <w:left w:val="nil"/>
              <w:bottom w:val="single" w:sz="4" w:space="0" w:color="auto"/>
              <w:right w:val="single" w:sz="4" w:space="0" w:color="auto"/>
            </w:tcBorders>
            <w:shd w:val="clear" w:color="auto" w:fill="auto"/>
            <w:hideMark/>
          </w:tcPr>
          <w:p w14:paraId="0E3A13DF"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51915A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0E61422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4337D6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měsíčních odpisů je prováděno automaticky v rámci měsíční závěrky majetku, provádí se na základě kontací.</w:t>
            </w:r>
          </w:p>
        </w:tc>
      </w:tr>
      <w:tr w:rsidR="00C03AF4" w:rsidRPr="00790C8D" w14:paraId="6018A1A6" w14:textId="77777777" w:rsidTr="000F2E84">
        <w:trPr>
          <w:trHeight w:val="709"/>
        </w:trPr>
        <w:tc>
          <w:tcPr>
            <w:tcW w:w="492" w:type="dxa"/>
            <w:tcBorders>
              <w:top w:val="nil"/>
              <w:left w:val="single" w:sz="4" w:space="0" w:color="auto"/>
              <w:bottom w:val="single" w:sz="4" w:space="0" w:color="auto"/>
              <w:right w:val="single" w:sz="4" w:space="0" w:color="auto"/>
            </w:tcBorders>
            <w:shd w:val="clear" w:color="auto" w:fill="auto"/>
            <w:hideMark/>
          </w:tcPr>
          <w:p w14:paraId="78CCCC7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A31</w:t>
            </w:r>
          </w:p>
        </w:tc>
        <w:tc>
          <w:tcPr>
            <w:tcW w:w="1166" w:type="dxa"/>
            <w:tcBorders>
              <w:top w:val="nil"/>
              <w:left w:val="nil"/>
              <w:bottom w:val="single" w:sz="4" w:space="0" w:color="auto"/>
              <w:right w:val="single" w:sz="4" w:space="0" w:color="auto"/>
            </w:tcBorders>
            <w:shd w:val="clear" w:color="auto" w:fill="auto"/>
            <w:hideMark/>
          </w:tcPr>
          <w:p w14:paraId="63CC498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F2D42F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Identifikace účetních dokladů z pohybů majetku podle útvarů.</w:t>
            </w:r>
          </w:p>
        </w:tc>
        <w:tc>
          <w:tcPr>
            <w:tcW w:w="1072" w:type="dxa"/>
            <w:tcBorders>
              <w:top w:val="nil"/>
              <w:left w:val="nil"/>
              <w:bottom w:val="single" w:sz="4" w:space="0" w:color="auto"/>
              <w:right w:val="single" w:sz="4" w:space="0" w:color="auto"/>
            </w:tcBorders>
            <w:shd w:val="clear" w:color="auto" w:fill="auto"/>
            <w:hideMark/>
          </w:tcPr>
          <w:p w14:paraId="766EDACA"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5CC682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DC461E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1EBDA0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v rámci standardu plně podporuje členění podle organizační struktury - provádí se prostředni</w:t>
            </w:r>
            <w:r w:rsidRPr="00790C8D">
              <w:rPr>
                <w:rFonts w:asciiTheme="minorHAnsi" w:hAnsiTheme="minorHAnsi" w:cstheme="minorHAnsi"/>
                <w:sz w:val="18"/>
                <w:szCs w:val="18"/>
              </w:rPr>
              <w:t>c</w:t>
            </w:r>
            <w:r w:rsidRPr="00EA675E">
              <w:rPr>
                <w:rFonts w:asciiTheme="minorHAnsi" w:hAnsiTheme="minorHAnsi" w:cstheme="minorHAnsi"/>
                <w:sz w:val="18"/>
                <w:szCs w:val="18"/>
              </w:rPr>
              <w:t>tvím účetní dimenze Útvar a jejího nadřízeného objektu Expozitura. Přenos dimenze do účetních dokladů se provádí stejným způsobem ve všech ekonomických oblastech, to znamená i v Majetku.</w:t>
            </w:r>
          </w:p>
        </w:tc>
      </w:tr>
      <w:tr w:rsidR="00C03AF4" w:rsidRPr="00790C8D" w14:paraId="62A347AD"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2BFE4C5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A32</w:t>
            </w:r>
          </w:p>
        </w:tc>
        <w:tc>
          <w:tcPr>
            <w:tcW w:w="1166" w:type="dxa"/>
            <w:tcBorders>
              <w:top w:val="nil"/>
              <w:left w:val="nil"/>
              <w:bottom w:val="single" w:sz="4" w:space="0" w:color="auto"/>
              <w:right w:val="single" w:sz="4" w:space="0" w:color="auto"/>
            </w:tcBorders>
            <w:shd w:val="clear" w:color="auto" w:fill="auto"/>
            <w:hideMark/>
          </w:tcPr>
          <w:p w14:paraId="55C3D38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sklad</w:t>
            </w:r>
          </w:p>
        </w:tc>
        <w:tc>
          <w:tcPr>
            <w:tcW w:w="2257" w:type="dxa"/>
            <w:tcBorders>
              <w:top w:val="nil"/>
              <w:left w:val="nil"/>
              <w:bottom w:val="single" w:sz="4" w:space="0" w:color="auto"/>
              <w:right w:val="single" w:sz="4" w:space="0" w:color="auto"/>
            </w:tcBorders>
            <w:shd w:val="clear" w:color="auto" w:fill="auto"/>
            <w:hideMark/>
          </w:tcPr>
          <w:p w14:paraId="549638F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skladových pohybů na základě kontací pohybů.</w:t>
            </w:r>
          </w:p>
        </w:tc>
        <w:tc>
          <w:tcPr>
            <w:tcW w:w="1072" w:type="dxa"/>
            <w:tcBorders>
              <w:top w:val="nil"/>
              <w:left w:val="nil"/>
              <w:bottom w:val="single" w:sz="4" w:space="0" w:color="auto"/>
              <w:right w:val="single" w:sz="4" w:space="0" w:color="auto"/>
            </w:tcBorders>
            <w:shd w:val="clear" w:color="auto" w:fill="auto"/>
            <w:hideMark/>
          </w:tcPr>
          <w:p w14:paraId="2214E0B5"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5FD4C5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16624C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369DE69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skladových pohybů je prováděno pomocí kontací ve standardu Helios. Použití kontace prvotního dokladu je doporučeno také pro korektní tvorbu PAP výkazu.</w:t>
            </w:r>
          </w:p>
        </w:tc>
      </w:tr>
      <w:tr w:rsidR="00C03AF4" w:rsidRPr="00790C8D" w14:paraId="4BA4152A" w14:textId="77777777" w:rsidTr="000F2E84">
        <w:trPr>
          <w:trHeight w:val="1500"/>
        </w:trPr>
        <w:tc>
          <w:tcPr>
            <w:tcW w:w="492" w:type="dxa"/>
            <w:tcBorders>
              <w:top w:val="nil"/>
              <w:left w:val="single" w:sz="4" w:space="0" w:color="auto"/>
              <w:bottom w:val="single" w:sz="4" w:space="0" w:color="auto"/>
              <w:right w:val="single" w:sz="4" w:space="0" w:color="auto"/>
            </w:tcBorders>
            <w:shd w:val="clear" w:color="auto" w:fill="auto"/>
            <w:hideMark/>
          </w:tcPr>
          <w:p w14:paraId="2D01B37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A33</w:t>
            </w:r>
          </w:p>
        </w:tc>
        <w:tc>
          <w:tcPr>
            <w:tcW w:w="1166" w:type="dxa"/>
            <w:tcBorders>
              <w:top w:val="nil"/>
              <w:left w:val="nil"/>
              <w:bottom w:val="single" w:sz="4" w:space="0" w:color="auto"/>
              <w:right w:val="single" w:sz="4" w:space="0" w:color="auto"/>
            </w:tcBorders>
            <w:shd w:val="clear" w:color="auto" w:fill="auto"/>
            <w:hideMark/>
          </w:tcPr>
          <w:p w14:paraId="354F444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Závazky</w:t>
            </w:r>
          </w:p>
        </w:tc>
        <w:tc>
          <w:tcPr>
            <w:tcW w:w="2257" w:type="dxa"/>
            <w:tcBorders>
              <w:top w:val="nil"/>
              <w:left w:val="nil"/>
              <w:bottom w:val="single" w:sz="4" w:space="0" w:color="auto"/>
              <w:right w:val="single" w:sz="4" w:space="0" w:color="auto"/>
            </w:tcBorders>
            <w:shd w:val="clear" w:color="auto" w:fill="auto"/>
            <w:hideMark/>
          </w:tcPr>
          <w:p w14:paraId="3CFB6CC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Evidence faktur přijatých a jiných závazků prostřednictvím příslušných analytických evidencí, nastavitelný počet číselných řad faktur, nastavitelné jednoznačné číslování číselné řady.</w:t>
            </w:r>
          </w:p>
        </w:tc>
        <w:tc>
          <w:tcPr>
            <w:tcW w:w="1072" w:type="dxa"/>
            <w:tcBorders>
              <w:top w:val="nil"/>
              <w:left w:val="nil"/>
              <w:bottom w:val="single" w:sz="4" w:space="0" w:color="auto"/>
              <w:right w:val="single" w:sz="4" w:space="0" w:color="auto"/>
            </w:tcBorders>
            <w:shd w:val="clear" w:color="auto" w:fill="auto"/>
            <w:hideMark/>
          </w:tcPr>
          <w:p w14:paraId="1487DF7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B957AC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7094F3B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D57C81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Uživatel si může nadefinovat libovolné členění závazků do pořadačů, to znamená i dle specifického členění analytických evidencí. V Helios lze nastavit lib</w:t>
            </w:r>
            <w:r w:rsidRPr="00790C8D">
              <w:rPr>
                <w:rFonts w:asciiTheme="minorHAnsi" w:hAnsiTheme="minorHAnsi" w:cstheme="minorHAnsi"/>
                <w:sz w:val="18"/>
                <w:szCs w:val="18"/>
              </w:rPr>
              <w:t>o</w:t>
            </w:r>
            <w:r w:rsidRPr="00EA675E">
              <w:rPr>
                <w:rFonts w:asciiTheme="minorHAnsi" w:hAnsiTheme="minorHAnsi" w:cstheme="minorHAnsi"/>
                <w:sz w:val="18"/>
                <w:szCs w:val="18"/>
              </w:rPr>
              <w:t>volný počet pořadačů a pravidla pro tvorbu číselných řad faktur se nastavují v konfiguracích pořadačů.</w:t>
            </w:r>
          </w:p>
        </w:tc>
      </w:tr>
      <w:tr w:rsidR="00C03AF4" w:rsidRPr="00790C8D" w14:paraId="78459956"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70CCBAE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A34</w:t>
            </w:r>
          </w:p>
        </w:tc>
        <w:tc>
          <w:tcPr>
            <w:tcW w:w="1166" w:type="dxa"/>
            <w:tcBorders>
              <w:top w:val="nil"/>
              <w:left w:val="nil"/>
              <w:bottom w:val="single" w:sz="4" w:space="0" w:color="auto"/>
              <w:right w:val="single" w:sz="4" w:space="0" w:color="auto"/>
            </w:tcBorders>
            <w:shd w:val="clear" w:color="auto" w:fill="auto"/>
            <w:hideMark/>
          </w:tcPr>
          <w:p w14:paraId="792C320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F87E9D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Při účtování přijatých faktur možnost snížení DPH poměrnou výší dle zák. č. 235/2004 Sb., § 75, kdy neuplatněná část DPH se účtuje na příslušný nákladový účet a nákladové středisko </w:t>
            </w:r>
          </w:p>
        </w:tc>
        <w:tc>
          <w:tcPr>
            <w:tcW w:w="1072" w:type="dxa"/>
            <w:tcBorders>
              <w:top w:val="nil"/>
              <w:left w:val="nil"/>
              <w:bottom w:val="single" w:sz="4" w:space="0" w:color="auto"/>
              <w:right w:val="single" w:sz="4" w:space="0" w:color="auto"/>
            </w:tcBorders>
            <w:shd w:val="clear" w:color="auto" w:fill="auto"/>
            <w:hideMark/>
          </w:tcPr>
          <w:p w14:paraId="0C23D3D3"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58207E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78757F2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E9D013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Pří přípravě a účtování přijatých faktur systém plně podporuje použití poměrného koeficientu. Při vlastním zaúčtování tak umístí příslušné částky DPH na místo podle nastavení poměrného koeficientu.</w:t>
            </w:r>
          </w:p>
        </w:tc>
      </w:tr>
      <w:tr w:rsidR="00C03AF4" w:rsidRPr="00790C8D" w14:paraId="5D855786"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2118751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A35</w:t>
            </w:r>
          </w:p>
        </w:tc>
        <w:tc>
          <w:tcPr>
            <w:tcW w:w="1166" w:type="dxa"/>
            <w:tcBorders>
              <w:top w:val="nil"/>
              <w:left w:val="nil"/>
              <w:bottom w:val="single" w:sz="4" w:space="0" w:color="auto"/>
              <w:right w:val="single" w:sz="4" w:space="0" w:color="auto"/>
            </w:tcBorders>
            <w:shd w:val="clear" w:color="auto" w:fill="auto"/>
            <w:hideMark/>
          </w:tcPr>
          <w:p w14:paraId="4250250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7AA6B0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práce s položkami závazku.</w:t>
            </w:r>
          </w:p>
        </w:tc>
        <w:tc>
          <w:tcPr>
            <w:tcW w:w="1072" w:type="dxa"/>
            <w:tcBorders>
              <w:top w:val="nil"/>
              <w:left w:val="nil"/>
              <w:bottom w:val="single" w:sz="4" w:space="0" w:color="auto"/>
              <w:right w:val="single" w:sz="4" w:space="0" w:color="auto"/>
            </w:tcBorders>
            <w:shd w:val="clear" w:color="auto" w:fill="auto"/>
            <w:hideMark/>
          </w:tcPr>
          <w:p w14:paraId="7FD9607B"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157469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C3B1A7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22742A3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Na deta</w:t>
            </w:r>
            <w:r w:rsidRPr="00790C8D">
              <w:rPr>
                <w:rFonts w:asciiTheme="minorHAnsi" w:hAnsiTheme="minorHAnsi" w:cstheme="minorHAnsi"/>
                <w:sz w:val="18"/>
                <w:szCs w:val="18"/>
              </w:rPr>
              <w:t>i</w:t>
            </w:r>
            <w:r w:rsidRPr="00EA675E">
              <w:rPr>
                <w:rFonts w:asciiTheme="minorHAnsi" w:hAnsiTheme="minorHAnsi" w:cstheme="minorHAnsi"/>
                <w:sz w:val="18"/>
                <w:szCs w:val="18"/>
              </w:rPr>
              <w:t>lním formuláři závazku lze standardně pracovat s položkami závazků, včetně odlišného způsobu účtování jednotlivých položek.</w:t>
            </w:r>
          </w:p>
        </w:tc>
      </w:tr>
      <w:tr w:rsidR="00C03AF4" w:rsidRPr="00790C8D" w14:paraId="4EC9E0F1" w14:textId="77777777" w:rsidTr="000F2E84">
        <w:trPr>
          <w:trHeight w:val="1418"/>
        </w:trPr>
        <w:tc>
          <w:tcPr>
            <w:tcW w:w="492" w:type="dxa"/>
            <w:tcBorders>
              <w:top w:val="nil"/>
              <w:left w:val="single" w:sz="4" w:space="0" w:color="auto"/>
              <w:bottom w:val="single" w:sz="4" w:space="0" w:color="auto"/>
              <w:right w:val="single" w:sz="4" w:space="0" w:color="auto"/>
            </w:tcBorders>
            <w:shd w:val="clear" w:color="auto" w:fill="auto"/>
            <w:hideMark/>
          </w:tcPr>
          <w:p w14:paraId="5F7BA91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A36</w:t>
            </w:r>
          </w:p>
        </w:tc>
        <w:tc>
          <w:tcPr>
            <w:tcW w:w="1166" w:type="dxa"/>
            <w:tcBorders>
              <w:top w:val="nil"/>
              <w:left w:val="nil"/>
              <w:bottom w:val="single" w:sz="4" w:space="0" w:color="auto"/>
              <w:right w:val="single" w:sz="4" w:space="0" w:color="auto"/>
            </w:tcBorders>
            <w:shd w:val="clear" w:color="auto" w:fill="auto"/>
            <w:hideMark/>
          </w:tcPr>
          <w:p w14:paraId="2611AE8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0F61DB4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Identifikace prvotních dokladů v systému podle účetních dimenzí nastavitelných pro množinu dokladů.</w:t>
            </w:r>
          </w:p>
        </w:tc>
        <w:tc>
          <w:tcPr>
            <w:tcW w:w="1072" w:type="dxa"/>
            <w:tcBorders>
              <w:top w:val="nil"/>
              <w:left w:val="nil"/>
              <w:bottom w:val="single" w:sz="4" w:space="0" w:color="auto"/>
              <w:right w:val="single" w:sz="4" w:space="0" w:color="auto"/>
            </w:tcBorders>
            <w:shd w:val="clear" w:color="auto" w:fill="auto"/>
            <w:hideMark/>
          </w:tcPr>
          <w:p w14:paraId="3825B89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A2645A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949F8B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35D8874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Identifikace prvotních dokladů je realizována na základě účetních dimenzí, které jsou tvořeny statickými a dynamickými vztahy. Jejich množina se v Helios nastavuje podle požadavků zakázky a povinnost jejich plnění lze nastavit v Integritním omezení účtů.</w:t>
            </w:r>
            <w:r w:rsidRPr="00EA675E">
              <w:rPr>
                <w:rFonts w:asciiTheme="minorHAnsi" w:hAnsiTheme="minorHAnsi" w:cstheme="minorHAnsi"/>
                <w:sz w:val="18"/>
                <w:szCs w:val="18"/>
              </w:rPr>
              <w:br/>
              <w:t>Účetní dimenze budou nastaveny podle požadavku zadavatele ze ZD.</w:t>
            </w:r>
          </w:p>
        </w:tc>
      </w:tr>
      <w:tr w:rsidR="00C03AF4" w:rsidRPr="00790C8D" w14:paraId="0430C2F9" w14:textId="77777777" w:rsidTr="000F2E84">
        <w:trPr>
          <w:trHeight w:val="2625"/>
        </w:trPr>
        <w:tc>
          <w:tcPr>
            <w:tcW w:w="492" w:type="dxa"/>
            <w:tcBorders>
              <w:top w:val="nil"/>
              <w:left w:val="single" w:sz="4" w:space="0" w:color="auto"/>
              <w:bottom w:val="single" w:sz="4" w:space="0" w:color="auto"/>
              <w:right w:val="single" w:sz="4" w:space="0" w:color="auto"/>
            </w:tcBorders>
            <w:shd w:val="clear" w:color="auto" w:fill="auto"/>
            <w:hideMark/>
          </w:tcPr>
          <w:p w14:paraId="31C761F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A37</w:t>
            </w:r>
          </w:p>
        </w:tc>
        <w:tc>
          <w:tcPr>
            <w:tcW w:w="1166" w:type="dxa"/>
            <w:tcBorders>
              <w:top w:val="nil"/>
              <w:left w:val="nil"/>
              <w:bottom w:val="single" w:sz="4" w:space="0" w:color="auto"/>
              <w:right w:val="single" w:sz="4" w:space="0" w:color="auto"/>
            </w:tcBorders>
            <w:shd w:val="clear" w:color="auto" w:fill="auto"/>
            <w:hideMark/>
          </w:tcPr>
          <w:p w14:paraId="4905B6C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B4150F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Vedení evidence zálohových faktur přijatých, práce se zálohovými fakturami, vypořádání záloh, včetně jejich zdaňování, zúčtování záloh.</w:t>
            </w:r>
          </w:p>
        </w:tc>
        <w:tc>
          <w:tcPr>
            <w:tcW w:w="1072" w:type="dxa"/>
            <w:tcBorders>
              <w:top w:val="nil"/>
              <w:left w:val="nil"/>
              <w:bottom w:val="single" w:sz="4" w:space="0" w:color="auto"/>
              <w:right w:val="single" w:sz="4" w:space="0" w:color="auto"/>
            </w:tcBorders>
            <w:shd w:val="clear" w:color="auto" w:fill="auto"/>
            <w:hideMark/>
          </w:tcPr>
          <w:p w14:paraId="13CC3D25"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D52827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0163064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EF410A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Zálohové doklady jsou zpravidla evidovány v samostatném pořadači. Vlastní zdaňování je pak řešeno generování daňových dokladů k jednotlivým zálohovým platbám. Ty se vytvářejí funkcí </w:t>
            </w:r>
            <w:r w:rsidRPr="00EA675E">
              <w:rPr>
                <w:rFonts w:asciiTheme="minorHAnsi" w:hAnsiTheme="minorHAnsi" w:cstheme="minorHAnsi"/>
                <w:i/>
                <w:iCs/>
                <w:color w:val="000000"/>
                <w:sz w:val="18"/>
                <w:szCs w:val="18"/>
              </w:rPr>
              <w:t>Vytvoření daňového dokladu</w:t>
            </w:r>
            <w:r w:rsidRPr="00EA675E">
              <w:rPr>
                <w:rFonts w:asciiTheme="minorHAnsi" w:hAnsiTheme="minorHAnsi" w:cstheme="minorHAnsi"/>
                <w:color w:val="000000"/>
                <w:sz w:val="18"/>
                <w:szCs w:val="18"/>
              </w:rPr>
              <w:t>. Daňová povinnost je realizována zaúčtováním daňového dokladu zálohy a poté jeho automatickým zahrnutím do daňového přiznání. Účtování probíhá na základě kontací. Z realizačního dokladu lze provádět párování záloh, výběrem z množiny zálohových dokladů.</w:t>
            </w:r>
          </w:p>
        </w:tc>
      </w:tr>
      <w:tr w:rsidR="00C03AF4" w:rsidRPr="00790C8D" w14:paraId="5DC2E4DD"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5DB48EA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A38</w:t>
            </w:r>
          </w:p>
        </w:tc>
        <w:tc>
          <w:tcPr>
            <w:tcW w:w="1166" w:type="dxa"/>
            <w:tcBorders>
              <w:top w:val="nil"/>
              <w:left w:val="nil"/>
              <w:bottom w:val="single" w:sz="4" w:space="0" w:color="auto"/>
              <w:right w:val="single" w:sz="4" w:space="0" w:color="auto"/>
            </w:tcBorders>
            <w:shd w:val="clear" w:color="auto" w:fill="auto"/>
            <w:hideMark/>
          </w:tcPr>
          <w:p w14:paraId="72D10EA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92C1E2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závazků podle nastavitelných kontací.</w:t>
            </w:r>
          </w:p>
        </w:tc>
        <w:tc>
          <w:tcPr>
            <w:tcW w:w="1072" w:type="dxa"/>
            <w:tcBorders>
              <w:top w:val="nil"/>
              <w:left w:val="nil"/>
              <w:bottom w:val="single" w:sz="4" w:space="0" w:color="auto"/>
              <w:right w:val="single" w:sz="4" w:space="0" w:color="auto"/>
            </w:tcBorders>
            <w:shd w:val="clear" w:color="auto" w:fill="auto"/>
            <w:hideMark/>
          </w:tcPr>
          <w:p w14:paraId="0C8D467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22D5E31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0276576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103E70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Účtování závazků lze v Helios realizovat na základě kontací. Použití kontací PD je doporučeno pro korektní tvorbu PAP výkazu.</w:t>
            </w:r>
          </w:p>
        </w:tc>
      </w:tr>
      <w:tr w:rsidR="00C03AF4" w:rsidRPr="00790C8D" w14:paraId="3813BD41" w14:textId="77777777" w:rsidTr="000F2E84">
        <w:trPr>
          <w:trHeight w:val="1065"/>
        </w:trPr>
        <w:tc>
          <w:tcPr>
            <w:tcW w:w="492" w:type="dxa"/>
            <w:tcBorders>
              <w:top w:val="nil"/>
              <w:left w:val="single" w:sz="4" w:space="0" w:color="auto"/>
              <w:bottom w:val="single" w:sz="4" w:space="0" w:color="auto"/>
              <w:right w:val="single" w:sz="4" w:space="0" w:color="auto"/>
            </w:tcBorders>
            <w:shd w:val="clear" w:color="auto" w:fill="auto"/>
            <w:hideMark/>
          </w:tcPr>
          <w:p w14:paraId="18D2E3A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A39</w:t>
            </w:r>
          </w:p>
        </w:tc>
        <w:tc>
          <w:tcPr>
            <w:tcW w:w="1166" w:type="dxa"/>
            <w:tcBorders>
              <w:top w:val="nil"/>
              <w:left w:val="nil"/>
              <w:bottom w:val="single" w:sz="4" w:space="0" w:color="auto"/>
              <w:right w:val="single" w:sz="4" w:space="0" w:color="auto"/>
            </w:tcBorders>
            <w:shd w:val="clear" w:color="auto" w:fill="auto"/>
            <w:hideMark/>
          </w:tcPr>
          <w:p w14:paraId="6D7450B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24853A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Podpora práce s opravnými daňovými doklady (dobropisy), jejich párování a účtování.</w:t>
            </w:r>
          </w:p>
        </w:tc>
        <w:tc>
          <w:tcPr>
            <w:tcW w:w="1072" w:type="dxa"/>
            <w:tcBorders>
              <w:top w:val="nil"/>
              <w:left w:val="nil"/>
              <w:bottom w:val="single" w:sz="4" w:space="0" w:color="auto"/>
              <w:right w:val="single" w:sz="4" w:space="0" w:color="auto"/>
            </w:tcBorders>
            <w:shd w:val="clear" w:color="auto" w:fill="auto"/>
            <w:hideMark/>
          </w:tcPr>
          <w:p w14:paraId="4BBE97F8"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9D8DE8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FDEE92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65A2F81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Opravné daňové doklady jsou vytvářeny standardní funkcí </w:t>
            </w:r>
            <w:r w:rsidRPr="00EA675E">
              <w:rPr>
                <w:rFonts w:asciiTheme="minorHAnsi" w:hAnsiTheme="minorHAnsi" w:cstheme="minorHAnsi"/>
                <w:i/>
                <w:iCs/>
                <w:color w:val="000000"/>
                <w:sz w:val="18"/>
                <w:szCs w:val="18"/>
              </w:rPr>
              <w:t>Vystavení dobropisu.</w:t>
            </w:r>
            <w:r w:rsidRPr="00EA675E">
              <w:rPr>
                <w:rFonts w:asciiTheme="minorHAnsi" w:hAnsiTheme="minorHAnsi" w:cstheme="minorHAnsi"/>
                <w:color w:val="000000"/>
                <w:sz w:val="18"/>
                <w:szCs w:val="18"/>
              </w:rPr>
              <w:t xml:space="preserve"> Automatické účtování DBP lze nastavit pomocí naplánovaných procesů na DB serveru v časech podle požadavků zadavatele. Účtování probíhá na základě kontací PD.</w:t>
            </w:r>
          </w:p>
        </w:tc>
      </w:tr>
      <w:tr w:rsidR="00C03AF4" w:rsidRPr="00790C8D" w14:paraId="424CE241" w14:textId="77777777" w:rsidTr="000F2E84">
        <w:trPr>
          <w:trHeight w:val="855"/>
        </w:trPr>
        <w:tc>
          <w:tcPr>
            <w:tcW w:w="492" w:type="dxa"/>
            <w:tcBorders>
              <w:top w:val="nil"/>
              <w:left w:val="single" w:sz="4" w:space="0" w:color="auto"/>
              <w:bottom w:val="single" w:sz="4" w:space="0" w:color="auto"/>
              <w:right w:val="single" w:sz="4" w:space="0" w:color="auto"/>
            </w:tcBorders>
            <w:shd w:val="clear" w:color="auto" w:fill="auto"/>
            <w:hideMark/>
          </w:tcPr>
          <w:p w14:paraId="685043F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A40</w:t>
            </w:r>
          </w:p>
        </w:tc>
        <w:tc>
          <w:tcPr>
            <w:tcW w:w="1166" w:type="dxa"/>
            <w:tcBorders>
              <w:top w:val="nil"/>
              <w:left w:val="nil"/>
              <w:bottom w:val="single" w:sz="4" w:space="0" w:color="auto"/>
              <w:right w:val="single" w:sz="4" w:space="0" w:color="auto"/>
            </w:tcBorders>
            <w:shd w:val="clear" w:color="auto" w:fill="auto"/>
            <w:hideMark/>
          </w:tcPr>
          <w:p w14:paraId="6A4C8DB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5E63CD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Vystavování platebních příkazů tuzemských a zahraničních přímo z prvotního dokladu.</w:t>
            </w:r>
          </w:p>
        </w:tc>
        <w:tc>
          <w:tcPr>
            <w:tcW w:w="1072" w:type="dxa"/>
            <w:tcBorders>
              <w:top w:val="nil"/>
              <w:left w:val="nil"/>
              <w:bottom w:val="single" w:sz="4" w:space="0" w:color="auto"/>
              <w:right w:val="single" w:sz="4" w:space="0" w:color="auto"/>
            </w:tcBorders>
            <w:shd w:val="clear" w:color="auto" w:fill="auto"/>
            <w:hideMark/>
          </w:tcPr>
          <w:p w14:paraId="3CB7D765"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3CF23B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C9B18F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51ADAE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Platební příkazy tuzemské i zahraniční je možné vystavovat z prvotních dokladů standardní funkcí </w:t>
            </w:r>
            <w:r w:rsidRPr="00EA675E">
              <w:rPr>
                <w:rFonts w:asciiTheme="minorHAnsi" w:hAnsiTheme="minorHAnsi" w:cstheme="minorHAnsi"/>
                <w:i/>
                <w:iCs/>
                <w:color w:val="000000"/>
                <w:sz w:val="18"/>
                <w:szCs w:val="18"/>
              </w:rPr>
              <w:t>Vystavení platebního příkazu</w:t>
            </w:r>
            <w:r w:rsidRPr="00EA675E">
              <w:rPr>
                <w:rFonts w:asciiTheme="minorHAnsi" w:hAnsiTheme="minorHAnsi" w:cstheme="minorHAnsi"/>
                <w:color w:val="000000"/>
                <w:sz w:val="18"/>
                <w:szCs w:val="18"/>
              </w:rPr>
              <w:t>.</w:t>
            </w:r>
          </w:p>
        </w:tc>
      </w:tr>
      <w:tr w:rsidR="00C03AF4" w:rsidRPr="00790C8D" w14:paraId="138EEADE"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1A90A7A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A41</w:t>
            </w:r>
          </w:p>
        </w:tc>
        <w:tc>
          <w:tcPr>
            <w:tcW w:w="1166" w:type="dxa"/>
            <w:tcBorders>
              <w:top w:val="nil"/>
              <w:left w:val="nil"/>
              <w:bottom w:val="single" w:sz="4" w:space="0" w:color="auto"/>
              <w:right w:val="single" w:sz="4" w:space="0" w:color="auto"/>
            </w:tcBorders>
            <w:shd w:val="clear" w:color="auto" w:fill="auto"/>
            <w:hideMark/>
          </w:tcPr>
          <w:p w14:paraId="3A7BF1C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3FF6554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Schvalování vytvořených platebních příkazů podle zadaných pravidel.</w:t>
            </w:r>
          </w:p>
        </w:tc>
        <w:tc>
          <w:tcPr>
            <w:tcW w:w="1072" w:type="dxa"/>
            <w:tcBorders>
              <w:top w:val="nil"/>
              <w:left w:val="nil"/>
              <w:bottom w:val="single" w:sz="4" w:space="0" w:color="auto"/>
              <w:right w:val="single" w:sz="4" w:space="0" w:color="auto"/>
            </w:tcBorders>
            <w:shd w:val="clear" w:color="auto" w:fill="auto"/>
            <w:hideMark/>
          </w:tcPr>
          <w:p w14:paraId="6832484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C0CA50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C2530A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79C8486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Platební příkazy lze standardně schvalovat a pravidla pro schvalování platebních příkazů je možné definovat na základě integritních omezení.</w:t>
            </w:r>
          </w:p>
        </w:tc>
      </w:tr>
      <w:tr w:rsidR="00C03AF4" w:rsidRPr="00790C8D" w14:paraId="5248DA5B"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6CD510E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A42</w:t>
            </w:r>
          </w:p>
        </w:tc>
        <w:tc>
          <w:tcPr>
            <w:tcW w:w="1166" w:type="dxa"/>
            <w:tcBorders>
              <w:top w:val="nil"/>
              <w:left w:val="nil"/>
              <w:bottom w:val="single" w:sz="4" w:space="0" w:color="auto"/>
              <w:right w:val="single" w:sz="4" w:space="0" w:color="auto"/>
            </w:tcBorders>
            <w:shd w:val="clear" w:color="auto" w:fill="auto"/>
            <w:hideMark/>
          </w:tcPr>
          <w:p w14:paraId="44F647F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37344EE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Automatizovaná tvorba úhrad závazků na základě jejich párování v bance.</w:t>
            </w:r>
          </w:p>
        </w:tc>
        <w:tc>
          <w:tcPr>
            <w:tcW w:w="1072" w:type="dxa"/>
            <w:tcBorders>
              <w:top w:val="nil"/>
              <w:left w:val="nil"/>
              <w:bottom w:val="single" w:sz="4" w:space="0" w:color="auto"/>
              <w:right w:val="single" w:sz="4" w:space="0" w:color="auto"/>
            </w:tcBorders>
            <w:shd w:val="clear" w:color="auto" w:fill="auto"/>
            <w:hideMark/>
          </w:tcPr>
          <w:p w14:paraId="6CC41B9B"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A63F6C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7FF18A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006232F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 Bance probíhá automatické párování při importu bankovních výpisů v případě, že Helios automaticky dohl</w:t>
            </w:r>
            <w:r w:rsidRPr="00790C8D">
              <w:rPr>
                <w:rFonts w:asciiTheme="minorHAnsi" w:hAnsiTheme="minorHAnsi" w:cstheme="minorHAnsi"/>
                <w:sz w:val="18"/>
                <w:szCs w:val="18"/>
              </w:rPr>
              <w:t>e</w:t>
            </w:r>
            <w:r w:rsidRPr="00EA675E">
              <w:rPr>
                <w:rFonts w:asciiTheme="minorHAnsi" w:hAnsiTheme="minorHAnsi" w:cstheme="minorHAnsi"/>
                <w:sz w:val="18"/>
                <w:szCs w:val="18"/>
              </w:rPr>
              <w:t>dá hrazený doklad na z</w:t>
            </w:r>
            <w:r w:rsidRPr="00790C8D">
              <w:rPr>
                <w:rFonts w:asciiTheme="minorHAnsi" w:hAnsiTheme="minorHAnsi" w:cstheme="minorHAnsi"/>
                <w:sz w:val="18"/>
                <w:szCs w:val="18"/>
              </w:rPr>
              <w:t>á</w:t>
            </w:r>
            <w:r w:rsidRPr="00EA675E">
              <w:rPr>
                <w:rFonts w:asciiTheme="minorHAnsi" w:hAnsiTheme="minorHAnsi" w:cstheme="minorHAnsi"/>
                <w:sz w:val="18"/>
                <w:szCs w:val="18"/>
              </w:rPr>
              <w:t>kladě párovací funkce. Současně automaticky vzniká úhrada prvotního dokladu.</w:t>
            </w:r>
          </w:p>
        </w:tc>
      </w:tr>
      <w:tr w:rsidR="00C03AF4" w:rsidRPr="00790C8D" w14:paraId="318649A1" w14:textId="77777777" w:rsidTr="000F2E84">
        <w:trPr>
          <w:trHeight w:val="2100"/>
        </w:trPr>
        <w:tc>
          <w:tcPr>
            <w:tcW w:w="492" w:type="dxa"/>
            <w:tcBorders>
              <w:top w:val="nil"/>
              <w:left w:val="single" w:sz="4" w:space="0" w:color="auto"/>
              <w:bottom w:val="single" w:sz="4" w:space="0" w:color="auto"/>
              <w:right w:val="single" w:sz="4" w:space="0" w:color="auto"/>
            </w:tcBorders>
            <w:shd w:val="clear" w:color="auto" w:fill="auto"/>
            <w:hideMark/>
          </w:tcPr>
          <w:p w14:paraId="4FEDC59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A43</w:t>
            </w:r>
          </w:p>
        </w:tc>
        <w:tc>
          <w:tcPr>
            <w:tcW w:w="1166" w:type="dxa"/>
            <w:tcBorders>
              <w:top w:val="nil"/>
              <w:left w:val="nil"/>
              <w:bottom w:val="single" w:sz="4" w:space="0" w:color="auto"/>
              <w:right w:val="single" w:sz="4" w:space="0" w:color="auto"/>
            </w:tcBorders>
            <w:shd w:val="clear" w:color="auto" w:fill="auto"/>
            <w:hideMark/>
          </w:tcPr>
          <w:p w14:paraId="6FC2866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4ABE98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Identifikace účetních dokladů vzniklých ze závazků podle nastavitelných vybraných účetních dimenzí.</w:t>
            </w:r>
          </w:p>
        </w:tc>
        <w:tc>
          <w:tcPr>
            <w:tcW w:w="1072" w:type="dxa"/>
            <w:tcBorders>
              <w:top w:val="nil"/>
              <w:left w:val="nil"/>
              <w:bottom w:val="single" w:sz="4" w:space="0" w:color="auto"/>
              <w:right w:val="single" w:sz="4" w:space="0" w:color="auto"/>
            </w:tcBorders>
            <w:shd w:val="clear" w:color="auto" w:fill="auto"/>
            <w:hideMark/>
          </w:tcPr>
          <w:p w14:paraId="2229AE8A"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419B23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8D67F6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37E3998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Identifikace účetních dokladů je realizována na základě účetních dimenzí, které jsou tvořeny statickými a dynamickými vztahy. Jejich množinu lze nastavit podle požadavků zakázky. O přenos účetních dimenzí z prvotního dokladu na účetní doklad se stará nastavení v Integritním omezení účtů. Množina účetních dimenzí bu</w:t>
            </w:r>
            <w:r w:rsidRPr="00790C8D">
              <w:rPr>
                <w:rFonts w:asciiTheme="minorHAnsi" w:hAnsiTheme="minorHAnsi" w:cstheme="minorHAnsi"/>
                <w:sz w:val="18"/>
                <w:szCs w:val="18"/>
              </w:rPr>
              <w:t>d</w:t>
            </w:r>
            <w:r w:rsidRPr="00EA675E">
              <w:rPr>
                <w:rFonts w:asciiTheme="minorHAnsi" w:hAnsiTheme="minorHAnsi" w:cstheme="minorHAnsi"/>
                <w:sz w:val="18"/>
                <w:szCs w:val="18"/>
              </w:rPr>
              <w:t xml:space="preserve">e nastavena v rámci </w:t>
            </w:r>
            <w:r w:rsidRPr="00EA675E">
              <w:rPr>
                <w:rFonts w:asciiTheme="minorHAnsi" w:hAnsiTheme="minorHAnsi" w:cstheme="minorHAnsi"/>
                <w:sz w:val="18"/>
                <w:szCs w:val="18"/>
              </w:rPr>
              <w:lastRenderedPageBreak/>
              <w:t>implementace systém podle požadavků zadavatele ze ZD.</w:t>
            </w:r>
          </w:p>
        </w:tc>
      </w:tr>
      <w:tr w:rsidR="00C03AF4" w:rsidRPr="00790C8D" w14:paraId="2DAD1487"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07C3810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A44</w:t>
            </w:r>
          </w:p>
        </w:tc>
        <w:tc>
          <w:tcPr>
            <w:tcW w:w="1166" w:type="dxa"/>
            <w:tcBorders>
              <w:top w:val="nil"/>
              <w:left w:val="nil"/>
              <w:bottom w:val="single" w:sz="4" w:space="0" w:color="auto"/>
              <w:right w:val="single" w:sz="4" w:space="0" w:color="auto"/>
            </w:tcBorders>
            <w:shd w:val="clear" w:color="auto" w:fill="auto"/>
            <w:hideMark/>
          </w:tcPr>
          <w:p w14:paraId="723AA83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Pohledávky</w:t>
            </w:r>
          </w:p>
        </w:tc>
        <w:tc>
          <w:tcPr>
            <w:tcW w:w="2257" w:type="dxa"/>
            <w:tcBorders>
              <w:top w:val="nil"/>
              <w:left w:val="nil"/>
              <w:bottom w:val="single" w:sz="4" w:space="0" w:color="auto"/>
              <w:right w:val="single" w:sz="4" w:space="0" w:color="auto"/>
            </w:tcBorders>
            <w:shd w:val="clear" w:color="auto" w:fill="auto"/>
            <w:hideMark/>
          </w:tcPr>
          <w:p w14:paraId="4F540D5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Evidence pohledávek v příslušných analytických evidencích. Systém automaticky přidělí každé nové pohledávce jednoznačný identifikátor. Nastavitelný počet číselných řad faktur.</w:t>
            </w:r>
          </w:p>
        </w:tc>
        <w:tc>
          <w:tcPr>
            <w:tcW w:w="1072" w:type="dxa"/>
            <w:tcBorders>
              <w:top w:val="nil"/>
              <w:left w:val="nil"/>
              <w:bottom w:val="single" w:sz="4" w:space="0" w:color="auto"/>
              <w:right w:val="single" w:sz="4" w:space="0" w:color="auto"/>
            </w:tcBorders>
            <w:shd w:val="clear" w:color="auto" w:fill="auto"/>
            <w:hideMark/>
          </w:tcPr>
          <w:p w14:paraId="668F8CE7"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2C1D67C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7F22889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6ADFFB0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Evidenci pohledávek je možné provádět v členění, které odpovídá požadavkům zadavatele. Jednoznačný identifikátor číselní řady pohledávky přiděluje systém automaticky, na základě nastavení v konfiguraci pořadače.</w:t>
            </w:r>
          </w:p>
        </w:tc>
      </w:tr>
      <w:tr w:rsidR="00C03AF4" w:rsidRPr="00790C8D" w14:paraId="6D612843"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63F95DA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A45</w:t>
            </w:r>
          </w:p>
        </w:tc>
        <w:tc>
          <w:tcPr>
            <w:tcW w:w="1166" w:type="dxa"/>
            <w:tcBorders>
              <w:top w:val="nil"/>
              <w:left w:val="nil"/>
              <w:bottom w:val="single" w:sz="4" w:space="0" w:color="auto"/>
              <w:right w:val="single" w:sz="4" w:space="0" w:color="auto"/>
            </w:tcBorders>
            <w:shd w:val="clear" w:color="auto" w:fill="auto"/>
            <w:hideMark/>
          </w:tcPr>
          <w:p w14:paraId="708B9F7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3772A95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práce s položkami pohledávky.</w:t>
            </w:r>
          </w:p>
        </w:tc>
        <w:tc>
          <w:tcPr>
            <w:tcW w:w="1072" w:type="dxa"/>
            <w:tcBorders>
              <w:top w:val="nil"/>
              <w:left w:val="nil"/>
              <w:bottom w:val="single" w:sz="4" w:space="0" w:color="auto"/>
              <w:right w:val="single" w:sz="4" w:space="0" w:color="auto"/>
            </w:tcBorders>
            <w:shd w:val="clear" w:color="auto" w:fill="auto"/>
            <w:hideMark/>
          </w:tcPr>
          <w:p w14:paraId="44D69511"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72184B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BEC5A2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54AB07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umožňuje na detailu pohledávky práci s položkami pohledávek. Jednotlivé položky pohledávky lze účtovat podle odlišných pravidel.</w:t>
            </w:r>
          </w:p>
        </w:tc>
      </w:tr>
      <w:tr w:rsidR="00C03AF4" w:rsidRPr="00790C8D" w14:paraId="3768729B" w14:textId="77777777" w:rsidTr="000F2E84">
        <w:trPr>
          <w:trHeight w:val="1500"/>
        </w:trPr>
        <w:tc>
          <w:tcPr>
            <w:tcW w:w="492" w:type="dxa"/>
            <w:tcBorders>
              <w:top w:val="nil"/>
              <w:left w:val="single" w:sz="4" w:space="0" w:color="auto"/>
              <w:bottom w:val="single" w:sz="4" w:space="0" w:color="auto"/>
              <w:right w:val="single" w:sz="4" w:space="0" w:color="auto"/>
            </w:tcBorders>
            <w:shd w:val="clear" w:color="auto" w:fill="auto"/>
            <w:hideMark/>
          </w:tcPr>
          <w:p w14:paraId="43527A6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A46</w:t>
            </w:r>
          </w:p>
        </w:tc>
        <w:tc>
          <w:tcPr>
            <w:tcW w:w="1166" w:type="dxa"/>
            <w:tcBorders>
              <w:top w:val="nil"/>
              <w:left w:val="nil"/>
              <w:bottom w:val="single" w:sz="4" w:space="0" w:color="auto"/>
              <w:right w:val="single" w:sz="4" w:space="0" w:color="auto"/>
            </w:tcBorders>
            <w:shd w:val="clear" w:color="auto" w:fill="auto"/>
            <w:hideMark/>
          </w:tcPr>
          <w:p w14:paraId="4E2F19E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0000EA1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Identifikace vzniklých prvotních dokladů v systému podle nastavitelných účetních dimenzí.</w:t>
            </w:r>
          </w:p>
        </w:tc>
        <w:tc>
          <w:tcPr>
            <w:tcW w:w="1072" w:type="dxa"/>
            <w:tcBorders>
              <w:top w:val="nil"/>
              <w:left w:val="nil"/>
              <w:bottom w:val="single" w:sz="4" w:space="0" w:color="auto"/>
              <w:right w:val="single" w:sz="4" w:space="0" w:color="auto"/>
            </w:tcBorders>
            <w:shd w:val="clear" w:color="auto" w:fill="auto"/>
            <w:hideMark/>
          </w:tcPr>
          <w:p w14:paraId="3E2138EA"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B914A9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FE670F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3688C13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Identifikace prvotních dokladů je realizována na základě účetních dimenzí, které jsou tvořeny statickými a dynamickými vztahy. Jejich množina se v Helios nastavuje podle požadavků zakázky. Účetní dimenze budou nastaveny v rámci implementace systému podle požadavku zadavatele ze ZD.</w:t>
            </w:r>
          </w:p>
        </w:tc>
      </w:tr>
      <w:tr w:rsidR="00C03AF4" w:rsidRPr="00790C8D" w14:paraId="2A317886" w14:textId="77777777" w:rsidTr="000F2E84">
        <w:trPr>
          <w:trHeight w:val="709"/>
        </w:trPr>
        <w:tc>
          <w:tcPr>
            <w:tcW w:w="492" w:type="dxa"/>
            <w:tcBorders>
              <w:top w:val="nil"/>
              <w:left w:val="single" w:sz="4" w:space="0" w:color="auto"/>
              <w:bottom w:val="single" w:sz="4" w:space="0" w:color="auto"/>
              <w:right w:val="single" w:sz="4" w:space="0" w:color="auto"/>
            </w:tcBorders>
            <w:shd w:val="clear" w:color="auto" w:fill="auto"/>
            <w:hideMark/>
          </w:tcPr>
          <w:p w14:paraId="3D017D2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A47</w:t>
            </w:r>
          </w:p>
        </w:tc>
        <w:tc>
          <w:tcPr>
            <w:tcW w:w="1166" w:type="dxa"/>
            <w:tcBorders>
              <w:top w:val="nil"/>
              <w:left w:val="nil"/>
              <w:bottom w:val="single" w:sz="4" w:space="0" w:color="auto"/>
              <w:right w:val="single" w:sz="4" w:space="0" w:color="auto"/>
            </w:tcBorders>
            <w:shd w:val="clear" w:color="auto" w:fill="auto"/>
            <w:hideMark/>
          </w:tcPr>
          <w:p w14:paraId="7D2BEB2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8E9462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Evidence zálohových faktur vydaných, práce se zálohovými fakturami, vypořádání záloh, včetně jejich zdaňování, zúčtování záloh.</w:t>
            </w:r>
          </w:p>
        </w:tc>
        <w:tc>
          <w:tcPr>
            <w:tcW w:w="1072" w:type="dxa"/>
            <w:tcBorders>
              <w:top w:val="nil"/>
              <w:left w:val="nil"/>
              <w:bottom w:val="single" w:sz="4" w:space="0" w:color="auto"/>
              <w:right w:val="single" w:sz="4" w:space="0" w:color="auto"/>
            </w:tcBorders>
            <w:shd w:val="clear" w:color="auto" w:fill="auto"/>
            <w:hideMark/>
          </w:tcPr>
          <w:p w14:paraId="48344FB5"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9E2A5E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704406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692777F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Zálohové doklady jsou zpravidla evidovány v samostatném pořadači. Vlastní zdaňování je pak řešeno generování daňových dokladů k jednotlivým zálohovým platbám. Ty se vytvářejí funkcí </w:t>
            </w:r>
            <w:r w:rsidRPr="00EA675E">
              <w:rPr>
                <w:rFonts w:asciiTheme="minorHAnsi" w:hAnsiTheme="minorHAnsi" w:cstheme="minorHAnsi"/>
                <w:i/>
                <w:iCs/>
                <w:color w:val="000000"/>
                <w:sz w:val="18"/>
                <w:szCs w:val="18"/>
              </w:rPr>
              <w:t>Vytvoření daňového dokladu</w:t>
            </w:r>
            <w:r w:rsidRPr="00EA675E">
              <w:rPr>
                <w:rFonts w:asciiTheme="minorHAnsi" w:hAnsiTheme="minorHAnsi" w:cstheme="minorHAnsi"/>
                <w:color w:val="000000"/>
                <w:sz w:val="18"/>
                <w:szCs w:val="18"/>
              </w:rPr>
              <w:t>. Daňová povinnost je realizována zaúčtováním daňového dokladu zálohy a poté jeho automatickým zahrnutím do daňového přiznání. Účtování probíhá na základě kontací PD.</w:t>
            </w:r>
          </w:p>
        </w:tc>
      </w:tr>
      <w:tr w:rsidR="00C03AF4" w:rsidRPr="00790C8D" w14:paraId="0A78DBDE"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46E97EF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A48</w:t>
            </w:r>
          </w:p>
        </w:tc>
        <w:tc>
          <w:tcPr>
            <w:tcW w:w="1166" w:type="dxa"/>
            <w:tcBorders>
              <w:top w:val="nil"/>
              <w:left w:val="nil"/>
              <w:bottom w:val="single" w:sz="4" w:space="0" w:color="auto"/>
              <w:right w:val="single" w:sz="4" w:space="0" w:color="auto"/>
            </w:tcBorders>
            <w:shd w:val="clear" w:color="auto" w:fill="auto"/>
            <w:hideMark/>
          </w:tcPr>
          <w:p w14:paraId="06B81B0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FF2955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Automatizovaná tvorba úhrad pohledávek na základě jejich párování v bance.</w:t>
            </w:r>
          </w:p>
        </w:tc>
        <w:tc>
          <w:tcPr>
            <w:tcW w:w="1072" w:type="dxa"/>
            <w:tcBorders>
              <w:top w:val="nil"/>
              <w:left w:val="nil"/>
              <w:bottom w:val="single" w:sz="4" w:space="0" w:color="auto"/>
              <w:right w:val="single" w:sz="4" w:space="0" w:color="auto"/>
            </w:tcBorders>
            <w:shd w:val="clear" w:color="auto" w:fill="auto"/>
            <w:hideMark/>
          </w:tcPr>
          <w:p w14:paraId="78581FB7"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7C5AC0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564C4B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25DC2B6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 Bance probíhá automatické párování při importu bankovních výpisů v případě, že Helios automaticky dohl</w:t>
            </w:r>
            <w:r w:rsidRPr="00790C8D">
              <w:rPr>
                <w:rFonts w:asciiTheme="minorHAnsi" w:hAnsiTheme="minorHAnsi" w:cstheme="minorHAnsi"/>
                <w:sz w:val="18"/>
                <w:szCs w:val="18"/>
              </w:rPr>
              <w:t>e</w:t>
            </w:r>
            <w:r w:rsidRPr="00EA675E">
              <w:rPr>
                <w:rFonts w:asciiTheme="minorHAnsi" w:hAnsiTheme="minorHAnsi" w:cstheme="minorHAnsi"/>
                <w:sz w:val="18"/>
                <w:szCs w:val="18"/>
              </w:rPr>
              <w:t>dá hrazený doklad na z</w:t>
            </w:r>
            <w:r w:rsidRPr="00790C8D">
              <w:rPr>
                <w:rFonts w:asciiTheme="minorHAnsi" w:hAnsiTheme="minorHAnsi" w:cstheme="minorHAnsi"/>
                <w:sz w:val="18"/>
                <w:szCs w:val="18"/>
              </w:rPr>
              <w:t>á</w:t>
            </w:r>
            <w:r w:rsidRPr="00EA675E">
              <w:rPr>
                <w:rFonts w:asciiTheme="minorHAnsi" w:hAnsiTheme="minorHAnsi" w:cstheme="minorHAnsi"/>
                <w:sz w:val="18"/>
                <w:szCs w:val="18"/>
              </w:rPr>
              <w:t>kladě párovací funkce. Současně automaticky vzniká úhrada prvotního dokladu.</w:t>
            </w:r>
          </w:p>
        </w:tc>
      </w:tr>
      <w:tr w:rsidR="00C03AF4" w:rsidRPr="00790C8D" w14:paraId="39C8261C"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59978CE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A49</w:t>
            </w:r>
          </w:p>
        </w:tc>
        <w:tc>
          <w:tcPr>
            <w:tcW w:w="1166" w:type="dxa"/>
            <w:tcBorders>
              <w:top w:val="nil"/>
              <w:left w:val="nil"/>
              <w:bottom w:val="single" w:sz="4" w:space="0" w:color="auto"/>
              <w:right w:val="single" w:sz="4" w:space="0" w:color="auto"/>
            </w:tcBorders>
            <w:shd w:val="clear" w:color="auto" w:fill="auto"/>
            <w:hideMark/>
          </w:tcPr>
          <w:p w14:paraId="2604FE5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89E1E9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Vystavování upomínek na základě nastavitelných pravidel.</w:t>
            </w:r>
          </w:p>
        </w:tc>
        <w:tc>
          <w:tcPr>
            <w:tcW w:w="1072" w:type="dxa"/>
            <w:tcBorders>
              <w:top w:val="nil"/>
              <w:left w:val="nil"/>
              <w:bottom w:val="single" w:sz="4" w:space="0" w:color="auto"/>
              <w:right w:val="single" w:sz="4" w:space="0" w:color="auto"/>
            </w:tcBorders>
            <w:shd w:val="clear" w:color="auto" w:fill="auto"/>
            <w:hideMark/>
          </w:tcPr>
          <w:p w14:paraId="5507FED6"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2EC8473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461AD6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247064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xml:space="preserve">Uživatel má možnost v Helios nastavit podmínky pro vystavování upomínek prostřednictvím parametrů upomínání. Na základě takto </w:t>
            </w:r>
            <w:r w:rsidRPr="00EA675E">
              <w:rPr>
                <w:rFonts w:asciiTheme="minorHAnsi" w:hAnsiTheme="minorHAnsi" w:cstheme="minorHAnsi"/>
                <w:sz w:val="18"/>
                <w:szCs w:val="18"/>
              </w:rPr>
              <w:lastRenderedPageBreak/>
              <w:t>definovaných parametrů dochází k vystavování upomínek v závislosti na běhu lhůt.</w:t>
            </w:r>
          </w:p>
        </w:tc>
      </w:tr>
      <w:tr w:rsidR="00C03AF4" w:rsidRPr="00790C8D" w14:paraId="55FB7850"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4E6ADDF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A50</w:t>
            </w:r>
          </w:p>
        </w:tc>
        <w:tc>
          <w:tcPr>
            <w:tcW w:w="1166" w:type="dxa"/>
            <w:tcBorders>
              <w:top w:val="nil"/>
              <w:left w:val="nil"/>
              <w:bottom w:val="single" w:sz="4" w:space="0" w:color="auto"/>
              <w:right w:val="single" w:sz="4" w:space="0" w:color="auto"/>
            </w:tcBorders>
            <w:shd w:val="clear" w:color="auto" w:fill="auto"/>
            <w:hideMark/>
          </w:tcPr>
          <w:p w14:paraId="74D2CFE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67EDC6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sledování pohledávek po splatnosti včetně vyhodnocení délky doby po splatnosti ve dnech pro účely tvorby opravných položek k pohledávkám.</w:t>
            </w:r>
          </w:p>
        </w:tc>
        <w:tc>
          <w:tcPr>
            <w:tcW w:w="1072" w:type="dxa"/>
            <w:tcBorders>
              <w:top w:val="nil"/>
              <w:left w:val="nil"/>
              <w:bottom w:val="single" w:sz="4" w:space="0" w:color="auto"/>
              <w:right w:val="single" w:sz="4" w:space="0" w:color="auto"/>
            </w:tcBorders>
            <w:shd w:val="clear" w:color="auto" w:fill="auto"/>
            <w:hideMark/>
          </w:tcPr>
          <w:p w14:paraId="5BDB708E"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C79D67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924AB9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4ED82B21"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Požadovaná funkcionalit</w:t>
            </w:r>
            <w:r w:rsidRPr="00790C8D">
              <w:rPr>
                <w:rFonts w:asciiTheme="minorHAnsi" w:hAnsiTheme="minorHAnsi" w:cstheme="minorHAnsi"/>
                <w:color w:val="000000"/>
                <w:sz w:val="18"/>
                <w:szCs w:val="18"/>
              </w:rPr>
              <w:t>a</w:t>
            </w:r>
            <w:r w:rsidRPr="00EA675E">
              <w:rPr>
                <w:rFonts w:asciiTheme="minorHAnsi" w:hAnsiTheme="minorHAnsi" w:cstheme="minorHAnsi"/>
                <w:color w:val="000000"/>
                <w:sz w:val="18"/>
                <w:szCs w:val="18"/>
              </w:rPr>
              <w:t xml:space="preserve"> je v Helios podporovaná funkcí pro generování Karet pohledávek, zpracování opravných položek a evidenci soudních řízení.</w:t>
            </w:r>
          </w:p>
        </w:tc>
      </w:tr>
      <w:tr w:rsidR="00C03AF4" w:rsidRPr="00790C8D" w14:paraId="1454473C"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2B43816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A51</w:t>
            </w:r>
          </w:p>
        </w:tc>
        <w:tc>
          <w:tcPr>
            <w:tcW w:w="1166" w:type="dxa"/>
            <w:tcBorders>
              <w:top w:val="nil"/>
              <w:left w:val="nil"/>
              <w:bottom w:val="single" w:sz="4" w:space="0" w:color="auto"/>
              <w:right w:val="single" w:sz="4" w:space="0" w:color="auto"/>
            </w:tcBorders>
            <w:shd w:val="clear" w:color="auto" w:fill="auto"/>
            <w:hideMark/>
          </w:tcPr>
          <w:p w14:paraId="57C865A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3DF0563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Vystavování penalizačních faktur na základě nastavitelných pravidel.</w:t>
            </w:r>
          </w:p>
        </w:tc>
        <w:tc>
          <w:tcPr>
            <w:tcW w:w="1072" w:type="dxa"/>
            <w:tcBorders>
              <w:top w:val="nil"/>
              <w:left w:val="nil"/>
              <w:bottom w:val="single" w:sz="4" w:space="0" w:color="auto"/>
              <w:right w:val="single" w:sz="4" w:space="0" w:color="auto"/>
            </w:tcBorders>
            <w:shd w:val="clear" w:color="auto" w:fill="auto"/>
            <w:hideMark/>
          </w:tcPr>
          <w:p w14:paraId="48294032"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190966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2E7D2C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228CF308"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Uživatel má možnost v Helios nastavit pravidla pro vystavování sankčních faktur prostřednictvím parametrů sankcí. Na základě takto definovaných parametrů dochází k vystavování sankčních faktur v závislosti na běhu lhůt.</w:t>
            </w:r>
          </w:p>
        </w:tc>
      </w:tr>
      <w:tr w:rsidR="00C03AF4" w:rsidRPr="00790C8D" w14:paraId="302B3628"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003D8DA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A52</w:t>
            </w:r>
          </w:p>
        </w:tc>
        <w:tc>
          <w:tcPr>
            <w:tcW w:w="1166" w:type="dxa"/>
            <w:tcBorders>
              <w:top w:val="nil"/>
              <w:left w:val="nil"/>
              <w:bottom w:val="single" w:sz="4" w:space="0" w:color="auto"/>
              <w:right w:val="single" w:sz="4" w:space="0" w:color="auto"/>
            </w:tcBorders>
            <w:shd w:val="clear" w:color="auto" w:fill="auto"/>
            <w:hideMark/>
          </w:tcPr>
          <w:p w14:paraId="54703D1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0E4C47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 zápisu pohledávky do systému umožnit její účtování na základě přednastavené kontace.</w:t>
            </w:r>
          </w:p>
        </w:tc>
        <w:tc>
          <w:tcPr>
            <w:tcW w:w="1072" w:type="dxa"/>
            <w:tcBorders>
              <w:top w:val="nil"/>
              <w:left w:val="nil"/>
              <w:bottom w:val="single" w:sz="4" w:space="0" w:color="auto"/>
              <w:right w:val="single" w:sz="4" w:space="0" w:color="auto"/>
            </w:tcBorders>
            <w:shd w:val="clear" w:color="auto" w:fill="auto"/>
            <w:hideMark/>
          </w:tcPr>
          <w:p w14:paraId="13521666"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4F32029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C9B771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033555DA"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Účtování pohledávek podle nastavitelných kontací je součástí standardu Helios. Použití kontací PD je doporučeno také pro korektní vytvoření PAP výkazu.</w:t>
            </w:r>
          </w:p>
        </w:tc>
      </w:tr>
      <w:tr w:rsidR="00C03AF4" w:rsidRPr="00790C8D" w14:paraId="34DBAEE5"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04C96B9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A53</w:t>
            </w:r>
          </w:p>
        </w:tc>
        <w:tc>
          <w:tcPr>
            <w:tcW w:w="1166" w:type="dxa"/>
            <w:tcBorders>
              <w:top w:val="nil"/>
              <w:left w:val="nil"/>
              <w:bottom w:val="single" w:sz="4" w:space="0" w:color="auto"/>
              <w:right w:val="single" w:sz="4" w:space="0" w:color="auto"/>
            </w:tcBorders>
            <w:shd w:val="clear" w:color="auto" w:fill="auto"/>
            <w:hideMark/>
          </w:tcPr>
          <w:p w14:paraId="3E3115C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C1E888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rozúčtování položek faktury na základě kontace.</w:t>
            </w:r>
          </w:p>
        </w:tc>
        <w:tc>
          <w:tcPr>
            <w:tcW w:w="1072" w:type="dxa"/>
            <w:tcBorders>
              <w:top w:val="nil"/>
              <w:left w:val="nil"/>
              <w:bottom w:val="single" w:sz="4" w:space="0" w:color="auto"/>
              <w:right w:val="single" w:sz="4" w:space="0" w:color="auto"/>
            </w:tcBorders>
            <w:shd w:val="clear" w:color="auto" w:fill="auto"/>
            <w:hideMark/>
          </w:tcPr>
          <w:p w14:paraId="3A67A2B1"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4D9347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0BBDD29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0C445774"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Helios umožňuje na základě definice kontace účtovat o jednotlivých položkách faktur. Položky faktury lze také účtovat přímým zadáním analytiky na položku.</w:t>
            </w:r>
          </w:p>
        </w:tc>
      </w:tr>
      <w:tr w:rsidR="00C03AF4" w:rsidRPr="00790C8D" w14:paraId="793CDF9F" w14:textId="77777777" w:rsidTr="000F2E84">
        <w:trPr>
          <w:trHeight w:val="567"/>
        </w:trPr>
        <w:tc>
          <w:tcPr>
            <w:tcW w:w="492" w:type="dxa"/>
            <w:tcBorders>
              <w:top w:val="nil"/>
              <w:left w:val="single" w:sz="4" w:space="0" w:color="auto"/>
              <w:bottom w:val="single" w:sz="4" w:space="0" w:color="auto"/>
              <w:right w:val="single" w:sz="4" w:space="0" w:color="auto"/>
            </w:tcBorders>
            <w:shd w:val="clear" w:color="auto" w:fill="auto"/>
            <w:hideMark/>
          </w:tcPr>
          <w:p w14:paraId="6AD1520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A54</w:t>
            </w:r>
          </w:p>
        </w:tc>
        <w:tc>
          <w:tcPr>
            <w:tcW w:w="1166" w:type="dxa"/>
            <w:tcBorders>
              <w:top w:val="nil"/>
              <w:left w:val="nil"/>
              <w:bottom w:val="single" w:sz="4" w:space="0" w:color="auto"/>
              <w:right w:val="single" w:sz="4" w:space="0" w:color="auto"/>
            </w:tcBorders>
            <w:shd w:val="clear" w:color="auto" w:fill="auto"/>
            <w:hideMark/>
          </w:tcPr>
          <w:p w14:paraId="7B455B7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ED1EA2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Identifikace účetních dokladů vzniklých z pohledávek podle účetních dimenzí nastavitelných pro množinu dokladů.</w:t>
            </w:r>
          </w:p>
        </w:tc>
        <w:tc>
          <w:tcPr>
            <w:tcW w:w="1072" w:type="dxa"/>
            <w:tcBorders>
              <w:top w:val="nil"/>
              <w:left w:val="nil"/>
              <w:bottom w:val="single" w:sz="4" w:space="0" w:color="auto"/>
              <w:right w:val="single" w:sz="4" w:space="0" w:color="auto"/>
            </w:tcBorders>
            <w:shd w:val="clear" w:color="auto" w:fill="auto"/>
            <w:hideMark/>
          </w:tcPr>
          <w:p w14:paraId="46117805"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2736301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4DF6E6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6A9BE213"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Identifikace prvotních dokladů je realizována na základě účetních dimenzí, které jsou tvořeny statickými a dynamickými vztahy. Jejich množina se v Helios nastavuje podle požadavků zakázky.</w:t>
            </w:r>
            <w:r w:rsidRPr="00EA675E">
              <w:rPr>
                <w:rFonts w:asciiTheme="minorHAnsi" w:hAnsiTheme="minorHAnsi" w:cstheme="minorHAnsi"/>
                <w:color w:val="000000"/>
                <w:sz w:val="18"/>
                <w:szCs w:val="18"/>
              </w:rPr>
              <w:br/>
              <w:t>Přenos účetních dimenzí z prvotních dokladů na účetní doklady se standardně nastavuje pomocí Inte</w:t>
            </w:r>
            <w:r w:rsidRPr="00790C8D">
              <w:rPr>
                <w:rFonts w:asciiTheme="minorHAnsi" w:hAnsiTheme="minorHAnsi" w:cstheme="minorHAnsi"/>
                <w:color w:val="000000"/>
                <w:sz w:val="18"/>
                <w:szCs w:val="18"/>
              </w:rPr>
              <w:t>g</w:t>
            </w:r>
            <w:r w:rsidRPr="00EA675E">
              <w:rPr>
                <w:rFonts w:asciiTheme="minorHAnsi" w:hAnsiTheme="minorHAnsi" w:cstheme="minorHAnsi"/>
                <w:color w:val="000000"/>
                <w:sz w:val="18"/>
                <w:szCs w:val="18"/>
              </w:rPr>
              <w:t>ritních omezení účtů. Účetní dimenze budou nastaveny v rámci implementace systému podle požadavků zadavatele ze ZD.</w:t>
            </w:r>
          </w:p>
        </w:tc>
      </w:tr>
      <w:tr w:rsidR="00C03AF4" w:rsidRPr="00790C8D" w14:paraId="28F61BE3" w14:textId="77777777" w:rsidTr="000F2E84">
        <w:trPr>
          <w:trHeight w:val="1500"/>
        </w:trPr>
        <w:tc>
          <w:tcPr>
            <w:tcW w:w="492" w:type="dxa"/>
            <w:tcBorders>
              <w:top w:val="nil"/>
              <w:left w:val="single" w:sz="4" w:space="0" w:color="auto"/>
              <w:bottom w:val="single" w:sz="4" w:space="0" w:color="auto"/>
              <w:right w:val="single" w:sz="4" w:space="0" w:color="auto"/>
            </w:tcBorders>
            <w:shd w:val="clear" w:color="auto" w:fill="auto"/>
            <w:hideMark/>
          </w:tcPr>
          <w:p w14:paraId="2F5BC61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A55</w:t>
            </w:r>
          </w:p>
        </w:tc>
        <w:tc>
          <w:tcPr>
            <w:tcW w:w="1166" w:type="dxa"/>
            <w:tcBorders>
              <w:top w:val="nil"/>
              <w:left w:val="nil"/>
              <w:bottom w:val="single" w:sz="4" w:space="0" w:color="auto"/>
              <w:right w:val="single" w:sz="4" w:space="0" w:color="auto"/>
            </w:tcBorders>
            <w:shd w:val="clear" w:color="auto" w:fill="auto"/>
            <w:hideMark/>
          </w:tcPr>
          <w:p w14:paraId="6ECBD0A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C105E2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Vnitrofakturace</w:t>
            </w:r>
          </w:p>
        </w:tc>
        <w:tc>
          <w:tcPr>
            <w:tcW w:w="1072" w:type="dxa"/>
            <w:tcBorders>
              <w:top w:val="nil"/>
              <w:left w:val="nil"/>
              <w:bottom w:val="single" w:sz="4" w:space="0" w:color="auto"/>
              <w:right w:val="single" w:sz="4" w:space="0" w:color="auto"/>
            </w:tcBorders>
            <w:shd w:val="clear" w:color="auto" w:fill="auto"/>
            <w:hideMark/>
          </w:tcPr>
          <w:p w14:paraId="3AF8BCBC"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36D457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20F103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6EEF9E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Systém HeN v nabízené podobě disponuje funkčností pro rozúčtování nákladů i výnosů podle dohodnutého a nastaveného modelu rozvrhovací základny. Pokud bude potřeba vystavovat vnitrofaktury ručně, je taková funkčnost k di</w:t>
            </w:r>
            <w:r w:rsidRPr="00790C8D">
              <w:rPr>
                <w:rFonts w:asciiTheme="minorHAnsi" w:hAnsiTheme="minorHAnsi" w:cstheme="minorHAnsi"/>
                <w:sz w:val="18"/>
                <w:szCs w:val="18"/>
              </w:rPr>
              <w:t>s</w:t>
            </w:r>
            <w:r w:rsidRPr="00EA675E">
              <w:rPr>
                <w:rFonts w:asciiTheme="minorHAnsi" w:hAnsiTheme="minorHAnsi" w:cstheme="minorHAnsi"/>
                <w:sz w:val="18"/>
                <w:szCs w:val="18"/>
              </w:rPr>
              <w:t>pozici.</w:t>
            </w:r>
          </w:p>
        </w:tc>
      </w:tr>
      <w:tr w:rsidR="00C03AF4" w:rsidRPr="00790C8D" w14:paraId="60CEB094"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0498AEC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A56</w:t>
            </w:r>
          </w:p>
        </w:tc>
        <w:tc>
          <w:tcPr>
            <w:tcW w:w="1166" w:type="dxa"/>
            <w:tcBorders>
              <w:top w:val="nil"/>
              <w:left w:val="nil"/>
              <w:bottom w:val="single" w:sz="4" w:space="0" w:color="auto"/>
              <w:right w:val="single" w:sz="4" w:space="0" w:color="auto"/>
            </w:tcBorders>
            <w:shd w:val="clear" w:color="auto" w:fill="auto"/>
            <w:hideMark/>
          </w:tcPr>
          <w:p w14:paraId="7076D86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Saldokonto</w:t>
            </w:r>
          </w:p>
        </w:tc>
        <w:tc>
          <w:tcPr>
            <w:tcW w:w="2257" w:type="dxa"/>
            <w:tcBorders>
              <w:top w:val="nil"/>
              <w:left w:val="nil"/>
              <w:bottom w:val="single" w:sz="4" w:space="0" w:color="auto"/>
              <w:right w:val="single" w:sz="4" w:space="0" w:color="auto"/>
            </w:tcBorders>
            <w:shd w:val="clear" w:color="auto" w:fill="auto"/>
            <w:hideMark/>
          </w:tcPr>
          <w:p w14:paraId="1A597AE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Umožnit výběr a označení účtů v účtovém rozvrhu jako saldokontních.</w:t>
            </w:r>
          </w:p>
        </w:tc>
        <w:tc>
          <w:tcPr>
            <w:tcW w:w="1072" w:type="dxa"/>
            <w:tcBorders>
              <w:top w:val="nil"/>
              <w:left w:val="nil"/>
              <w:bottom w:val="single" w:sz="4" w:space="0" w:color="auto"/>
              <w:right w:val="single" w:sz="4" w:space="0" w:color="auto"/>
            </w:tcBorders>
            <w:shd w:val="clear" w:color="auto" w:fill="auto"/>
            <w:hideMark/>
          </w:tcPr>
          <w:p w14:paraId="75CDD24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407E0A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D41523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7DFCA83A"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 xml:space="preserve">Helios umožňuje definovat účet v Účetním rozvrhu, jako saldokontní, a dále pro účet nastavit způsob párování pro saldokontní složky. </w:t>
            </w:r>
          </w:p>
        </w:tc>
      </w:tr>
      <w:tr w:rsidR="00C03AF4" w:rsidRPr="00790C8D" w14:paraId="717A6BA2"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7459132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A57</w:t>
            </w:r>
          </w:p>
        </w:tc>
        <w:tc>
          <w:tcPr>
            <w:tcW w:w="1166" w:type="dxa"/>
            <w:tcBorders>
              <w:top w:val="nil"/>
              <w:left w:val="nil"/>
              <w:bottom w:val="single" w:sz="4" w:space="0" w:color="auto"/>
              <w:right w:val="single" w:sz="4" w:space="0" w:color="auto"/>
            </w:tcBorders>
            <w:shd w:val="clear" w:color="auto" w:fill="auto"/>
            <w:hideMark/>
          </w:tcPr>
          <w:p w14:paraId="1841976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7599C7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Členění salda na Závazky, Pohledávky, Ostatní.</w:t>
            </w:r>
          </w:p>
        </w:tc>
        <w:tc>
          <w:tcPr>
            <w:tcW w:w="1072" w:type="dxa"/>
            <w:tcBorders>
              <w:top w:val="nil"/>
              <w:left w:val="nil"/>
              <w:bottom w:val="single" w:sz="4" w:space="0" w:color="auto"/>
              <w:right w:val="single" w:sz="4" w:space="0" w:color="auto"/>
            </w:tcBorders>
            <w:shd w:val="clear" w:color="auto" w:fill="auto"/>
            <w:hideMark/>
          </w:tcPr>
          <w:p w14:paraId="33D533F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5383CD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981D17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744E0DF5"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Helios v rámci standardu podporuje členění salda z pohledu závazků, pohledávek a ostatního salda.</w:t>
            </w:r>
          </w:p>
        </w:tc>
      </w:tr>
      <w:tr w:rsidR="00C03AF4" w:rsidRPr="00790C8D" w14:paraId="44C995FE"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00801AF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A58</w:t>
            </w:r>
          </w:p>
        </w:tc>
        <w:tc>
          <w:tcPr>
            <w:tcW w:w="1166" w:type="dxa"/>
            <w:tcBorders>
              <w:top w:val="nil"/>
              <w:left w:val="nil"/>
              <w:bottom w:val="single" w:sz="4" w:space="0" w:color="auto"/>
              <w:right w:val="single" w:sz="4" w:space="0" w:color="auto"/>
            </w:tcBorders>
            <w:shd w:val="clear" w:color="auto" w:fill="auto"/>
            <w:hideMark/>
          </w:tcPr>
          <w:p w14:paraId="4D974BF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404A6BE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Saldo musí být možno filtrovat a členit podle jednotlivých dimenzí nebo jejich kombinací (organizační struktura, provozní účetní dimenze, účet, hlavní nebo doplňková činnost, dodavatel, odběratel atd.).</w:t>
            </w:r>
          </w:p>
        </w:tc>
        <w:tc>
          <w:tcPr>
            <w:tcW w:w="1072" w:type="dxa"/>
            <w:tcBorders>
              <w:top w:val="nil"/>
              <w:left w:val="nil"/>
              <w:bottom w:val="single" w:sz="4" w:space="0" w:color="auto"/>
              <w:right w:val="single" w:sz="4" w:space="0" w:color="auto"/>
            </w:tcBorders>
            <w:shd w:val="clear" w:color="auto" w:fill="auto"/>
            <w:hideMark/>
          </w:tcPr>
          <w:p w14:paraId="021B0139"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10A9BE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F0CEA7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5D8B51AF"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Saldo je možné filtrovat a členit podle všech definovaných účetních i neúčetních dimenzí. K filtrování lze použít Rychlý filtr nad pořadačem, tzv. Skupinový filtr a v případě potřeby složitějších dotazů tzv. Velký filtr.</w:t>
            </w:r>
          </w:p>
        </w:tc>
      </w:tr>
      <w:tr w:rsidR="00C03AF4" w:rsidRPr="00790C8D" w14:paraId="1BECF52A"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048C0EF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A59</w:t>
            </w:r>
          </w:p>
        </w:tc>
        <w:tc>
          <w:tcPr>
            <w:tcW w:w="1166" w:type="dxa"/>
            <w:tcBorders>
              <w:top w:val="nil"/>
              <w:left w:val="nil"/>
              <w:bottom w:val="single" w:sz="4" w:space="0" w:color="auto"/>
              <w:right w:val="single" w:sz="4" w:space="0" w:color="auto"/>
            </w:tcBorders>
            <w:shd w:val="clear" w:color="auto" w:fill="auto"/>
            <w:hideMark/>
          </w:tcPr>
          <w:p w14:paraId="0C25C29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Daňové povinnosti</w:t>
            </w:r>
          </w:p>
        </w:tc>
        <w:tc>
          <w:tcPr>
            <w:tcW w:w="2257" w:type="dxa"/>
            <w:tcBorders>
              <w:top w:val="nil"/>
              <w:left w:val="nil"/>
              <w:bottom w:val="single" w:sz="4" w:space="0" w:color="auto"/>
              <w:right w:val="single" w:sz="4" w:space="0" w:color="auto"/>
            </w:tcBorders>
            <w:shd w:val="clear" w:color="auto" w:fill="auto"/>
            <w:hideMark/>
          </w:tcPr>
          <w:p w14:paraId="1FA7C81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Podpora pro výpočty daňových povinností (daň z příjmu, DPH, silniční a další).</w:t>
            </w:r>
          </w:p>
        </w:tc>
        <w:tc>
          <w:tcPr>
            <w:tcW w:w="1072" w:type="dxa"/>
            <w:tcBorders>
              <w:top w:val="nil"/>
              <w:left w:val="nil"/>
              <w:bottom w:val="single" w:sz="4" w:space="0" w:color="auto"/>
              <w:right w:val="single" w:sz="4" w:space="0" w:color="auto"/>
            </w:tcBorders>
            <w:shd w:val="clear" w:color="auto" w:fill="auto"/>
            <w:hideMark/>
          </w:tcPr>
          <w:p w14:paraId="02B31583"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2B4CF43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240DF1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4DBB0CF5"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Helios podporuje v rámci standardu výpočty daňových povinností na základě účetních dokladů.</w:t>
            </w:r>
            <w:r w:rsidRPr="00EA675E">
              <w:rPr>
                <w:rFonts w:asciiTheme="minorHAnsi" w:hAnsiTheme="minorHAnsi" w:cstheme="minorHAnsi"/>
                <w:color w:val="000000"/>
                <w:sz w:val="18"/>
                <w:szCs w:val="18"/>
              </w:rPr>
              <w:br/>
              <w:t>V nabízeném řešení, s ohledem na finanční rámec zakázky, chybí funkčnost pro výpočet Silniční daně.</w:t>
            </w:r>
          </w:p>
        </w:tc>
      </w:tr>
      <w:tr w:rsidR="00C03AF4" w:rsidRPr="00790C8D" w14:paraId="7BE55310"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6C85FDC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A60</w:t>
            </w:r>
          </w:p>
        </w:tc>
        <w:tc>
          <w:tcPr>
            <w:tcW w:w="1166" w:type="dxa"/>
            <w:tcBorders>
              <w:top w:val="nil"/>
              <w:left w:val="nil"/>
              <w:bottom w:val="single" w:sz="4" w:space="0" w:color="auto"/>
              <w:right w:val="single" w:sz="4" w:space="0" w:color="auto"/>
            </w:tcBorders>
            <w:shd w:val="clear" w:color="auto" w:fill="auto"/>
            <w:hideMark/>
          </w:tcPr>
          <w:p w14:paraId="6B65E45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3EF5625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elektronického odeslání výkazu DPH (přiznání, evidence)</w:t>
            </w:r>
          </w:p>
        </w:tc>
        <w:tc>
          <w:tcPr>
            <w:tcW w:w="1072" w:type="dxa"/>
            <w:tcBorders>
              <w:top w:val="nil"/>
              <w:left w:val="nil"/>
              <w:bottom w:val="single" w:sz="4" w:space="0" w:color="auto"/>
              <w:right w:val="single" w:sz="4" w:space="0" w:color="auto"/>
            </w:tcBorders>
            <w:shd w:val="clear" w:color="auto" w:fill="auto"/>
            <w:hideMark/>
          </w:tcPr>
          <w:p w14:paraId="66C9F513"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CCBBB7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EE3646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548E8DDE"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Helios ve svém standardu podporuje zabezpečenou komunikaci s Finančním úřadem pro potřeby předání výkazu DPH, se zabezpečením prostřednictví k tomu účelu vydaného certifikátu.</w:t>
            </w:r>
          </w:p>
        </w:tc>
      </w:tr>
      <w:tr w:rsidR="00C03AF4" w:rsidRPr="00790C8D" w14:paraId="46390C1F"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27B08FB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A61</w:t>
            </w:r>
          </w:p>
        </w:tc>
        <w:tc>
          <w:tcPr>
            <w:tcW w:w="1166" w:type="dxa"/>
            <w:tcBorders>
              <w:top w:val="nil"/>
              <w:left w:val="nil"/>
              <w:bottom w:val="single" w:sz="4" w:space="0" w:color="auto"/>
              <w:right w:val="single" w:sz="4" w:space="0" w:color="auto"/>
            </w:tcBorders>
            <w:shd w:val="clear" w:color="auto" w:fill="auto"/>
            <w:hideMark/>
          </w:tcPr>
          <w:p w14:paraId="3B861F8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Měsíční závěrka</w:t>
            </w:r>
          </w:p>
        </w:tc>
        <w:tc>
          <w:tcPr>
            <w:tcW w:w="2257" w:type="dxa"/>
            <w:tcBorders>
              <w:top w:val="nil"/>
              <w:left w:val="nil"/>
              <w:bottom w:val="single" w:sz="4" w:space="0" w:color="auto"/>
              <w:right w:val="single" w:sz="4" w:space="0" w:color="auto"/>
            </w:tcBorders>
            <w:shd w:val="clear" w:color="auto" w:fill="auto"/>
            <w:hideMark/>
          </w:tcPr>
          <w:p w14:paraId="2374FCF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Provádění měsíční uzávěrky účetnictví. Po provedení měsíční uzávěrky není možné modifikovat data uzavřeného měsíce.</w:t>
            </w:r>
          </w:p>
        </w:tc>
        <w:tc>
          <w:tcPr>
            <w:tcW w:w="1072" w:type="dxa"/>
            <w:tcBorders>
              <w:top w:val="nil"/>
              <w:left w:val="nil"/>
              <w:bottom w:val="single" w:sz="4" w:space="0" w:color="auto"/>
              <w:right w:val="single" w:sz="4" w:space="0" w:color="auto"/>
            </w:tcBorders>
            <w:shd w:val="clear" w:color="auto" w:fill="auto"/>
            <w:hideMark/>
          </w:tcPr>
          <w:p w14:paraId="5A18CDDE"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49EA47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517B1B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0909561B"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Standardní funkce Helios pro uzavření deníku umožňuje uzavření dat každého měsíce. Funkcionalita umožňuje úplné zavření měsíce, nebo částečné, kdy uživatel může pořizovat nové doklady, ale nemůže editovat doklady dříve vytvořené.</w:t>
            </w:r>
          </w:p>
        </w:tc>
      </w:tr>
      <w:tr w:rsidR="00C03AF4" w:rsidRPr="00790C8D" w14:paraId="6E1EB381"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1592D19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A62</w:t>
            </w:r>
          </w:p>
        </w:tc>
        <w:tc>
          <w:tcPr>
            <w:tcW w:w="1166" w:type="dxa"/>
            <w:tcBorders>
              <w:top w:val="nil"/>
              <w:left w:val="nil"/>
              <w:bottom w:val="single" w:sz="4" w:space="0" w:color="auto"/>
              <w:right w:val="single" w:sz="4" w:space="0" w:color="auto"/>
            </w:tcBorders>
            <w:shd w:val="clear" w:color="auto" w:fill="auto"/>
            <w:hideMark/>
          </w:tcPr>
          <w:p w14:paraId="3C7F368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75C3E2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Měsíční uzávěrku může oprávněný uživatel zrušit a po provedení nutných úprav měsíc opět uzavřít.</w:t>
            </w:r>
          </w:p>
        </w:tc>
        <w:tc>
          <w:tcPr>
            <w:tcW w:w="1072" w:type="dxa"/>
            <w:tcBorders>
              <w:top w:val="nil"/>
              <w:left w:val="nil"/>
              <w:bottom w:val="single" w:sz="4" w:space="0" w:color="auto"/>
              <w:right w:val="single" w:sz="4" w:space="0" w:color="auto"/>
            </w:tcBorders>
            <w:shd w:val="clear" w:color="auto" w:fill="auto"/>
            <w:hideMark/>
          </w:tcPr>
          <w:p w14:paraId="28CA095C"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9D5CD2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A2B92D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04ACA410"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Funkcionalita otevření a opětného uzavření je systémem v rámci standardu podporována prostřednictvím k tomu určených funkcí nad pořadačem Uzávěrky účetního deníku.</w:t>
            </w:r>
          </w:p>
        </w:tc>
      </w:tr>
      <w:tr w:rsidR="00C03AF4" w:rsidRPr="00790C8D" w14:paraId="27797157" w14:textId="77777777" w:rsidTr="000F2E84">
        <w:trPr>
          <w:trHeight w:val="7200"/>
        </w:trPr>
        <w:tc>
          <w:tcPr>
            <w:tcW w:w="492" w:type="dxa"/>
            <w:vMerge w:val="restart"/>
            <w:tcBorders>
              <w:top w:val="nil"/>
              <w:left w:val="single" w:sz="4" w:space="0" w:color="auto"/>
              <w:bottom w:val="single" w:sz="4" w:space="0" w:color="000000"/>
              <w:right w:val="single" w:sz="4" w:space="0" w:color="auto"/>
            </w:tcBorders>
            <w:shd w:val="clear" w:color="auto" w:fill="auto"/>
            <w:hideMark/>
          </w:tcPr>
          <w:p w14:paraId="2AD956D2"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lastRenderedPageBreak/>
              <w:t>A63</w:t>
            </w:r>
          </w:p>
        </w:tc>
        <w:tc>
          <w:tcPr>
            <w:tcW w:w="1166" w:type="dxa"/>
            <w:vMerge w:val="restart"/>
            <w:tcBorders>
              <w:top w:val="nil"/>
              <w:left w:val="single" w:sz="4" w:space="0" w:color="auto"/>
              <w:bottom w:val="single" w:sz="4" w:space="0" w:color="000000"/>
              <w:right w:val="single" w:sz="4" w:space="0" w:color="auto"/>
            </w:tcBorders>
            <w:shd w:val="clear" w:color="auto" w:fill="auto"/>
            <w:hideMark/>
          </w:tcPr>
          <w:p w14:paraId="6EE492F9"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Roční uzávěrka</w:t>
            </w:r>
          </w:p>
        </w:tc>
        <w:tc>
          <w:tcPr>
            <w:tcW w:w="2257" w:type="dxa"/>
            <w:vMerge w:val="restart"/>
            <w:tcBorders>
              <w:top w:val="nil"/>
              <w:left w:val="single" w:sz="4" w:space="0" w:color="auto"/>
              <w:bottom w:val="single" w:sz="4" w:space="0" w:color="000000"/>
              <w:right w:val="single" w:sz="4" w:space="0" w:color="auto"/>
            </w:tcBorders>
            <w:shd w:val="clear" w:color="auto" w:fill="auto"/>
            <w:hideMark/>
          </w:tcPr>
          <w:p w14:paraId="51E74EBF"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Roční účetní uzávěrka je důležitou činností zejména ve vztahu k okolí organizace. Na základě pokynů MF ČR při roční závěrce dochází k:</w:t>
            </w:r>
            <w:r w:rsidRPr="00EA675E">
              <w:rPr>
                <w:rFonts w:asciiTheme="minorHAnsi" w:hAnsiTheme="minorHAnsi" w:cstheme="minorHAnsi"/>
                <w:sz w:val="18"/>
                <w:szCs w:val="18"/>
              </w:rPr>
              <w:br/>
              <w:t>·       inventarizaci účtů,</w:t>
            </w:r>
            <w:r w:rsidRPr="00EA675E">
              <w:rPr>
                <w:rFonts w:asciiTheme="minorHAnsi" w:hAnsiTheme="minorHAnsi" w:cstheme="minorHAnsi"/>
                <w:sz w:val="18"/>
                <w:szCs w:val="18"/>
              </w:rPr>
              <w:br/>
              <w:t>·       převodu zůstatků rozvahových a podrozvahových účtů do dalšího účetního období</w:t>
            </w:r>
            <w:r w:rsidRPr="00EA675E">
              <w:rPr>
                <w:rFonts w:asciiTheme="minorHAnsi" w:hAnsiTheme="minorHAnsi" w:cstheme="minorHAnsi"/>
                <w:sz w:val="18"/>
                <w:szCs w:val="18"/>
              </w:rPr>
              <w:br/>
              <w:t>·       převod jednotlivých položek salda, které nejsou v daném účetním období vypořádány</w:t>
            </w:r>
            <w:r w:rsidRPr="00EA675E">
              <w:rPr>
                <w:rFonts w:asciiTheme="minorHAnsi" w:hAnsiTheme="minorHAnsi" w:cstheme="minorHAnsi"/>
                <w:sz w:val="18"/>
                <w:szCs w:val="18"/>
              </w:rPr>
              <w:br/>
              <w:t>·       provedení závěrečných účetních operací,</w:t>
            </w:r>
            <w:r w:rsidRPr="00EA675E">
              <w:rPr>
                <w:rFonts w:asciiTheme="minorHAnsi" w:hAnsiTheme="minorHAnsi" w:cstheme="minorHAnsi"/>
                <w:sz w:val="18"/>
                <w:szCs w:val="18"/>
              </w:rPr>
              <w:br/>
              <w:t>·       sestavení ročních účetních výkazů,</w:t>
            </w:r>
            <w:r w:rsidRPr="00EA675E">
              <w:rPr>
                <w:rFonts w:asciiTheme="minorHAnsi" w:hAnsiTheme="minorHAnsi" w:cstheme="minorHAnsi"/>
                <w:sz w:val="18"/>
                <w:szCs w:val="18"/>
              </w:rPr>
              <w:br/>
              <w:t>·       vygenerování počátečních stavů účetnictví nového období s možností jejich změny.</w:t>
            </w:r>
          </w:p>
        </w:tc>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1C4CBA1"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vMerge w:val="restart"/>
            <w:tcBorders>
              <w:top w:val="nil"/>
              <w:left w:val="single" w:sz="4" w:space="0" w:color="auto"/>
              <w:bottom w:val="single" w:sz="4" w:space="0" w:color="000000"/>
              <w:right w:val="single" w:sz="4" w:space="0" w:color="auto"/>
            </w:tcBorders>
            <w:shd w:val="clear" w:color="auto" w:fill="auto"/>
            <w:hideMark/>
          </w:tcPr>
          <w:p w14:paraId="65C4BBF3"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vMerge w:val="restart"/>
            <w:tcBorders>
              <w:top w:val="nil"/>
              <w:left w:val="single" w:sz="4" w:space="0" w:color="auto"/>
              <w:bottom w:val="single" w:sz="4" w:space="0" w:color="000000"/>
              <w:right w:val="single" w:sz="4" w:space="0" w:color="auto"/>
            </w:tcBorders>
            <w:shd w:val="clear" w:color="auto" w:fill="auto"/>
            <w:hideMark/>
          </w:tcPr>
          <w:p w14:paraId="476B38A9"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77698DFF"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Funkčnost pro Roční uzávěrku podle definovaných požadavků je součástí standardu Helios.</w:t>
            </w:r>
            <w:r w:rsidRPr="00EA675E">
              <w:rPr>
                <w:rFonts w:asciiTheme="minorHAnsi" w:hAnsiTheme="minorHAnsi" w:cstheme="minorHAnsi"/>
                <w:color w:val="000000"/>
                <w:sz w:val="18"/>
                <w:szCs w:val="18"/>
              </w:rPr>
              <w:br/>
              <w:t>Roční závěrka v Helios se skládá ze tří samostatných důležitých chodů. Jsou jimi Roční chod, Částečná roční uzávěrka a Roční uzávěrka. Chod Roční závěrka má tři části = Uzavření starého období, Otevření nového období a Přepočet salda po uzávěrce (poslední nevratný krok).</w:t>
            </w:r>
            <w:r w:rsidRPr="00EA675E">
              <w:rPr>
                <w:rFonts w:asciiTheme="minorHAnsi" w:hAnsiTheme="minorHAnsi" w:cstheme="minorHAnsi"/>
                <w:color w:val="000000"/>
                <w:sz w:val="18"/>
                <w:szCs w:val="18"/>
              </w:rPr>
              <w:br/>
              <w:t>Nad třídou Účetní rozvrh je k dispozici funkce Nastavení členění roční uzávěrky. V rámci této funkce je možné nastavit vztahy, podle kterých se bude roční uzávěrka pro daný účet členit a definovat tak podrobnost členění roční uzávěrky.</w:t>
            </w:r>
            <w:r w:rsidRPr="00EA675E">
              <w:rPr>
                <w:rFonts w:asciiTheme="minorHAnsi" w:hAnsiTheme="minorHAnsi" w:cstheme="minorHAnsi"/>
                <w:color w:val="000000"/>
                <w:sz w:val="18"/>
                <w:szCs w:val="18"/>
              </w:rPr>
              <w:br/>
              <w:t>K dispozici je dále funkce Kontroly roční uzávěrky účetnictví, která je rozsahem obdobou souhrnu kontrolních funkcí v rámci řádné roční účetní uzávěrky. Tato funkce umožňuje uživateli předem prověřit, že z hlediska dat je systém řádně připraven k provedení roční uzávěrky a uzavření období.</w:t>
            </w:r>
            <w:r w:rsidRPr="00EA675E">
              <w:rPr>
                <w:rFonts w:asciiTheme="minorHAnsi" w:hAnsiTheme="minorHAnsi" w:cstheme="minorHAnsi"/>
                <w:color w:val="000000"/>
                <w:sz w:val="18"/>
                <w:szCs w:val="18"/>
              </w:rPr>
              <w:br/>
              <w:t>Roční chod je globální funkce modulu Účetnictví, která nastaví Konfiguraci a Účetní rozvrh pro nové období (nevytváří doklady ani nepřevádí zůstatky účtů).</w:t>
            </w:r>
            <w:r w:rsidRPr="00EA675E">
              <w:rPr>
                <w:rFonts w:asciiTheme="minorHAnsi" w:hAnsiTheme="minorHAnsi" w:cstheme="minorHAnsi"/>
                <w:color w:val="000000"/>
                <w:sz w:val="18"/>
                <w:szCs w:val="18"/>
              </w:rPr>
              <w:br/>
              <w:t>Částečná roční uzávěrka je globální funkcí modulu Účetnictví, která umožňuje načtení a zaúčtování počátečních zůstatků účtů v okamžiku, kdy ještě předešlé účetní období není zcela uzavřené.</w:t>
            </w:r>
          </w:p>
        </w:tc>
      </w:tr>
      <w:tr w:rsidR="00C03AF4" w:rsidRPr="00790C8D" w14:paraId="6C3D49BC" w14:textId="77777777" w:rsidTr="000F2E84">
        <w:trPr>
          <w:trHeight w:val="2268"/>
        </w:trPr>
        <w:tc>
          <w:tcPr>
            <w:tcW w:w="492" w:type="dxa"/>
            <w:vMerge/>
            <w:tcBorders>
              <w:top w:val="nil"/>
              <w:left w:val="single" w:sz="4" w:space="0" w:color="auto"/>
              <w:bottom w:val="single" w:sz="4" w:space="0" w:color="000000"/>
              <w:right w:val="single" w:sz="4" w:space="0" w:color="auto"/>
            </w:tcBorders>
            <w:vAlign w:val="center"/>
            <w:hideMark/>
          </w:tcPr>
          <w:p w14:paraId="78FDDA43" w14:textId="77777777" w:rsidR="00C03AF4" w:rsidRPr="00EA675E" w:rsidRDefault="00C03AF4" w:rsidP="000F2E84">
            <w:pPr>
              <w:rPr>
                <w:rFonts w:asciiTheme="minorHAnsi" w:hAnsiTheme="minorHAnsi" w:cstheme="minorHAnsi"/>
                <w:sz w:val="18"/>
                <w:szCs w:val="18"/>
              </w:rPr>
            </w:pPr>
          </w:p>
        </w:tc>
        <w:tc>
          <w:tcPr>
            <w:tcW w:w="1166" w:type="dxa"/>
            <w:vMerge/>
            <w:tcBorders>
              <w:top w:val="nil"/>
              <w:left w:val="single" w:sz="4" w:space="0" w:color="auto"/>
              <w:bottom w:val="single" w:sz="4" w:space="0" w:color="000000"/>
              <w:right w:val="single" w:sz="4" w:space="0" w:color="auto"/>
            </w:tcBorders>
            <w:vAlign w:val="center"/>
            <w:hideMark/>
          </w:tcPr>
          <w:p w14:paraId="3DAB3D5E" w14:textId="77777777" w:rsidR="00C03AF4" w:rsidRPr="00EA675E" w:rsidRDefault="00C03AF4" w:rsidP="000F2E84">
            <w:pPr>
              <w:rPr>
                <w:rFonts w:asciiTheme="minorHAnsi" w:hAnsiTheme="minorHAnsi" w:cstheme="minorHAnsi"/>
                <w:sz w:val="18"/>
                <w:szCs w:val="18"/>
              </w:rPr>
            </w:pPr>
          </w:p>
        </w:tc>
        <w:tc>
          <w:tcPr>
            <w:tcW w:w="2257" w:type="dxa"/>
            <w:vMerge/>
            <w:tcBorders>
              <w:top w:val="nil"/>
              <w:left w:val="single" w:sz="4" w:space="0" w:color="auto"/>
              <w:bottom w:val="single" w:sz="4" w:space="0" w:color="000000"/>
              <w:right w:val="single" w:sz="4" w:space="0" w:color="auto"/>
            </w:tcBorders>
            <w:vAlign w:val="center"/>
            <w:hideMark/>
          </w:tcPr>
          <w:p w14:paraId="6D5E10E5" w14:textId="77777777" w:rsidR="00C03AF4" w:rsidRPr="00EA675E" w:rsidRDefault="00C03AF4" w:rsidP="000F2E84">
            <w:pPr>
              <w:rPr>
                <w:rFonts w:asciiTheme="minorHAnsi" w:hAnsiTheme="minorHAnsi" w:cstheme="minorHAnsi"/>
                <w:sz w:val="18"/>
                <w:szCs w:val="18"/>
              </w:rPr>
            </w:pPr>
          </w:p>
        </w:tc>
        <w:tc>
          <w:tcPr>
            <w:tcW w:w="1072" w:type="dxa"/>
            <w:vMerge/>
            <w:tcBorders>
              <w:top w:val="nil"/>
              <w:left w:val="single" w:sz="4" w:space="0" w:color="auto"/>
              <w:bottom w:val="single" w:sz="4" w:space="0" w:color="000000"/>
              <w:right w:val="single" w:sz="4" w:space="0" w:color="auto"/>
            </w:tcBorders>
            <w:vAlign w:val="center"/>
            <w:hideMark/>
          </w:tcPr>
          <w:p w14:paraId="4CBB018C" w14:textId="77777777" w:rsidR="00C03AF4" w:rsidRPr="00EA675E" w:rsidRDefault="00C03AF4" w:rsidP="000F2E84">
            <w:pPr>
              <w:rPr>
                <w:rFonts w:asciiTheme="minorHAnsi" w:hAnsiTheme="minorHAnsi" w:cstheme="minorHAnsi"/>
                <w:sz w:val="18"/>
                <w:szCs w:val="18"/>
              </w:rPr>
            </w:pPr>
          </w:p>
        </w:tc>
        <w:tc>
          <w:tcPr>
            <w:tcW w:w="917" w:type="dxa"/>
            <w:vMerge/>
            <w:tcBorders>
              <w:top w:val="nil"/>
              <w:left w:val="single" w:sz="4" w:space="0" w:color="auto"/>
              <w:bottom w:val="single" w:sz="4" w:space="0" w:color="000000"/>
              <w:right w:val="single" w:sz="4" w:space="0" w:color="auto"/>
            </w:tcBorders>
            <w:vAlign w:val="center"/>
            <w:hideMark/>
          </w:tcPr>
          <w:p w14:paraId="3D37487A" w14:textId="77777777" w:rsidR="00C03AF4" w:rsidRPr="00EA675E" w:rsidRDefault="00C03AF4" w:rsidP="000F2E84">
            <w:pPr>
              <w:rPr>
                <w:rFonts w:asciiTheme="minorHAnsi" w:hAnsiTheme="minorHAnsi" w:cstheme="minorHAnsi"/>
                <w:sz w:val="18"/>
                <w:szCs w:val="18"/>
              </w:rPr>
            </w:pPr>
          </w:p>
        </w:tc>
        <w:tc>
          <w:tcPr>
            <w:tcW w:w="1121" w:type="dxa"/>
            <w:vMerge/>
            <w:tcBorders>
              <w:top w:val="nil"/>
              <w:left w:val="single" w:sz="4" w:space="0" w:color="auto"/>
              <w:bottom w:val="single" w:sz="4" w:space="0" w:color="000000"/>
              <w:right w:val="single" w:sz="4" w:space="0" w:color="auto"/>
            </w:tcBorders>
            <w:vAlign w:val="center"/>
            <w:hideMark/>
          </w:tcPr>
          <w:p w14:paraId="0CE44A63" w14:textId="77777777" w:rsidR="00C03AF4" w:rsidRPr="00EA675E" w:rsidRDefault="00C03AF4" w:rsidP="000F2E84">
            <w:pPr>
              <w:rPr>
                <w:rFonts w:asciiTheme="minorHAnsi" w:hAnsiTheme="minorHAnsi" w:cstheme="minorHAnsi"/>
                <w:sz w:val="18"/>
                <w:szCs w:val="18"/>
              </w:rPr>
            </w:pPr>
          </w:p>
        </w:tc>
        <w:tc>
          <w:tcPr>
            <w:tcW w:w="2468" w:type="dxa"/>
            <w:tcBorders>
              <w:top w:val="nil"/>
              <w:left w:val="nil"/>
              <w:bottom w:val="single" w:sz="4" w:space="0" w:color="auto"/>
              <w:right w:val="single" w:sz="4" w:space="0" w:color="auto"/>
            </w:tcBorders>
            <w:shd w:val="clear" w:color="auto" w:fill="auto"/>
            <w:vAlign w:val="bottom"/>
            <w:hideMark/>
          </w:tcPr>
          <w:p w14:paraId="2D06782E"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Samotný krok Roční uzávěrka potom uzavře staré období, otevře období nové a provede přepočet salda po závěrce.</w:t>
            </w:r>
            <w:r w:rsidRPr="00EA675E">
              <w:rPr>
                <w:rFonts w:asciiTheme="minorHAnsi" w:hAnsiTheme="minorHAnsi" w:cstheme="minorHAnsi"/>
                <w:color w:val="000000"/>
                <w:sz w:val="18"/>
                <w:szCs w:val="18"/>
              </w:rPr>
              <w:br/>
              <w:t>Roční uzávěrka se v Helios postará o:</w:t>
            </w:r>
            <w:r w:rsidRPr="00EA675E">
              <w:rPr>
                <w:rFonts w:asciiTheme="minorHAnsi" w:hAnsiTheme="minorHAnsi" w:cstheme="minorHAnsi"/>
                <w:color w:val="000000"/>
                <w:sz w:val="18"/>
                <w:szCs w:val="18"/>
              </w:rPr>
              <w:br/>
              <w:t>převodu zůstatků rozvahových a podrozvahových účtů do dalšího účetního období,</w:t>
            </w:r>
            <w:r w:rsidRPr="00EA675E">
              <w:rPr>
                <w:rFonts w:asciiTheme="minorHAnsi" w:hAnsiTheme="minorHAnsi" w:cstheme="minorHAnsi"/>
                <w:color w:val="000000"/>
                <w:sz w:val="18"/>
                <w:szCs w:val="18"/>
              </w:rPr>
              <w:br/>
              <w:t>převod jednotlivých položek salda, které nejsou v daném účetním období vypořádány,</w:t>
            </w:r>
            <w:r w:rsidRPr="00EA675E">
              <w:rPr>
                <w:rFonts w:asciiTheme="minorHAnsi" w:hAnsiTheme="minorHAnsi" w:cstheme="minorHAnsi"/>
                <w:color w:val="000000"/>
                <w:sz w:val="18"/>
                <w:szCs w:val="18"/>
              </w:rPr>
              <w:br/>
              <w:t>vygenerování počátečních stavů účetnictví nového období a opráv</w:t>
            </w:r>
            <w:r w:rsidRPr="00790C8D">
              <w:rPr>
                <w:rFonts w:asciiTheme="minorHAnsi" w:hAnsiTheme="minorHAnsi" w:cstheme="minorHAnsi"/>
                <w:color w:val="000000"/>
                <w:sz w:val="18"/>
                <w:szCs w:val="18"/>
              </w:rPr>
              <w:t>n</w:t>
            </w:r>
            <w:r w:rsidRPr="00EA675E">
              <w:rPr>
                <w:rFonts w:asciiTheme="minorHAnsi" w:hAnsiTheme="minorHAnsi" w:cstheme="minorHAnsi"/>
                <w:color w:val="000000"/>
                <w:sz w:val="18"/>
                <w:szCs w:val="18"/>
              </w:rPr>
              <w:t xml:space="preserve">ěný uživatel má možnost provést jejich změny, </w:t>
            </w:r>
            <w:r w:rsidRPr="00EA675E">
              <w:rPr>
                <w:rFonts w:asciiTheme="minorHAnsi" w:hAnsiTheme="minorHAnsi" w:cstheme="minorHAnsi"/>
                <w:color w:val="000000"/>
                <w:sz w:val="18"/>
                <w:szCs w:val="18"/>
              </w:rPr>
              <w:lastRenderedPageBreak/>
              <w:t>provedení závěrečných účetních operací.</w:t>
            </w:r>
            <w:r w:rsidRPr="00EA675E">
              <w:rPr>
                <w:rFonts w:asciiTheme="minorHAnsi" w:hAnsiTheme="minorHAnsi" w:cstheme="minorHAnsi"/>
                <w:color w:val="000000"/>
                <w:sz w:val="18"/>
                <w:szCs w:val="18"/>
              </w:rPr>
              <w:br/>
              <w:t>Pro sestavení ročních účetních výkazů je k dispozici zvláštní třída Účetní sestavy, ve které lze sestavit výkazy nad účetním deníkem.</w:t>
            </w:r>
          </w:p>
        </w:tc>
      </w:tr>
      <w:tr w:rsidR="00C03AF4" w:rsidRPr="00790C8D" w14:paraId="20B16BD4" w14:textId="77777777" w:rsidTr="000F2E84">
        <w:trPr>
          <w:trHeight w:val="1200"/>
        </w:trPr>
        <w:tc>
          <w:tcPr>
            <w:tcW w:w="492" w:type="dxa"/>
            <w:tcBorders>
              <w:top w:val="nil"/>
              <w:left w:val="single" w:sz="4" w:space="0" w:color="auto"/>
              <w:bottom w:val="single" w:sz="4" w:space="0" w:color="auto"/>
              <w:right w:val="single" w:sz="4" w:space="0" w:color="auto"/>
            </w:tcBorders>
            <w:shd w:val="clear" w:color="auto" w:fill="auto"/>
            <w:hideMark/>
          </w:tcPr>
          <w:p w14:paraId="0642A70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A64</w:t>
            </w:r>
          </w:p>
        </w:tc>
        <w:tc>
          <w:tcPr>
            <w:tcW w:w="1166" w:type="dxa"/>
            <w:tcBorders>
              <w:top w:val="nil"/>
              <w:left w:val="nil"/>
              <w:bottom w:val="single" w:sz="4" w:space="0" w:color="auto"/>
              <w:right w:val="single" w:sz="4" w:space="0" w:color="auto"/>
            </w:tcBorders>
            <w:shd w:val="clear" w:color="auto" w:fill="auto"/>
            <w:hideMark/>
          </w:tcPr>
          <w:p w14:paraId="460DDF5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D3E618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Podpora pro provádění inventarizace účtů.</w:t>
            </w:r>
          </w:p>
        </w:tc>
        <w:tc>
          <w:tcPr>
            <w:tcW w:w="1072" w:type="dxa"/>
            <w:tcBorders>
              <w:top w:val="nil"/>
              <w:left w:val="nil"/>
              <w:bottom w:val="single" w:sz="4" w:space="0" w:color="auto"/>
              <w:right w:val="single" w:sz="4" w:space="0" w:color="auto"/>
            </w:tcBorders>
            <w:shd w:val="clear" w:color="auto" w:fill="auto"/>
            <w:hideMark/>
          </w:tcPr>
          <w:p w14:paraId="7D31409A"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58840B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72888F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291B8B08"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Inventarizace účtů je spíše procesní úkol, Helios jeho provedení podporuje standardními přehledovými šablonami, které lze doplnit dalšími šablonami podle specifických potřeb zadavatele.</w:t>
            </w:r>
          </w:p>
        </w:tc>
      </w:tr>
      <w:tr w:rsidR="00C03AF4" w:rsidRPr="00790C8D" w14:paraId="776D69AB"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5182672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A65</w:t>
            </w:r>
          </w:p>
        </w:tc>
        <w:tc>
          <w:tcPr>
            <w:tcW w:w="1166" w:type="dxa"/>
            <w:tcBorders>
              <w:top w:val="nil"/>
              <w:left w:val="nil"/>
              <w:bottom w:val="single" w:sz="4" w:space="0" w:color="auto"/>
              <w:right w:val="single" w:sz="4" w:space="0" w:color="auto"/>
            </w:tcBorders>
            <w:shd w:val="clear" w:color="auto" w:fill="auto"/>
            <w:hideMark/>
          </w:tcPr>
          <w:p w14:paraId="12BC136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441B7F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 době příprav a provádění roční účetní uzávěrky je nutný souběh účetních operací starého období a vznikem účetních případů nového období.</w:t>
            </w:r>
          </w:p>
        </w:tc>
        <w:tc>
          <w:tcPr>
            <w:tcW w:w="1072" w:type="dxa"/>
            <w:tcBorders>
              <w:top w:val="nil"/>
              <w:left w:val="nil"/>
              <w:bottom w:val="single" w:sz="4" w:space="0" w:color="auto"/>
              <w:right w:val="single" w:sz="4" w:space="0" w:color="auto"/>
            </w:tcBorders>
            <w:shd w:val="clear" w:color="auto" w:fill="auto"/>
            <w:hideMark/>
          </w:tcPr>
          <w:p w14:paraId="783ADB7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50142B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C681C1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610AD3D5"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Helios standardně umožňuje souběžně pracovat, jak ve starém období, tak v období novém. Ve starém období lze pracovat až do provedení třetího kroku Roční závěrky pro dané období.</w:t>
            </w:r>
          </w:p>
        </w:tc>
      </w:tr>
      <w:tr w:rsidR="00C03AF4" w:rsidRPr="00790C8D" w14:paraId="084F6E64" w14:textId="77777777" w:rsidTr="000F2E84">
        <w:trPr>
          <w:trHeight w:val="1702"/>
        </w:trPr>
        <w:tc>
          <w:tcPr>
            <w:tcW w:w="492" w:type="dxa"/>
            <w:tcBorders>
              <w:top w:val="nil"/>
              <w:left w:val="single" w:sz="4" w:space="0" w:color="auto"/>
              <w:bottom w:val="single" w:sz="4" w:space="0" w:color="auto"/>
              <w:right w:val="single" w:sz="4" w:space="0" w:color="auto"/>
            </w:tcBorders>
            <w:shd w:val="clear" w:color="auto" w:fill="auto"/>
            <w:hideMark/>
          </w:tcPr>
          <w:p w14:paraId="3B7BB66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A66</w:t>
            </w:r>
          </w:p>
        </w:tc>
        <w:tc>
          <w:tcPr>
            <w:tcW w:w="1166" w:type="dxa"/>
            <w:tcBorders>
              <w:top w:val="nil"/>
              <w:left w:val="nil"/>
              <w:bottom w:val="single" w:sz="4" w:space="0" w:color="auto"/>
              <w:right w:val="single" w:sz="4" w:space="0" w:color="auto"/>
            </w:tcBorders>
            <w:shd w:val="clear" w:color="auto" w:fill="auto"/>
            <w:hideMark/>
          </w:tcPr>
          <w:p w14:paraId="1411CC9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09E171C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Kompletní závěrku podle vyhlášky 410/2009 Sb. musí být možno exportovat v datovém formátu pro systém CSUIS, konkrétně krajskému úřadu na automat VYK.</w:t>
            </w:r>
          </w:p>
        </w:tc>
        <w:tc>
          <w:tcPr>
            <w:tcW w:w="1072" w:type="dxa"/>
            <w:tcBorders>
              <w:top w:val="nil"/>
              <w:left w:val="nil"/>
              <w:bottom w:val="single" w:sz="4" w:space="0" w:color="auto"/>
              <w:right w:val="single" w:sz="4" w:space="0" w:color="auto"/>
            </w:tcBorders>
            <w:shd w:val="clear" w:color="auto" w:fill="auto"/>
            <w:hideMark/>
          </w:tcPr>
          <w:p w14:paraId="28D795DF"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19D620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DC6947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vAlign w:val="bottom"/>
            <w:hideMark/>
          </w:tcPr>
          <w:p w14:paraId="063A5EB1" w14:textId="77777777" w:rsidR="00C03AF4" w:rsidRPr="00EA675E" w:rsidRDefault="00C03AF4" w:rsidP="000F2E84">
            <w:pPr>
              <w:rPr>
                <w:rFonts w:asciiTheme="minorHAnsi" w:hAnsiTheme="minorHAnsi" w:cstheme="minorHAnsi"/>
                <w:color w:val="000000"/>
                <w:sz w:val="18"/>
                <w:szCs w:val="18"/>
              </w:rPr>
            </w:pPr>
            <w:r w:rsidRPr="00EA675E">
              <w:rPr>
                <w:rFonts w:asciiTheme="minorHAnsi" w:hAnsiTheme="minorHAnsi" w:cstheme="minorHAnsi"/>
                <w:color w:val="000000"/>
                <w:sz w:val="18"/>
                <w:szCs w:val="18"/>
              </w:rPr>
              <w:t>Funkcionalitu přenosu výkazů do účetnictví státu v rámci standardu Helios řeší výkaznictví a komunikaci s Centrálním systémem účetních informací státu (CSÚIS) ve smyslu vyhlášky č. 410/2009 Sb. a prováděcích předpisů, případně o zasílání výkazů jiným zřizovatelům. Helios deklaruje řešení pro všechny stávající a budoucí požadavky kladené na rozpočtové a příspěvkové organizace ze strany státu a případně i dalších zřizovatelů (krajů a pod.).</w:t>
            </w:r>
            <w:r w:rsidRPr="00EA675E">
              <w:rPr>
                <w:rFonts w:asciiTheme="minorHAnsi" w:hAnsiTheme="minorHAnsi" w:cstheme="minorHAnsi"/>
                <w:color w:val="000000"/>
                <w:sz w:val="18"/>
                <w:szCs w:val="18"/>
              </w:rPr>
              <w:br/>
              <w:t>Jedná se o funkcionalitu systému Helios pro "státní organizace", spočívající v přenosu dat z Helios do modulu Výkaznictví a odtud pak zabezpečeným kanálem do Účetnictví státu = CSUIS.</w:t>
            </w:r>
          </w:p>
        </w:tc>
      </w:tr>
      <w:tr w:rsidR="00C03AF4" w:rsidRPr="00790C8D" w14:paraId="14B7F328" w14:textId="77777777" w:rsidTr="000F2E84">
        <w:trPr>
          <w:trHeight w:val="1800"/>
        </w:trPr>
        <w:tc>
          <w:tcPr>
            <w:tcW w:w="492" w:type="dxa"/>
            <w:tcBorders>
              <w:top w:val="nil"/>
              <w:left w:val="single" w:sz="4" w:space="0" w:color="auto"/>
              <w:bottom w:val="single" w:sz="4" w:space="0" w:color="auto"/>
              <w:right w:val="single" w:sz="4" w:space="0" w:color="auto"/>
            </w:tcBorders>
            <w:shd w:val="clear" w:color="auto" w:fill="auto"/>
            <w:hideMark/>
          </w:tcPr>
          <w:p w14:paraId="6A4AADB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A67</w:t>
            </w:r>
          </w:p>
        </w:tc>
        <w:tc>
          <w:tcPr>
            <w:tcW w:w="1166" w:type="dxa"/>
            <w:tcBorders>
              <w:top w:val="nil"/>
              <w:left w:val="nil"/>
              <w:bottom w:val="single" w:sz="4" w:space="0" w:color="auto"/>
              <w:right w:val="single" w:sz="4" w:space="0" w:color="auto"/>
            </w:tcBorders>
            <w:shd w:val="clear" w:color="auto" w:fill="auto"/>
            <w:hideMark/>
          </w:tcPr>
          <w:p w14:paraId="4DF853C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Statistiky, rozbory a výkaznictví</w:t>
            </w:r>
          </w:p>
        </w:tc>
        <w:tc>
          <w:tcPr>
            <w:tcW w:w="2257" w:type="dxa"/>
            <w:tcBorders>
              <w:top w:val="nil"/>
              <w:left w:val="nil"/>
              <w:bottom w:val="single" w:sz="4" w:space="0" w:color="auto"/>
              <w:right w:val="single" w:sz="4" w:space="0" w:color="auto"/>
            </w:tcBorders>
            <w:shd w:val="clear" w:color="auto" w:fill="auto"/>
            <w:hideMark/>
          </w:tcPr>
          <w:p w14:paraId="4AB3AA0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Systém musí umožňovat komunikaci se systémy státní správy, které jsou ze zákona povinné. Např. výkaznictví pro vybrané účetní jednotky, zejména zpracování účetních závěrek a odeslání do systému státní pokladny v předepsaných technických formátech.</w:t>
            </w:r>
          </w:p>
        </w:tc>
        <w:tc>
          <w:tcPr>
            <w:tcW w:w="1072" w:type="dxa"/>
            <w:tcBorders>
              <w:top w:val="nil"/>
              <w:left w:val="nil"/>
              <w:bottom w:val="single" w:sz="4" w:space="0" w:color="auto"/>
              <w:right w:val="single" w:sz="4" w:space="0" w:color="auto"/>
            </w:tcBorders>
            <w:shd w:val="clear" w:color="auto" w:fill="auto"/>
            <w:hideMark/>
          </w:tcPr>
          <w:p w14:paraId="698E9E1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F54BAF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09670C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767229B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Součástí standardu Helios je podpora pro legislativou předepsané výkazy v rámci měsíčních, čtvrtletních, pololetních a ročních závěrek.</w:t>
            </w:r>
            <w:r w:rsidRPr="00EA675E">
              <w:rPr>
                <w:rFonts w:asciiTheme="minorHAnsi" w:hAnsiTheme="minorHAnsi" w:cstheme="minorHAnsi"/>
                <w:sz w:val="18"/>
                <w:szCs w:val="18"/>
              </w:rPr>
              <w:br/>
              <w:t>Systém disponuje rozhraním pro předání předepsaných výkazů do CSUIS v předepsaných technických formátech. Viz též bod A63</w:t>
            </w:r>
          </w:p>
        </w:tc>
      </w:tr>
      <w:tr w:rsidR="00C03AF4" w:rsidRPr="00790C8D" w14:paraId="76061976" w14:textId="77777777" w:rsidTr="000F2E84">
        <w:trPr>
          <w:trHeight w:val="2100"/>
        </w:trPr>
        <w:tc>
          <w:tcPr>
            <w:tcW w:w="492" w:type="dxa"/>
            <w:tcBorders>
              <w:top w:val="nil"/>
              <w:left w:val="single" w:sz="4" w:space="0" w:color="auto"/>
              <w:bottom w:val="single" w:sz="4" w:space="0" w:color="auto"/>
              <w:right w:val="single" w:sz="4" w:space="0" w:color="auto"/>
            </w:tcBorders>
            <w:shd w:val="clear" w:color="auto" w:fill="auto"/>
            <w:hideMark/>
          </w:tcPr>
          <w:p w14:paraId="6FF801B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A68</w:t>
            </w:r>
          </w:p>
        </w:tc>
        <w:tc>
          <w:tcPr>
            <w:tcW w:w="1166" w:type="dxa"/>
            <w:tcBorders>
              <w:top w:val="nil"/>
              <w:left w:val="nil"/>
              <w:bottom w:val="single" w:sz="4" w:space="0" w:color="auto"/>
              <w:right w:val="single" w:sz="4" w:space="0" w:color="auto"/>
            </w:tcBorders>
            <w:shd w:val="clear" w:color="auto" w:fill="auto"/>
            <w:hideMark/>
          </w:tcPr>
          <w:p w14:paraId="1866046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CC384E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Souhrnné i detailní sestavy pro sledování nákladovosti organizačních jednotek, také podle provozních dimenzí, tisky účetních deníků, předvahy, hlavní účetní knihy apod.</w:t>
            </w:r>
          </w:p>
        </w:tc>
        <w:tc>
          <w:tcPr>
            <w:tcW w:w="1072" w:type="dxa"/>
            <w:tcBorders>
              <w:top w:val="nil"/>
              <w:left w:val="nil"/>
              <w:bottom w:val="single" w:sz="4" w:space="0" w:color="auto"/>
              <w:right w:val="single" w:sz="4" w:space="0" w:color="auto"/>
            </w:tcBorders>
            <w:shd w:val="clear" w:color="auto" w:fill="auto"/>
            <w:hideMark/>
          </w:tcPr>
          <w:p w14:paraId="13CEBFE8"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DA4D1E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715E56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E0EBA1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obsahuje ve standardu šablony pro tisk účetních deníků, předvahy, hlavní knihy, rozvahy, výsledovky za celou organizaci a po útvarech. Datovým zdrojem pro standardní sestavy jsou data z účetního deníku.</w:t>
            </w:r>
            <w:r w:rsidRPr="00EA675E">
              <w:rPr>
                <w:rFonts w:asciiTheme="minorHAnsi" w:hAnsiTheme="minorHAnsi" w:cstheme="minorHAnsi"/>
                <w:sz w:val="18"/>
                <w:szCs w:val="18"/>
              </w:rPr>
              <w:br/>
              <w:t>Výstupy pro sledování nákladovosti realizovaných objednávek a požadavků budou vytvořeny v rámci implementace systému nad daty Účetního deníku.</w:t>
            </w:r>
          </w:p>
        </w:tc>
      </w:tr>
      <w:tr w:rsidR="00C03AF4" w:rsidRPr="00790C8D" w14:paraId="2AB67C1C"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630BAF8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A69</w:t>
            </w:r>
          </w:p>
        </w:tc>
        <w:tc>
          <w:tcPr>
            <w:tcW w:w="1166" w:type="dxa"/>
            <w:tcBorders>
              <w:top w:val="nil"/>
              <w:left w:val="nil"/>
              <w:bottom w:val="single" w:sz="4" w:space="0" w:color="auto"/>
              <w:right w:val="single" w:sz="4" w:space="0" w:color="auto"/>
            </w:tcBorders>
            <w:shd w:val="clear" w:color="auto" w:fill="auto"/>
            <w:hideMark/>
          </w:tcPr>
          <w:p w14:paraId="525A1BB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65E652D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Účetní výkazy se požaduje umožnit sestavit na základě zůstatků syntetických účtů.</w:t>
            </w:r>
          </w:p>
        </w:tc>
        <w:tc>
          <w:tcPr>
            <w:tcW w:w="1072" w:type="dxa"/>
            <w:tcBorders>
              <w:top w:val="nil"/>
              <w:left w:val="nil"/>
              <w:bottom w:val="single" w:sz="4" w:space="0" w:color="auto"/>
              <w:right w:val="single" w:sz="4" w:space="0" w:color="auto"/>
            </w:tcBorders>
            <w:shd w:val="clear" w:color="auto" w:fill="auto"/>
            <w:hideMark/>
          </w:tcPr>
          <w:p w14:paraId="5004B249"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F386C7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2A6ECA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28D2669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standardně podporuje sestavování účetních výkazů na základě zůstatků syntetických účtů.</w:t>
            </w:r>
          </w:p>
        </w:tc>
      </w:tr>
      <w:tr w:rsidR="00C03AF4" w:rsidRPr="00790C8D" w14:paraId="65181E55" w14:textId="77777777" w:rsidTr="000F2E84">
        <w:trPr>
          <w:trHeight w:val="3000"/>
        </w:trPr>
        <w:tc>
          <w:tcPr>
            <w:tcW w:w="492" w:type="dxa"/>
            <w:tcBorders>
              <w:top w:val="nil"/>
              <w:left w:val="single" w:sz="4" w:space="0" w:color="auto"/>
              <w:bottom w:val="single" w:sz="4" w:space="0" w:color="auto"/>
              <w:right w:val="single" w:sz="4" w:space="0" w:color="auto"/>
            </w:tcBorders>
            <w:shd w:val="clear" w:color="auto" w:fill="auto"/>
            <w:hideMark/>
          </w:tcPr>
          <w:p w14:paraId="35C3FC1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A70</w:t>
            </w:r>
          </w:p>
        </w:tc>
        <w:tc>
          <w:tcPr>
            <w:tcW w:w="1166" w:type="dxa"/>
            <w:tcBorders>
              <w:top w:val="nil"/>
              <w:left w:val="nil"/>
              <w:bottom w:val="single" w:sz="4" w:space="0" w:color="auto"/>
              <w:right w:val="single" w:sz="4" w:space="0" w:color="auto"/>
            </w:tcBorders>
            <w:shd w:val="clear" w:color="auto" w:fill="auto"/>
            <w:hideMark/>
          </w:tcPr>
          <w:p w14:paraId="3AA9CD0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F2A550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Systém umožní sestavit PAP výkaz podle vyhlášky 410/2009 Sb. na základě dat z prvotních a účetních dokladů, bez nutnosti rozšiřování účetního rozvrhu pro členění podle údajů Typ změny nebo identifikace partnera.</w:t>
            </w:r>
          </w:p>
        </w:tc>
        <w:tc>
          <w:tcPr>
            <w:tcW w:w="1072" w:type="dxa"/>
            <w:tcBorders>
              <w:top w:val="nil"/>
              <w:left w:val="nil"/>
              <w:bottom w:val="single" w:sz="4" w:space="0" w:color="auto"/>
              <w:right w:val="single" w:sz="4" w:space="0" w:color="auto"/>
            </w:tcBorders>
            <w:shd w:val="clear" w:color="auto" w:fill="auto"/>
            <w:hideMark/>
          </w:tcPr>
          <w:p w14:paraId="360C3007"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C9B518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D92E7A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7CED6E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Sestavení PAP výkazu je součástí funkčnosti systému Helios. Helios sestavuje PAP výkaz na základě Účetního deníku a vztahů ze záznamů Účetního deníku na prvotní doklady.</w:t>
            </w:r>
            <w:r w:rsidRPr="00EA675E">
              <w:rPr>
                <w:rFonts w:asciiTheme="minorHAnsi" w:hAnsiTheme="minorHAnsi" w:cstheme="minorHAnsi"/>
                <w:sz w:val="18"/>
                <w:szCs w:val="18"/>
              </w:rPr>
              <w:br/>
              <w:t>O naplnění záznamů Účetního</w:t>
            </w:r>
            <w:r w:rsidRPr="00790C8D">
              <w:rPr>
                <w:rFonts w:asciiTheme="minorHAnsi" w:hAnsiTheme="minorHAnsi" w:cstheme="minorHAnsi"/>
                <w:sz w:val="18"/>
                <w:szCs w:val="18"/>
              </w:rPr>
              <w:t xml:space="preserve"> </w:t>
            </w:r>
            <w:r w:rsidRPr="00EA675E">
              <w:rPr>
                <w:rFonts w:asciiTheme="minorHAnsi" w:hAnsiTheme="minorHAnsi" w:cstheme="minorHAnsi"/>
                <w:sz w:val="18"/>
                <w:szCs w:val="18"/>
              </w:rPr>
              <w:t>deníku odkazy na záznamy číselníku Typ změny se primárně postarají Kontace prvotních dokladů. Pro specifické situace, zejména v Bance. je k dispozici zvláštní funkčnost pro doplňování Typu změny do Účetního deníku.</w:t>
            </w:r>
            <w:r w:rsidRPr="00EA675E">
              <w:rPr>
                <w:rFonts w:asciiTheme="minorHAnsi" w:hAnsiTheme="minorHAnsi" w:cstheme="minorHAnsi"/>
                <w:sz w:val="18"/>
                <w:szCs w:val="18"/>
              </w:rPr>
              <w:br/>
              <w:t>O naplnění vztahů Partner PAP a Partner transakce se Helios také postará.</w:t>
            </w:r>
          </w:p>
        </w:tc>
      </w:tr>
      <w:tr w:rsidR="00C03AF4" w:rsidRPr="00790C8D" w14:paraId="2BD38FE5" w14:textId="77777777" w:rsidTr="000F2E84">
        <w:trPr>
          <w:trHeight w:val="284"/>
        </w:trPr>
        <w:tc>
          <w:tcPr>
            <w:tcW w:w="492" w:type="dxa"/>
            <w:tcBorders>
              <w:top w:val="nil"/>
              <w:left w:val="single" w:sz="4" w:space="0" w:color="auto"/>
              <w:bottom w:val="single" w:sz="4" w:space="0" w:color="auto"/>
              <w:right w:val="single" w:sz="4" w:space="0" w:color="auto"/>
            </w:tcBorders>
            <w:shd w:val="clear" w:color="auto" w:fill="auto"/>
            <w:hideMark/>
          </w:tcPr>
          <w:p w14:paraId="695093B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A71</w:t>
            </w:r>
          </w:p>
        </w:tc>
        <w:tc>
          <w:tcPr>
            <w:tcW w:w="1166" w:type="dxa"/>
            <w:tcBorders>
              <w:top w:val="nil"/>
              <w:left w:val="nil"/>
              <w:bottom w:val="single" w:sz="4" w:space="0" w:color="auto"/>
              <w:right w:val="single" w:sz="4" w:space="0" w:color="auto"/>
            </w:tcBorders>
            <w:shd w:val="clear" w:color="auto" w:fill="auto"/>
            <w:hideMark/>
          </w:tcPr>
          <w:p w14:paraId="533FE8D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55D34DC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Systém umožní vytvářet další výkazy, přehledy a statistiky pro potřeby vedení organizace, zejména zaprovozní dimemze a jejich hierarchické členění s uplatněním časové dimenze.</w:t>
            </w:r>
          </w:p>
        </w:tc>
        <w:tc>
          <w:tcPr>
            <w:tcW w:w="1072" w:type="dxa"/>
            <w:tcBorders>
              <w:top w:val="nil"/>
              <w:left w:val="nil"/>
              <w:bottom w:val="single" w:sz="4" w:space="0" w:color="auto"/>
              <w:right w:val="single" w:sz="4" w:space="0" w:color="auto"/>
            </w:tcBorders>
            <w:shd w:val="clear" w:color="auto" w:fill="auto"/>
            <w:hideMark/>
          </w:tcPr>
          <w:p w14:paraId="265B9972"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231A6F3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828C7A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F7F25A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má k dispozici ve svém standardu nástroje pro tvorbu specifických výstupů. K sestavení výkazů lze použít zvláštní třídu Účetní sestavy. Pro přehledové výstupy lze použít stand</w:t>
            </w:r>
            <w:r w:rsidRPr="00790C8D">
              <w:rPr>
                <w:rFonts w:asciiTheme="minorHAnsi" w:hAnsiTheme="minorHAnsi" w:cstheme="minorHAnsi"/>
                <w:sz w:val="18"/>
                <w:szCs w:val="18"/>
              </w:rPr>
              <w:t>a</w:t>
            </w:r>
            <w:r w:rsidRPr="00EA675E">
              <w:rPr>
                <w:rFonts w:asciiTheme="minorHAnsi" w:hAnsiTheme="minorHAnsi" w:cstheme="minorHAnsi"/>
                <w:sz w:val="18"/>
                <w:szCs w:val="18"/>
              </w:rPr>
              <w:t>rdní funkčnost Generátoru šablon. Pro specifické výstupy lze použít reportovací nástroj Infomaker, ve kterém konzultant dodavatele vytvoří šablonu podle specifických požadavků zadavatele.</w:t>
            </w:r>
            <w:r w:rsidRPr="00EA675E">
              <w:rPr>
                <w:rFonts w:asciiTheme="minorHAnsi" w:hAnsiTheme="minorHAnsi" w:cstheme="minorHAnsi"/>
                <w:sz w:val="18"/>
                <w:szCs w:val="18"/>
              </w:rPr>
              <w:br/>
              <w:t>Konkrétní požadavky na další výkazy, přehledy a statistiky nejsou v ZD uvedeny. Dodavatel předpokládá, že tyto další výkazy, přehledy a statistiky nejsou předmětem dodávky a budou tvořeny na základě specifikace a objednávky</w:t>
            </w:r>
            <w:r w:rsidRPr="00790C8D">
              <w:rPr>
                <w:rFonts w:asciiTheme="minorHAnsi" w:hAnsiTheme="minorHAnsi" w:cstheme="minorHAnsi"/>
                <w:sz w:val="18"/>
                <w:szCs w:val="18"/>
              </w:rPr>
              <w:t xml:space="preserve"> </w:t>
            </w:r>
            <w:r w:rsidRPr="00EA675E">
              <w:rPr>
                <w:rFonts w:asciiTheme="minorHAnsi" w:hAnsiTheme="minorHAnsi" w:cstheme="minorHAnsi"/>
                <w:sz w:val="18"/>
                <w:szCs w:val="18"/>
              </w:rPr>
              <w:t>podle smlouvy o údržbě.</w:t>
            </w:r>
          </w:p>
        </w:tc>
      </w:tr>
      <w:tr w:rsidR="00C03AF4" w:rsidRPr="00790C8D" w14:paraId="1646343E" w14:textId="77777777" w:rsidTr="000F2E84">
        <w:trPr>
          <w:trHeight w:val="1800"/>
        </w:trPr>
        <w:tc>
          <w:tcPr>
            <w:tcW w:w="492" w:type="dxa"/>
            <w:tcBorders>
              <w:top w:val="nil"/>
              <w:left w:val="single" w:sz="4" w:space="0" w:color="auto"/>
              <w:bottom w:val="single" w:sz="4" w:space="0" w:color="auto"/>
              <w:right w:val="single" w:sz="4" w:space="0" w:color="auto"/>
            </w:tcBorders>
            <w:shd w:val="clear" w:color="auto" w:fill="auto"/>
            <w:hideMark/>
          </w:tcPr>
          <w:p w14:paraId="6E44081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A72</w:t>
            </w:r>
          </w:p>
        </w:tc>
        <w:tc>
          <w:tcPr>
            <w:tcW w:w="1166" w:type="dxa"/>
            <w:tcBorders>
              <w:top w:val="nil"/>
              <w:left w:val="nil"/>
              <w:bottom w:val="single" w:sz="4" w:space="0" w:color="auto"/>
              <w:right w:val="single" w:sz="4" w:space="0" w:color="auto"/>
            </w:tcBorders>
            <w:shd w:val="clear" w:color="auto" w:fill="auto"/>
            <w:hideMark/>
          </w:tcPr>
          <w:p w14:paraId="42F6B07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Výstupy pro účetnictví</w:t>
            </w:r>
          </w:p>
        </w:tc>
        <w:tc>
          <w:tcPr>
            <w:tcW w:w="2257" w:type="dxa"/>
            <w:tcBorders>
              <w:top w:val="nil"/>
              <w:left w:val="nil"/>
              <w:bottom w:val="single" w:sz="4" w:space="0" w:color="auto"/>
              <w:right w:val="single" w:sz="4" w:space="0" w:color="auto"/>
            </w:tcBorders>
            <w:shd w:val="clear" w:color="auto" w:fill="auto"/>
            <w:hideMark/>
          </w:tcPr>
          <w:p w14:paraId="0CDCD74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Výstupy pro účetnictví musí splňovat ustanovení podle zákona o účetnictví, dále podle vyhlášky č.410/2009 Sb. a účetní standardy, platné pro účtování v příspěvkové organizaci.</w:t>
            </w:r>
          </w:p>
        </w:tc>
        <w:tc>
          <w:tcPr>
            <w:tcW w:w="1072" w:type="dxa"/>
            <w:tcBorders>
              <w:top w:val="nil"/>
              <w:left w:val="nil"/>
              <w:bottom w:val="single" w:sz="4" w:space="0" w:color="auto"/>
              <w:right w:val="single" w:sz="4" w:space="0" w:color="auto"/>
            </w:tcBorders>
            <w:shd w:val="clear" w:color="auto" w:fill="auto"/>
            <w:hideMark/>
          </w:tcPr>
          <w:p w14:paraId="0F3B2638"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B35F60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102B5F0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6AE9614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Řešení v Helios splňuje ustanovení podle zákona o účetnictví, dále podle vyhlášky č.410/2009 Sb. a účetní standardy, platné pro účtování ve státní příspěvkové organizaci ve znění ke dni podání nabídky.</w:t>
            </w:r>
            <w:r w:rsidRPr="00EA675E">
              <w:rPr>
                <w:rFonts w:asciiTheme="minorHAnsi" w:hAnsiTheme="minorHAnsi" w:cstheme="minorHAnsi"/>
                <w:sz w:val="18"/>
                <w:szCs w:val="18"/>
              </w:rPr>
              <w:br/>
              <w:t>Dodavatel systému deklaruje jeho legislativní upg</w:t>
            </w:r>
            <w:r>
              <w:rPr>
                <w:rFonts w:asciiTheme="minorHAnsi" w:hAnsiTheme="minorHAnsi" w:cstheme="minorHAnsi"/>
                <w:sz w:val="18"/>
                <w:szCs w:val="18"/>
              </w:rPr>
              <w:t>r</w:t>
            </w:r>
            <w:r w:rsidRPr="00EA675E">
              <w:rPr>
                <w:rFonts w:asciiTheme="minorHAnsi" w:hAnsiTheme="minorHAnsi" w:cstheme="minorHAnsi"/>
                <w:sz w:val="18"/>
                <w:szCs w:val="18"/>
              </w:rPr>
              <w:t>ade podle měnících se legislativních předpisů.</w:t>
            </w:r>
          </w:p>
        </w:tc>
      </w:tr>
      <w:tr w:rsidR="00C03AF4" w:rsidRPr="00790C8D" w14:paraId="50C4101A" w14:textId="77777777" w:rsidTr="000F2E84">
        <w:trPr>
          <w:trHeight w:val="960"/>
        </w:trPr>
        <w:tc>
          <w:tcPr>
            <w:tcW w:w="492" w:type="dxa"/>
            <w:tcBorders>
              <w:top w:val="nil"/>
              <w:left w:val="single" w:sz="4" w:space="0" w:color="auto"/>
              <w:bottom w:val="single" w:sz="4" w:space="0" w:color="auto"/>
              <w:right w:val="single" w:sz="4" w:space="0" w:color="auto"/>
            </w:tcBorders>
            <w:shd w:val="clear" w:color="auto" w:fill="auto"/>
            <w:hideMark/>
          </w:tcPr>
          <w:p w14:paraId="1E4EF8C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A73</w:t>
            </w:r>
          </w:p>
        </w:tc>
        <w:tc>
          <w:tcPr>
            <w:tcW w:w="1166" w:type="dxa"/>
            <w:tcBorders>
              <w:top w:val="nil"/>
              <w:left w:val="nil"/>
              <w:bottom w:val="single" w:sz="4" w:space="0" w:color="auto"/>
              <w:right w:val="single" w:sz="4" w:space="0" w:color="auto"/>
            </w:tcBorders>
            <w:shd w:val="clear" w:color="auto" w:fill="auto"/>
            <w:hideMark/>
          </w:tcPr>
          <w:p w14:paraId="56AAC45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Evidence smluv</w:t>
            </w:r>
          </w:p>
        </w:tc>
        <w:tc>
          <w:tcPr>
            <w:tcW w:w="2257" w:type="dxa"/>
            <w:tcBorders>
              <w:top w:val="nil"/>
              <w:left w:val="nil"/>
              <w:bottom w:val="single" w:sz="4" w:space="0" w:color="auto"/>
              <w:right w:val="single" w:sz="4" w:space="0" w:color="auto"/>
            </w:tcBorders>
            <w:shd w:val="clear" w:color="auto" w:fill="auto"/>
            <w:hideMark/>
          </w:tcPr>
          <w:p w14:paraId="703BBDA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Evidence právního a smluvního vztahu, záznam o uzavření smlouvy, vypovězení smlouvy, ukončení smlouvy - řádné nebo předčasné. Možnost změny právního smluvního vztahu na základě dodatků.</w:t>
            </w:r>
          </w:p>
        </w:tc>
        <w:tc>
          <w:tcPr>
            <w:tcW w:w="1072" w:type="dxa"/>
            <w:tcBorders>
              <w:top w:val="nil"/>
              <w:left w:val="nil"/>
              <w:bottom w:val="single" w:sz="4" w:space="0" w:color="auto"/>
              <w:right w:val="single" w:sz="4" w:space="0" w:color="auto"/>
            </w:tcBorders>
            <w:shd w:val="clear" w:color="auto" w:fill="auto"/>
            <w:hideMark/>
          </w:tcPr>
          <w:p w14:paraId="3EE6E33E"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AA890E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FCAA28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BCB493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Modul Smlouvy Helios plně podporuje životní cyklus smlouvy od Návrhu, přes uzavření, plnění uzavřené smlouvy a její ukončení</w:t>
            </w:r>
            <w:r>
              <w:rPr>
                <w:rFonts w:asciiTheme="minorHAnsi" w:hAnsiTheme="minorHAnsi" w:cstheme="minorHAnsi"/>
                <w:sz w:val="18"/>
                <w:szCs w:val="18"/>
              </w:rPr>
              <w:t>,</w:t>
            </w:r>
            <w:r w:rsidRPr="00EA675E">
              <w:rPr>
                <w:rFonts w:asciiTheme="minorHAnsi" w:hAnsiTheme="minorHAnsi" w:cstheme="minorHAnsi"/>
                <w:sz w:val="18"/>
                <w:szCs w:val="18"/>
              </w:rPr>
              <w:t xml:space="preserve"> a to řádně nebo předčasně, např. výpovědí jedné ze smluvních str</w:t>
            </w:r>
            <w:r w:rsidRPr="00790C8D">
              <w:rPr>
                <w:rFonts w:asciiTheme="minorHAnsi" w:hAnsiTheme="minorHAnsi" w:cstheme="minorHAnsi"/>
                <w:sz w:val="18"/>
                <w:szCs w:val="18"/>
              </w:rPr>
              <w:t>a</w:t>
            </w:r>
            <w:r w:rsidRPr="00EA675E">
              <w:rPr>
                <w:rFonts w:asciiTheme="minorHAnsi" w:hAnsiTheme="minorHAnsi" w:cstheme="minorHAnsi"/>
                <w:sz w:val="18"/>
                <w:szCs w:val="18"/>
              </w:rPr>
              <w:t>n nebo po</w:t>
            </w:r>
            <w:r w:rsidRPr="00790C8D">
              <w:rPr>
                <w:rFonts w:asciiTheme="minorHAnsi" w:hAnsiTheme="minorHAnsi" w:cstheme="minorHAnsi"/>
                <w:sz w:val="18"/>
                <w:szCs w:val="18"/>
              </w:rPr>
              <w:t xml:space="preserve"> </w:t>
            </w:r>
            <w:r w:rsidRPr="00EA675E">
              <w:rPr>
                <w:rFonts w:asciiTheme="minorHAnsi" w:hAnsiTheme="minorHAnsi" w:cstheme="minorHAnsi"/>
                <w:sz w:val="18"/>
                <w:szCs w:val="18"/>
              </w:rPr>
              <w:t>vzájemné dohodě. Životní cyklus smlouvy (i jednorázové objednávky) se sleduje pomocí Stavů smlouvy.</w:t>
            </w:r>
            <w:r w:rsidRPr="00EA675E">
              <w:rPr>
                <w:rFonts w:asciiTheme="minorHAnsi" w:hAnsiTheme="minorHAnsi" w:cstheme="minorHAnsi"/>
                <w:sz w:val="18"/>
                <w:szCs w:val="18"/>
              </w:rPr>
              <w:br/>
              <w:t>Ke smlouvě lze vytvořit její dodatek, který se změní buď pouze formální náležitosti smlouvy nebo také její platební kalendáře nebo i termíny plnění.</w:t>
            </w:r>
          </w:p>
        </w:tc>
      </w:tr>
      <w:tr w:rsidR="00C03AF4" w:rsidRPr="00790C8D" w14:paraId="5AD31C60" w14:textId="77777777" w:rsidTr="000F2E84">
        <w:trPr>
          <w:trHeight w:val="851"/>
        </w:trPr>
        <w:tc>
          <w:tcPr>
            <w:tcW w:w="492" w:type="dxa"/>
            <w:tcBorders>
              <w:top w:val="nil"/>
              <w:left w:val="single" w:sz="4" w:space="0" w:color="auto"/>
              <w:bottom w:val="single" w:sz="4" w:space="0" w:color="auto"/>
              <w:right w:val="single" w:sz="4" w:space="0" w:color="auto"/>
            </w:tcBorders>
            <w:shd w:val="clear" w:color="auto" w:fill="auto"/>
            <w:hideMark/>
          </w:tcPr>
          <w:p w14:paraId="0CAAA8D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A74</w:t>
            </w:r>
          </w:p>
        </w:tc>
        <w:tc>
          <w:tcPr>
            <w:tcW w:w="1166" w:type="dxa"/>
            <w:tcBorders>
              <w:top w:val="nil"/>
              <w:left w:val="nil"/>
              <w:bottom w:val="single" w:sz="4" w:space="0" w:color="auto"/>
              <w:right w:val="single" w:sz="4" w:space="0" w:color="auto"/>
            </w:tcBorders>
            <w:shd w:val="clear" w:color="auto" w:fill="auto"/>
            <w:hideMark/>
          </w:tcPr>
          <w:p w14:paraId="0A1BE91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6BC9FEE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vzájemného provázání jednotlivých smluv.</w:t>
            </w:r>
          </w:p>
        </w:tc>
        <w:tc>
          <w:tcPr>
            <w:tcW w:w="1072" w:type="dxa"/>
            <w:tcBorders>
              <w:top w:val="nil"/>
              <w:left w:val="nil"/>
              <w:bottom w:val="single" w:sz="4" w:space="0" w:color="auto"/>
              <w:right w:val="single" w:sz="4" w:space="0" w:color="auto"/>
            </w:tcBorders>
            <w:shd w:val="clear" w:color="auto" w:fill="auto"/>
            <w:hideMark/>
          </w:tcPr>
          <w:p w14:paraId="3F44E52B"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118893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554368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7ABDB4E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Helios umožňuje spravovat také různé druhy vztahů mezi smlouvami. Tak lze svázat rámcovou smlouvu se smlouvami prováděcími nebo mezi sebou provázat smlouvy dělené na části, případně další případy. Helios plně podporuje smluvní vztahy, které připouští platná verze Zákona o veřejných zakázkách.</w:t>
            </w:r>
          </w:p>
        </w:tc>
      </w:tr>
      <w:tr w:rsidR="00C03AF4" w:rsidRPr="00790C8D" w14:paraId="61949200"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6FF469E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A75</w:t>
            </w:r>
          </w:p>
        </w:tc>
        <w:tc>
          <w:tcPr>
            <w:tcW w:w="1166" w:type="dxa"/>
            <w:tcBorders>
              <w:top w:val="nil"/>
              <w:left w:val="nil"/>
              <w:bottom w:val="single" w:sz="4" w:space="0" w:color="auto"/>
              <w:right w:val="single" w:sz="4" w:space="0" w:color="auto"/>
            </w:tcBorders>
            <w:shd w:val="clear" w:color="auto" w:fill="auto"/>
            <w:hideMark/>
          </w:tcPr>
          <w:p w14:paraId="0E90041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45F97DF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automatického generování faktur na základě smluvního vztahu</w:t>
            </w:r>
          </w:p>
        </w:tc>
        <w:tc>
          <w:tcPr>
            <w:tcW w:w="1072" w:type="dxa"/>
            <w:tcBorders>
              <w:top w:val="nil"/>
              <w:left w:val="nil"/>
              <w:bottom w:val="single" w:sz="4" w:space="0" w:color="auto"/>
              <w:right w:val="single" w:sz="4" w:space="0" w:color="auto"/>
            </w:tcBorders>
            <w:shd w:val="clear" w:color="auto" w:fill="auto"/>
            <w:hideMark/>
          </w:tcPr>
          <w:p w14:paraId="0F62022A"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DF9B6C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2FE6195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2966A35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Z platebního kalendáře smlouvy nebo objednávky lze funkcí automaticky vytvořit fakturu - zálohovou nebo realizační.</w:t>
            </w:r>
          </w:p>
        </w:tc>
      </w:tr>
      <w:tr w:rsidR="00C03AF4" w:rsidRPr="00790C8D" w14:paraId="4DF3F859"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1BB1E49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A76</w:t>
            </w:r>
          </w:p>
        </w:tc>
        <w:tc>
          <w:tcPr>
            <w:tcW w:w="1166" w:type="dxa"/>
            <w:tcBorders>
              <w:top w:val="nil"/>
              <w:left w:val="nil"/>
              <w:bottom w:val="single" w:sz="4" w:space="0" w:color="auto"/>
              <w:right w:val="single" w:sz="4" w:space="0" w:color="auto"/>
            </w:tcBorders>
            <w:shd w:val="clear" w:color="auto" w:fill="auto"/>
            <w:hideMark/>
          </w:tcPr>
          <w:p w14:paraId="129B3F7D"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68DF4E9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vygenerování smlouvy na předdefinovanou šablonu</w:t>
            </w:r>
          </w:p>
        </w:tc>
        <w:tc>
          <w:tcPr>
            <w:tcW w:w="1072" w:type="dxa"/>
            <w:tcBorders>
              <w:top w:val="nil"/>
              <w:left w:val="nil"/>
              <w:bottom w:val="single" w:sz="4" w:space="0" w:color="auto"/>
              <w:right w:val="single" w:sz="4" w:space="0" w:color="auto"/>
            </w:tcBorders>
            <w:shd w:val="clear" w:color="auto" w:fill="auto"/>
            <w:hideMark/>
          </w:tcPr>
          <w:p w14:paraId="59D6C8D3"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1FE33BE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B7E641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6AD379C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 rámci implementace bude nastavena šablona pro generování dokumentu smlouvy. Helios podporuje tvorbu textů smluv pomocí nastavitelných odstavců smluv.</w:t>
            </w:r>
          </w:p>
        </w:tc>
      </w:tr>
      <w:tr w:rsidR="00C03AF4" w:rsidRPr="00790C8D" w14:paraId="387E547A" w14:textId="77777777" w:rsidTr="000F2E84">
        <w:trPr>
          <w:trHeight w:val="570"/>
        </w:trPr>
        <w:tc>
          <w:tcPr>
            <w:tcW w:w="492" w:type="dxa"/>
            <w:tcBorders>
              <w:top w:val="nil"/>
              <w:left w:val="single" w:sz="4" w:space="0" w:color="auto"/>
              <w:bottom w:val="single" w:sz="4" w:space="0" w:color="auto"/>
              <w:right w:val="single" w:sz="4" w:space="0" w:color="auto"/>
            </w:tcBorders>
            <w:shd w:val="clear" w:color="auto" w:fill="auto"/>
            <w:hideMark/>
          </w:tcPr>
          <w:p w14:paraId="238B509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A77</w:t>
            </w:r>
          </w:p>
        </w:tc>
        <w:tc>
          <w:tcPr>
            <w:tcW w:w="1166" w:type="dxa"/>
            <w:tcBorders>
              <w:top w:val="nil"/>
              <w:left w:val="nil"/>
              <w:bottom w:val="single" w:sz="4" w:space="0" w:color="auto"/>
              <w:right w:val="single" w:sz="4" w:space="0" w:color="auto"/>
            </w:tcBorders>
            <w:shd w:val="clear" w:color="auto" w:fill="auto"/>
            <w:hideMark/>
          </w:tcPr>
          <w:p w14:paraId="329E832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061B072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Vkládání nových smluv, dodatků (formát PDF), jejich číslování a předmět smlouvy</w:t>
            </w:r>
          </w:p>
        </w:tc>
        <w:tc>
          <w:tcPr>
            <w:tcW w:w="1072" w:type="dxa"/>
            <w:tcBorders>
              <w:top w:val="nil"/>
              <w:left w:val="nil"/>
              <w:bottom w:val="single" w:sz="4" w:space="0" w:color="auto"/>
              <w:right w:val="single" w:sz="4" w:space="0" w:color="auto"/>
            </w:tcBorders>
            <w:shd w:val="clear" w:color="auto" w:fill="auto"/>
            <w:hideMark/>
          </w:tcPr>
          <w:p w14:paraId="55EF1B2B"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50F227F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74F35B4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3700E5D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k nové smlouvě lze ukládat libovolné množství dokumentů v různých formátech. Dok</w:t>
            </w:r>
            <w:r>
              <w:rPr>
                <w:rFonts w:asciiTheme="minorHAnsi" w:hAnsiTheme="minorHAnsi" w:cstheme="minorHAnsi"/>
                <w:sz w:val="18"/>
                <w:szCs w:val="18"/>
              </w:rPr>
              <w:t>u</w:t>
            </w:r>
            <w:r w:rsidRPr="00EA675E">
              <w:rPr>
                <w:rFonts w:asciiTheme="minorHAnsi" w:hAnsiTheme="minorHAnsi" w:cstheme="minorHAnsi"/>
                <w:sz w:val="18"/>
                <w:szCs w:val="18"/>
              </w:rPr>
              <w:t>menty se ukládají do DMS Helios.</w:t>
            </w:r>
          </w:p>
        </w:tc>
      </w:tr>
      <w:tr w:rsidR="00C03AF4" w:rsidRPr="00790C8D" w14:paraId="56FB1B4F"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617BB15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A78</w:t>
            </w:r>
          </w:p>
        </w:tc>
        <w:tc>
          <w:tcPr>
            <w:tcW w:w="1166" w:type="dxa"/>
            <w:tcBorders>
              <w:top w:val="nil"/>
              <w:left w:val="nil"/>
              <w:bottom w:val="single" w:sz="4" w:space="0" w:color="auto"/>
              <w:right w:val="single" w:sz="4" w:space="0" w:color="auto"/>
            </w:tcBorders>
            <w:shd w:val="clear" w:color="auto" w:fill="auto"/>
            <w:hideMark/>
          </w:tcPr>
          <w:p w14:paraId="614E914C"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1E28E9C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Třídění smluv dle typu (smlouvy o odpadech, nájemní smlouvy, kupní smlouvy, smlouvy o dílo, atd.)</w:t>
            </w:r>
          </w:p>
        </w:tc>
        <w:tc>
          <w:tcPr>
            <w:tcW w:w="1072" w:type="dxa"/>
            <w:tcBorders>
              <w:top w:val="nil"/>
              <w:left w:val="nil"/>
              <w:bottom w:val="single" w:sz="4" w:space="0" w:color="auto"/>
              <w:right w:val="single" w:sz="4" w:space="0" w:color="auto"/>
            </w:tcBorders>
            <w:shd w:val="clear" w:color="auto" w:fill="auto"/>
            <w:hideMark/>
          </w:tcPr>
          <w:p w14:paraId="229D309E"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35ECF2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73DD60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4A48694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Pomocí číselník Typ smlouvy lze smlouvy identifikovat a třídit.</w:t>
            </w:r>
          </w:p>
        </w:tc>
      </w:tr>
      <w:tr w:rsidR="00C03AF4" w:rsidRPr="00790C8D" w14:paraId="7D1369CB"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7A539C15"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lastRenderedPageBreak/>
              <w:t>A79</w:t>
            </w:r>
          </w:p>
        </w:tc>
        <w:tc>
          <w:tcPr>
            <w:tcW w:w="1166" w:type="dxa"/>
            <w:tcBorders>
              <w:top w:val="nil"/>
              <w:left w:val="nil"/>
              <w:bottom w:val="single" w:sz="4" w:space="0" w:color="auto"/>
              <w:right w:val="single" w:sz="4" w:space="0" w:color="auto"/>
            </w:tcBorders>
            <w:shd w:val="clear" w:color="auto" w:fill="auto"/>
            <w:hideMark/>
          </w:tcPr>
          <w:p w14:paraId="7497D18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7F4E2AA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Třídění dle platnosti (platné, neplatné)</w:t>
            </w:r>
          </w:p>
        </w:tc>
        <w:tc>
          <w:tcPr>
            <w:tcW w:w="1072" w:type="dxa"/>
            <w:tcBorders>
              <w:top w:val="nil"/>
              <w:left w:val="nil"/>
              <w:bottom w:val="single" w:sz="4" w:space="0" w:color="auto"/>
              <w:right w:val="single" w:sz="4" w:space="0" w:color="auto"/>
            </w:tcBorders>
            <w:shd w:val="clear" w:color="auto" w:fill="auto"/>
            <w:hideMark/>
          </w:tcPr>
          <w:p w14:paraId="74C6C67E"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8B9C5C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9E58D2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66508E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Na přehledové šabloně pro smlouvy budou nastaveny dohodn</w:t>
            </w:r>
            <w:r w:rsidRPr="00790C8D">
              <w:rPr>
                <w:rFonts w:asciiTheme="minorHAnsi" w:hAnsiTheme="minorHAnsi" w:cstheme="minorHAnsi"/>
                <w:sz w:val="18"/>
                <w:szCs w:val="18"/>
              </w:rPr>
              <w:t>u</w:t>
            </w:r>
            <w:r w:rsidRPr="00EA675E">
              <w:rPr>
                <w:rFonts w:asciiTheme="minorHAnsi" w:hAnsiTheme="minorHAnsi" w:cstheme="minorHAnsi"/>
                <w:sz w:val="18"/>
                <w:szCs w:val="18"/>
              </w:rPr>
              <w:t>té sloupce z evidenčního listu smlouvy a mezi nimi také datumové údaje.</w:t>
            </w:r>
          </w:p>
        </w:tc>
      </w:tr>
      <w:tr w:rsidR="00C03AF4" w:rsidRPr="00790C8D" w14:paraId="417E393F"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6CCE95D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A80</w:t>
            </w:r>
          </w:p>
        </w:tc>
        <w:tc>
          <w:tcPr>
            <w:tcW w:w="1166" w:type="dxa"/>
            <w:tcBorders>
              <w:top w:val="nil"/>
              <w:left w:val="nil"/>
              <w:bottom w:val="single" w:sz="4" w:space="0" w:color="auto"/>
              <w:right w:val="single" w:sz="4" w:space="0" w:color="auto"/>
            </w:tcBorders>
            <w:shd w:val="clear" w:color="auto" w:fill="auto"/>
            <w:hideMark/>
          </w:tcPr>
          <w:p w14:paraId="4C56638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2935A5A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Třídění na dodavatelské a odběratelské</w:t>
            </w:r>
          </w:p>
        </w:tc>
        <w:tc>
          <w:tcPr>
            <w:tcW w:w="1072" w:type="dxa"/>
            <w:tcBorders>
              <w:top w:val="nil"/>
              <w:left w:val="nil"/>
              <w:bottom w:val="single" w:sz="4" w:space="0" w:color="auto"/>
              <w:right w:val="single" w:sz="4" w:space="0" w:color="auto"/>
            </w:tcBorders>
            <w:shd w:val="clear" w:color="auto" w:fill="auto"/>
            <w:hideMark/>
          </w:tcPr>
          <w:p w14:paraId="0A202566"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0E4782F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877E71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AE9416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Třídění na dodavatelské / odběratelské lze provést nastavením číse</w:t>
            </w:r>
            <w:r w:rsidRPr="00790C8D">
              <w:rPr>
                <w:rFonts w:asciiTheme="minorHAnsi" w:hAnsiTheme="minorHAnsi" w:cstheme="minorHAnsi"/>
                <w:sz w:val="18"/>
                <w:szCs w:val="18"/>
              </w:rPr>
              <w:t>l</w:t>
            </w:r>
            <w:r w:rsidRPr="00EA675E">
              <w:rPr>
                <w:rFonts w:asciiTheme="minorHAnsi" w:hAnsiTheme="minorHAnsi" w:cstheme="minorHAnsi"/>
                <w:sz w:val="18"/>
                <w:szCs w:val="18"/>
              </w:rPr>
              <w:t>ných řad, nebo pomocí číselníku Typ smlouvy</w:t>
            </w:r>
          </w:p>
        </w:tc>
      </w:tr>
      <w:tr w:rsidR="00C03AF4" w:rsidRPr="00790C8D" w14:paraId="6C77E281"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22670E4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A81</w:t>
            </w:r>
          </w:p>
        </w:tc>
        <w:tc>
          <w:tcPr>
            <w:tcW w:w="1166" w:type="dxa"/>
            <w:tcBorders>
              <w:top w:val="nil"/>
              <w:left w:val="nil"/>
              <w:bottom w:val="single" w:sz="4" w:space="0" w:color="auto"/>
              <w:right w:val="single" w:sz="4" w:space="0" w:color="auto"/>
            </w:tcBorders>
            <w:shd w:val="clear" w:color="auto" w:fill="auto"/>
            <w:hideMark/>
          </w:tcPr>
          <w:p w14:paraId="669AFB2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62A1E6B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Vyhledávání smluv dle zadaného parametru (obchodní partner, číslo smlouvy, platnost, předmět smlouvy, atd.)</w:t>
            </w:r>
          </w:p>
        </w:tc>
        <w:tc>
          <w:tcPr>
            <w:tcW w:w="1072" w:type="dxa"/>
            <w:tcBorders>
              <w:top w:val="nil"/>
              <w:left w:val="nil"/>
              <w:bottom w:val="single" w:sz="4" w:space="0" w:color="auto"/>
              <w:right w:val="single" w:sz="4" w:space="0" w:color="auto"/>
            </w:tcBorders>
            <w:shd w:val="clear" w:color="auto" w:fill="auto"/>
            <w:hideMark/>
          </w:tcPr>
          <w:p w14:paraId="781C5191"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172212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426E002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1079F5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Na přehledové šabloně pro smlouvy budou nastaveny dohodn</w:t>
            </w:r>
            <w:r w:rsidRPr="00790C8D">
              <w:rPr>
                <w:rFonts w:asciiTheme="minorHAnsi" w:hAnsiTheme="minorHAnsi" w:cstheme="minorHAnsi"/>
                <w:sz w:val="18"/>
                <w:szCs w:val="18"/>
              </w:rPr>
              <w:t>u</w:t>
            </w:r>
            <w:r w:rsidRPr="00EA675E">
              <w:rPr>
                <w:rFonts w:asciiTheme="minorHAnsi" w:hAnsiTheme="minorHAnsi" w:cstheme="minorHAnsi"/>
                <w:sz w:val="18"/>
                <w:szCs w:val="18"/>
              </w:rPr>
              <w:t>té sloupce z evidenčního listu smlouvy a mezi nimi také údaje partnerského subjektu</w:t>
            </w:r>
          </w:p>
        </w:tc>
      </w:tr>
      <w:tr w:rsidR="00C03AF4" w:rsidRPr="00790C8D" w14:paraId="3C25E8D3" w14:textId="77777777" w:rsidTr="000F2E84">
        <w:trPr>
          <w:trHeight w:val="300"/>
        </w:trPr>
        <w:tc>
          <w:tcPr>
            <w:tcW w:w="492" w:type="dxa"/>
            <w:tcBorders>
              <w:top w:val="nil"/>
              <w:left w:val="single" w:sz="4" w:space="0" w:color="auto"/>
              <w:bottom w:val="single" w:sz="4" w:space="0" w:color="auto"/>
              <w:right w:val="single" w:sz="4" w:space="0" w:color="auto"/>
            </w:tcBorders>
            <w:shd w:val="clear" w:color="auto" w:fill="auto"/>
            <w:hideMark/>
          </w:tcPr>
          <w:p w14:paraId="4E39674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A82</w:t>
            </w:r>
          </w:p>
        </w:tc>
        <w:tc>
          <w:tcPr>
            <w:tcW w:w="1166" w:type="dxa"/>
            <w:tcBorders>
              <w:top w:val="nil"/>
              <w:left w:val="nil"/>
              <w:bottom w:val="single" w:sz="4" w:space="0" w:color="auto"/>
              <w:right w:val="single" w:sz="4" w:space="0" w:color="auto"/>
            </w:tcBorders>
            <w:shd w:val="clear" w:color="auto" w:fill="auto"/>
            <w:hideMark/>
          </w:tcPr>
          <w:p w14:paraId="0B3BBE6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Fakturace</w:t>
            </w:r>
          </w:p>
        </w:tc>
        <w:tc>
          <w:tcPr>
            <w:tcW w:w="2257" w:type="dxa"/>
            <w:tcBorders>
              <w:top w:val="nil"/>
              <w:left w:val="nil"/>
              <w:bottom w:val="single" w:sz="4" w:space="0" w:color="auto"/>
              <w:right w:val="single" w:sz="4" w:space="0" w:color="auto"/>
            </w:tcBorders>
            <w:shd w:val="clear" w:color="auto" w:fill="auto"/>
            <w:hideMark/>
          </w:tcPr>
          <w:p w14:paraId="0E03297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Automatický převod z provozních modulů</w:t>
            </w:r>
          </w:p>
        </w:tc>
        <w:tc>
          <w:tcPr>
            <w:tcW w:w="1072" w:type="dxa"/>
            <w:tcBorders>
              <w:top w:val="nil"/>
              <w:left w:val="nil"/>
              <w:bottom w:val="single" w:sz="4" w:space="0" w:color="auto"/>
              <w:right w:val="single" w:sz="4" w:space="0" w:color="auto"/>
            </w:tcBorders>
            <w:shd w:val="clear" w:color="auto" w:fill="auto"/>
            <w:hideMark/>
          </w:tcPr>
          <w:p w14:paraId="2A5A83BD"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D7CA46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1BBECD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0179E3D4"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Faktury vydané lze vytvářet funkc</w:t>
            </w:r>
            <w:r w:rsidRPr="00790C8D">
              <w:rPr>
                <w:rFonts w:asciiTheme="minorHAnsi" w:hAnsiTheme="minorHAnsi" w:cstheme="minorHAnsi"/>
                <w:sz w:val="18"/>
                <w:szCs w:val="18"/>
              </w:rPr>
              <w:t>e</w:t>
            </w:r>
            <w:r w:rsidRPr="00EA675E">
              <w:rPr>
                <w:rFonts w:asciiTheme="minorHAnsi" w:hAnsiTheme="minorHAnsi" w:cstheme="minorHAnsi"/>
                <w:sz w:val="18"/>
                <w:szCs w:val="18"/>
              </w:rPr>
              <w:t>mi z provozního modulu</w:t>
            </w:r>
          </w:p>
        </w:tc>
      </w:tr>
      <w:tr w:rsidR="00C03AF4" w:rsidRPr="00790C8D" w14:paraId="5FE48629" w14:textId="77777777" w:rsidTr="000F2E84">
        <w:trPr>
          <w:trHeight w:val="300"/>
        </w:trPr>
        <w:tc>
          <w:tcPr>
            <w:tcW w:w="492" w:type="dxa"/>
            <w:tcBorders>
              <w:top w:val="nil"/>
              <w:left w:val="single" w:sz="4" w:space="0" w:color="auto"/>
              <w:bottom w:val="single" w:sz="4" w:space="0" w:color="auto"/>
              <w:right w:val="single" w:sz="4" w:space="0" w:color="auto"/>
            </w:tcBorders>
            <w:shd w:val="clear" w:color="auto" w:fill="auto"/>
            <w:hideMark/>
          </w:tcPr>
          <w:p w14:paraId="1561B1F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A83</w:t>
            </w:r>
          </w:p>
        </w:tc>
        <w:tc>
          <w:tcPr>
            <w:tcW w:w="1166" w:type="dxa"/>
            <w:tcBorders>
              <w:top w:val="nil"/>
              <w:left w:val="nil"/>
              <w:bottom w:val="single" w:sz="4" w:space="0" w:color="auto"/>
              <w:right w:val="single" w:sz="4" w:space="0" w:color="auto"/>
            </w:tcBorders>
            <w:shd w:val="clear" w:color="auto" w:fill="auto"/>
            <w:hideMark/>
          </w:tcPr>
          <w:p w14:paraId="5FF4D7F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4F0F433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Ruční pořízení faktur</w:t>
            </w:r>
          </w:p>
        </w:tc>
        <w:tc>
          <w:tcPr>
            <w:tcW w:w="1072" w:type="dxa"/>
            <w:tcBorders>
              <w:top w:val="nil"/>
              <w:left w:val="nil"/>
              <w:bottom w:val="single" w:sz="4" w:space="0" w:color="auto"/>
              <w:right w:val="single" w:sz="4" w:space="0" w:color="auto"/>
            </w:tcBorders>
            <w:shd w:val="clear" w:color="auto" w:fill="auto"/>
            <w:hideMark/>
          </w:tcPr>
          <w:p w14:paraId="1792F00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7B0DE10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5E7DB542"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179F935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Ruční pořízení a editace faktur je standardní funkčností systému</w:t>
            </w:r>
          </w:p>
        </w:tc>
      </w:tr>
      <w:tr w:rsidR="00C03AF4" w:rsidRPr="00790C8D" w14:paraId="644732FD"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5CFBC203"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A84</w:t>
            </w:r>
          </w:p>
        </w:tc>
        <w:tc>
          <w:tcPr>
            <w:tcW w:w="1166" w:type="dxa"/>
            <w:tcBorders>
              <w:top w:val="nil"/>
              <w:left w:val="nil"/>
              <w:bottom w:val="single" w:sz="4" w:space="0" w:color="auto"/>
              <w:right w:val="single" w:sz="4" w:space="0" w:color="auto"/>
            </w:tcBorders>
            <w:shd w:val="clear" w:color="auto" w:fill="auto"/>
            <w:hideMark/>
          </w:tcPr>
          <w:p w14:paraId="414ED53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257" w:type="dxa"/>
            <w:tcBorders>
              <w:top w:val="nil"/>
              <w:left w:val="nil"/>
              <w:bottom w:val="single" w:sz="4" w:space="0" w:color="auto"/>
              <w:right w:val="single" w:sz="4" w:space="0" w:color="auto"/>
            </w:tcBorders>
            <w:shd w:val="clear" w:color="auto" w:fill="auto"/>
            <w:hideMark/>
          </w:tcPr>
          <w:p w14:paraId="0857716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Možnost načtení elektronických faktur ve formátu ISDOC</w:t>
            </w:r>
          </w:p>
        </w:tc>
        <w:tc>
          <w:tcPr>
            <w:tcW w:w="1072" w:type="dxa"/>
            <w:tcBorders>
              <w:top w:val="nil"/>
              <w:left w:val="nil"/>
              <w:bottom w:val="single" w:sz="4" w:space="0" w:color="auto"/>
              <w:right w:val="single" w:sz="4" w:space="0" w:color="auto"/>
            </w:tcBorders>
            <w:shd w:val="clear" w:color="auto" w:fill="auto"/>
            <w:hideMark/>
          </w:tcPr>
          <w:p w14:paraId="1DA774DC"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3C3AE4F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3A6F287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570D278"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Systém umí načítat FD z formátu ISDOC a také z obou nových formátů EU.</w:t>
            </w:r>
            <w:r w:rsidRPr="00EA675E">
              <w:rPr>
                <w:rFonts w:asciiTheme="minorHAnsi" w:hAnsiTheme="minorHAnsi" w:cstheme="minorHAnsi"/>
                <w:sz w:val="18"/>
                <w:szCs w:val="18"/>
              </w:rPr>
              <w:br/>
              <w:t>Obdobně systém podporuje tvorbu FV v ISDOC</w:t>
            </w:r>
          </w:p>
        </w:tc>
      </w:tr>
      <w:tr w:rsidR="00C03AF4" w:rsidRPr="00790C8D" w14:paraId="24DEE45C" w14:textId="77777777" w:rsidTr="000F2E84">
        <w:trPr>
          <w:trHeight w:val="900"/>
        </w:trPr>
        <w:tc>
          <w:tcPr>
            <w:tcW w:w="492" w:type="dxa"/>
            <w:tcBorders>
              <w:top w:val="nil"/>
              <w:left w:val="single" w:sz="4" w:space="0" w:color="auto"/>
              <w:bottom w:val="single" w:sz="4" w:space="0" w:color="auto"/>
              <w:right w:val="single" w:sz="4" w:space="0" w:color="auto"/>
            </w:tcBorders>
            <w:shd w:val="clear" w:color="auto" w:fill="auto"/>
            <w:hideMark/>
          </w:tcPr>
          <w:p w14:paraId="1A7BF53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A85</w:t>
            </w:r>
          </w:p>
        </w:tc>
        <w:tc>
          <w:tcPr>
            <w:tcW w:w="1166" w:type="dxa"/>
            <w:tcBorders>
              <w:top w:val="nil"/>
              <w:left w:val="nil"/>
              <w:bottom w:val="single" w:sz="4" w:space="0" w:color="auto"/>
              <w:right w:val="single" w:sz="4" w:space="0" w:color="auto"/>
            </w:tcBorders>
            <w:shd w:val="clear" w:color="auto" w:fill="auto"/>
            <w:hideMark/>
          </w:tcPr>
          <w:p w14:paraId="207C237E"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Plán</w:t>
            </w:r>
          </w:p>
        </w:tc>
        <w:tc>
          <w:tcPr>
            <w:tcW w:w="2257" w:type="dxa"/>
            <w:tcBorders>
              <w:top w:val="nil"/>
              <w:left w:val="nil"/>
              <w:bottom w:val="single" w:sz="4" w:space="0" w:color="auto"/>
              <w:right w:val="single" w:sz="4" w:space="0" w:color="auto"/>
            </w:tcBorders>
            <w:shd w:val="clear" w:color="auto" w:fill="auto"/>
            <w:hideMark/>
          </w:tcPr>
          <w:p w14:paraId="556A55B0"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import plánu (rozpočtu) do výstupních sestav - soubor xls, csv</w:t>
            </w:r>
          </w:p>
        </w:tc>
        <w:tc>
          <w:tcPr>
            <w:tcW w:w="1072" w:type="dxa"/>
            <w:tcBorders>
              <w:top w:val="nil"/>
              <w:left w:val="nil"/>
              <w:bottom w:val="single" w:sz="4" w:space="0" w:color="auto"/>
              <w:right w:val="single" w:sz="4" w:space="0" w:color="auto"/>
            </w:tcBorders>
            <w:shd w:val="clear" w:color="auto" w:fill="auto"/>
            <w:hideMark/>
          </w:tcPr>
          <w:p w14:paraId="6B6634A0"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4AFDC959"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0522327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0BF72F5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Součástí dodávky je modul Finanční plánování, ve kterém bude nastavena funkcionalita pro tvorbu a sp</w:t>
            </w:r>
            <w:r w:rsidRPr="00790C8D">
              <w:rPr>
                <w:rFonts w:asciiTheme="minorHAnsi" w:hAnsiTheme="minorHAnsi" w:cstheme="minorHAnsi"/>
                <w:sz w:val="18"/>
                <w:szCs w:val="18"/>
              </w:rPr>
              <w:t>r</w:t>
            </w:r>
            <w:r w:rsidRPr="00EA675E">
              <w:rPr>
                <w:rFonts w:asciiTheme="minorHAnsi" w:hAnsiTheme="minorHAnsi" w:cstheme="minorHAnsi"/>
                <w:sz w:val="18"/>
                <w:szCs w:val="18"/>
              </w:rPr>
              <w:t>ávu finančních plánů. Import položek</w:t>
            </w:r>
            <w:r w:rsidRPr="00790C8D">
              <w:rPr>
                <w:rFonts w:asciiTheme="minorHAnsi" w:hAnsiTheme="minorHAnsi" w:cstheme="minorHAnsi"/>
                <w:sz w:val="18"/>
                <w:szCs w:val="18"/>
              </w:rPr>
              <w:t xml:space="preserve"> </w:t>
            </w:r>
            <w:r w:rsidRPr="00EA675E">
              <w:rPr>
                <w:rFonts w:asciiTheme="minorHAnsi" w:hAnsiTheme="minorHAnsi" w:cstheme="minorHAnsi"/>
                <w:sz w:val="18"/>
                <w:szCs w:val="18"/>
              </w:rPr>
              <w:t>FP půjde provádět z dohodnutého formátu Excel</w:t>
            </w:r>
          </w:p>
        </w:tc>
      </w:tr>
      <w:tr w:rsidR="00C03AF4" w:rsidRPr="00790C8D" w14:paraId="6BA748AF" w14:textId="77777777" w:rsidTr="000F2E84">
        <w:trPr>
          <w:trHeight w:val="600"/>
        </w:trPr>
        <w:tc>
          <w:tcPr>
            <w:tcW w:w="492" w:type="dxa"/>
            <w:tcBorders>
              <w:top w:val="nil"/>
              <w:left w:val="single" w:sz="4" w:space="0" w:color="auto"/>
              <w:bottom w:val="single" w:sz="4" w:space="0" w:color="auto"/>
              <w:right w:val="single" w:sz="4" w:space="0" w:color="auto"/>
            </w:tcBorders>
            <w:shd w:val="clear" w:color="auto" w:fill="auto"/>
            <w:hideMark/>
          </w:tcPr>
          <w:p w14:paraId="15EB5E2A"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A86</w:t>
            </w:r>
          </w:p>
        </w:tc>
        <w:tc>
          <w:tcPr>
            <w:tcW w:w="1166" w:type="dxa"/>
            <w:tcBorders>
              <w:top w:val="nil"/>
              <w:left w:val="nil"/>
              <w:bottom w:val="single" w:sz="4" w:space="0" w:color="auto"/>
              <w:right w:val="single" w:sz="4" w:space="0" w:color="auto"/>
            </w:tcBorders>
            <w:shd w:val="clear" w:color="auto" w:fill="auto"/>
            <w:hideMark/>
          </w:tcPr>
          <w:p w14:paraId="01882257"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Pošta</w:t>
            </w:r>
          </w:p>
        </w:tc>
        <w:tc>
          <w:tcPr>
            <w:tcW w:w="2257" w:type="dxa"/>
            <w:tcBorders>
              <w:top w:val="nil"/>
              <w:left w:val="nil"/>
              <w:bottom w:val="single" w:sz="4" w:space="0" w:color="auto"/>
              <w:right w:val="single" w:sz="4" w:space="0" w:color="auto"/>
            </w:tcBorders>
            <w:shd w:val="clear" w:color="auto" w:fill="auto"/>
            <w:hideMark/>
          </w:tcPr>
          <w:p w14:paraId="5E9A161B"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Evidence došlé a odeslané pošty</w:t>
            </w:r>
          </w:p>
        </w:tc>
        <w:tc>
          <w:tcPr>
            <w:tcW w:w="1072" w:type="dxa"/>
            <w:tcBorders>
              <w:top w:val="nil"/>
              <w:left w:val="nil"/>
              <w:bottom w:val="single" w:sz="4" w:space="0" w:color="auto"/>
              <w:right w:val="single" w:sz="4" w:space="0" w:color="auto"/>
            </w:tcBorders>
            <w:shd w:val="clear" w:color="auto" w:fill="auto"/>
            <w:hideMark/>
          </w:tcPr>
          <w:p w14:paraId="584EF3FB" w14:textId="77777777" w:rsidR="00C03AF4" w:rsidRPr="00EA675E" w:rsidRDefault="00C03AF4" w:rsidP="000F2E84">
            <w:pPr>
              <w:jc w:val="center"/>
              <w:rPr>
                <w:rFonts w:asciiTheme="minorHAnsi" w:hAnsiTheme="minorHAnsi" w:cstheme="minorHAnsi"/>
                <w:sz w:val="18"/>
                <w:szCs w:val="18"/>
              </w:rPr>
            </w:pPr>
            <w:r w:rsidRPr="00EA675E">
              <w:rPr>
                <w:rFonts w:asciiTheme="minorHAnsi" w:hAnsiTheme="minorHAnsi" w:cstheme="minorHAnsi"/>
                <w:sz w:val="18"/>
                <w:szCs w:val="18"/>
              </w:rPr>
              <w:t>ANO</w:t>
            </w:r>
          </w:p>
        </w:tc>
        <w:tc>
          <w:tcPr>
            <w:tcW w:w="917" w:type="dxa"/>
            <w:tcBorders>
              <w:top w:val="nil"/>
              <w:left w:val="nil"/>
              <w:bottom w:val="single" w:sz="4" w:space="0" w:color="auto"/>
              <w:right w:val="single" w:sz="4" w:space="0" w:color="auto"/>
            </w:tcBorders>
            <w:shd w:val="clear" w:color="auto" w:fill="auto"/>
            <w:hideMark/>
          </w:tcPr>
          <w:p w14:paraId="67F2D83F"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6A5ED096"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 </w:t>
            </w:r>
          </w:p>
        </w:tc>
        <w:tc>
          <w:tcPr>
            <w:tcW w:w="2468" w:type="dxa"/>
            <w:tcBorders>
              <w:top w:val="nil"/>
              <w:left w:val="nil"/>
              <w:bottom w:val="single" w:sz="4" w:space="0" w:color="auto"/>
              <w:right w:val="single" w:sz="4" w:space="0" w:color="auto"/>
            </w:tcBorders>
            <w:shd w:val="clear" w:color="auto" w:fill="auto"/>
            <w:hideMark/>
          </w:tcPr>
          <w:p w14:paraId="5274F351" w14:textId="77777777" w:rsidR="00C03AF4" w:rsidRPr="00EA675E" w:rsidRDefault="00C03AF4" w:rsidP="000F2E84">
            <w:pPr>
              <w:rPr>
                <w:rFonts w:asciiTheme="minorHAnsi" w:hAnsiTheme="minorHAnsi" w:cstheme="minorHAnsi"/>
                <w:sz w:val="18"/>
                <w:szCs w:val="18"/>
              </w:rPr>
            </w:pPr>
            <w:r w:rsidRPr="00EA675E">
              <w:rPr>
                <w:rFonts w:asciiTheme="minorHAnsi" w:hAnsiTheme="minorHAnsi" w:cstheme="minorHAnsi"/>
                <w:sz w:val="18"/>
                <w:szCs w:val="18"/>
              </w:rPr>
              <w:t>Pro jednoduchou evidenci došlé a odchozí pošt jsou k dispozici třídy Došlá pošty a Odchozí po</w:t>
            </w:r>
            <w:r w:rsidRPr="00790C8D">
              <w:rPr>
                <w:rFonts w:asciiTheme="minorHAnsi" w:hAnsiTheme="minorHAnsi" w:cstheme="minorHAnsi"/>
                <w:sz w:val="18"/>
                <w:szCs w:val="18"/>
              </w:rPr>
              <w:t>š</w:t>
            </w:r>
            <w:r w:rsidRPr="00EA675E">
              <w:rPr>
                <w:rFonts w:asciiTheme="minorHAnsi" w:hAnsiTheme="minorHAnsi" w:cstheme="minorHAnsi"/>
                <w:sz w:val="18"/>
                <w:szCs w:val="18"/>
              </w:rPr>
              <w:t>ta.</w:t>
            </w:r>
          </w:p>
        </w:tc>
      </w:tr>
    </w:tbl>
    <w:p w14:paraId="0B9C4EC0" w14:textId="77777777" w:rsidR="00C03AF4" w:rsidRDefault="00C03AF4" w:rsidP="00C03AF4">
      <w:pPr>
        <w:jc w:val="both"/>
        <w:rPr>
          <w:rFonts w:ascii="Verdana" w:hAnsi="Verdana" w:cs="Arial"/>
          <w:sz w:val="20"/>
          <w:szCs w:val="20"/>
        </w:rPr>
      </w:pPr>
    </w:p>
    <w:p w14:paraId="0685C1E4" w14:textId="77777777" w:rsidR="00C03AF4" w:rsidRPr="007E3A9B" w:rsidRDefault="00C03AF4" w:rsidP="00C03AF4">
      <w:pPr>
        <w:pStyle w:val="Zkladntext31"/>
        <w:rPr>
          <w:rFonts w:eastAsia="Calibri"/>
          <w:b/>
        </w:rPr>
      </w:pPr>
      <w:r w:rsidRPr="007E3A9B">
        <w:rPr>
          <w:rFonts w:eastAsia="Calibri"/>
          <w:b/>
        </w:rPr>
        <w:t>Majetek</w:t>
      </w:r>
    </w:p>
    <w:tbl>
      <w:tblPr>
        <w:tblW w:w="9493" w:type="dxa"/>
        <w:tblInd w:w="75" w:type="dxa"/>
        <w:tblCellMar>
          <w:left w:w="70" w:type="dxa"/>
          <w:right w:w="70" w:type="dxa"/>
        </w:tblCellMar>
        <w:tblLook w:val="04A0" w:firstRow="1" w:lastRow="0" w:firstColumn="1" w:lastColumn="0" w:noHBand="0" w:noVBand="1"/>
      </w:tblPr>
      <w:tblGrid>
        <w:gridCol w:w="428"/>
        <w:gridCol w:w="1127"/>
        <w:gridCol w:w="2268"/>
        <w:gridCol w:w="1134"/>
        <w:gridCol w:w="992"/>
        <w:gridCol w:w="1134"/>
        <w:gridCol w:w="2410"/>
      </w:tblGrid>
      <w:tr w:rsidR="00C03AF4" w:rsidRPr="007E3A9B" w14:paraId="0F9D3FE4" w14:textId="77777777" w:rsidTr="000F2E84">
        <w:trPr>
          <w:trHeight w:val="60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C0CC3"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P.Č.</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03272E0"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Oblast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A6DD3A4"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Požadavek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5D135F"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Splněno ve standardu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CE05A"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Splněno vývojem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F7C96A"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Nesplněno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F6D6D9"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Popis způsobu řešení</w:t>
            </w:r>
          </w:p>
        </w:tc>
      </w:tr>
      <w:tr w:rsidR="00C03AF4" w:rsidRPr="007E3A9B" w14:paraId="5664D193" w14:textId="77777777" w:rsidTr="000F2E84">
        <w:trPr>
          <w:trHeight w:val="300"/>
        </w:trPr>
        <w:tc>
          <w:tcPr>
            <w:tcW w:w="428" w:type="dxa"/>
            <w:tcBorders>
              <w:top w:val="nil"/>
              <w:left w:val="single" w:sz="4" w:space="0" w:color="auto"/>
              <w:bottom w:val="single" w:sz="4" w:space="0" w:color="auto"/>
              <w:right w:val="single" w:sz="4" w:space="0" w:color="auto"/>
            </w:tcBorders>
            <w:shd w:val="clear" w:color="auto" w:fill="auto"/>
            <w:hideMark/>
          </w:tcPr>
          <w:p w14:paraId="1EA8C76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w:t>
            </w:r>
          </w:p>
        </w:tc>
        <w:tc>
          <w:tcPr>
            <w:tcW w:w="1127" w:type="dxa"/>
            <w:tcBorders>
              <w:top w:val="nil"/>
              <w:left w:val="nil"/>
              <w:bottom w:val="single" w:sz="4" w:space="0" w:color="auto"/>
              <w:right w:val="single" w:sz="4" w:space="0" w:color="auto"/>
            </w:tcBorders>
            <w:shd w:val="clear" w:color="auto" w:fill="auto"/>
            <w:hideMark/>
          </w:tcPr>
          <w:p w14:paraId="4BF57488" w14:textId="77777777" w:rsidR="00C03AF4" w:rsidRPr="007E3A9B" w:rsidRDefault="00C03AF4" w:rsidP="000F2E84">
            <w:pPr>
              <w:rPr>
                <w:rFonts w:asciiTheme="minorHAnsi" w:hAnsiTheme="minorHAnsi" w:cstheme="minorHAnsi"/>
                <w:b/>
                <w:bCs/>
                <w:sz w:val="18"/>
                <w:szCs w:val="18"/>
                <w:u w:val="single"/>
              </w:rPr>
            </w:pPr>
            <w:r w:rsidRPr="007E3A9B">
              <w:rPr>
                <w:rFonts w:asciiTheme="minorHAnsi" w:hAnsiTheme="minorHAnsi" w:cstheme="minorHAnsi"/>
                <w:b/>
                <w:bCs/>
                <w:sz w:val="18"/>
                <w:szCs w:val="18"/>
                <w:u w:val="single"/>
              </w:rPr>
              <w:t>Majetek</w:t>
            </w:r>
          </w:p>
        </w:tc>
        <w:tc>
          <w:tcPr>
            <w:tcW w:w="2268" w:type="dxa"/>
            <w:tcBorders>
              <w:top w:val="nil"/>
              <w:left w:val="nil"/>
              <w:bottom w:val="single" w:sz="4" w:space="0" w:color="auto"/>
              <w:right w:val="single" w:sz="4" w:space="0" w:color="auto"/>
            </w:tcBorders>
            <w:shd w:val="clear" w:color="auto" w:fill="auto"/>
            <w:hideMark/>
          </w:tcPr>
          <w:p w14:paraId="22846A43" w14:textId="77777777" w:rsidR="00C03AF4" w:rsidRPr="007E3A9B" w:rsidRDefault="00C03AF4" w:rsidP="000F2E84">
            <w:pPr>
              <w:rPr>
                <w:rFonts w:asciiTheme="minorHAnsi" w:hAnsiTheme="minorHAnsi" w:cstheme="minorHAnsi"/>
                <w:b/>
                <w:bCs/>
                <w:sz w:val="18"/>
                <w:szCs w:val="18"/>
                <w:u w:val="single"/>
              </w:rPr>
            </w:pPr>
            <w:r w:rsidRPr="007E3A9B">
              <w:rPr>
                <w:rFonts w:asciiTheme="minorHAnsi" w:hAnsiTheme="minorHAnsi" w:cstheme="minorHAnsi"/>
                <w:b/>
                <w:bCs/>
                <w:sz w:val="18"/>
                <w:szCs w:val="18"/>
                <w:u w:val="single"/>
              </w:rPr>
              <w:t> </w:t>
            </w:r>
          </w:p>
        </w:tc>
        <w:tc>
          <w:tcPr>
            <w:tcW w:w="1134" w:type="dxa"/>
            <w:tcBorders>
              <w:top w:val="nil"/>
              <w:left w:val="nil"/>
              <w:bottom w:val="single" w:sz="4" w:space="0" w:color="auto"/>
              <w:right w:val="single" w:sz="4" w:space="0" w:color="auto"/>
            </w:tcBorders>
            <w:shd w:val="clear" w:color="auto" w:fill="auto"/>
            <w:hideMark/>
          </w:tcPr>
          <w:p w14:paraId="4CED528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4784A64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6EB5DA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4E74156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r>
      <w:tr w:rsidR="00C03AF4" w:rsidRPr="007E3A9B" w14:paraId="79C8742B"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74C8DC1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B2</w:t>
            </w:r>
          </w:p>
        </w:tc>
        <w:tc>
          <w:tcPr>
            <w:tcW w:w="1127" w:type="dxa"/>
            <w:tcBorders>
              <w:top w:val="nil"/>
              <w:left w:val="nil"/>
              <w:bottom w:val="single" w:sz="4" w:space="0" w:color="auto"/>
              <w:right w:val="single" w:sz="4" w:space="0" w:color="auto"/>
            </w:tcBorders>
            <w:shd w:val="clear" w:color="auto" w:fill="auto"/>
            <w:hideMark/>
          </w:tcPr>
          <w:p w14:paraId="58B0BA4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Základní funkce</w:t>
            </w:r>
          </w:p>
        </w:tc>
        <w:tc>
          <w:tcPr>
            <w:tcW w:w="2268" w:type="dxa"/>
            <w:tcBorders>
              <w:top w:val="nil"/>
              <w:left w:val="nil"/>
              <w:bottom w:val="single" w:sz="4" w:space="0" w:color="auto"/>
              <w:right w:val="single" w:sz="4" w:space="0" w:color="auto"/>
            </w:tcBorders>
            <w:shd w:val="clear" w:color="auto" w:fill="auto"/>
            <w:hideMark/>
          </w:tcPr>
          <w:p w14:paraId="0EE6C76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Modul pro vedení evidencí majetku je integrovanou součástí systému.</w:t>
            </w:r>
          </w:p>
        </w:tc>
        <w:tc>
          <w:tcPr>
            <w:tcW w:w="1134" w:type="dxa"/>
            <w:tcBorders>
              <w:top w:val="nil"/>
              <w:left w:val="nil"/>
              <w:bottom w:val="single" w:sz="4" w:space="0" w:color="auto"/>
              <w:right w:val="single" w:sz="4" w:space="0" w:color="auto"/>
            </w:tcBorders>
            <w:shd w:val="clear" w:color="auto" w:fill="auto"/>
            <w:hideMark/>
          </w:tcPr>
          <w:p w14:paraId="467C8832"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3281AE7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40F164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41D7403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Modul Majetek je součástí systému Helios s přímou vazbou na účetnictví.</w:t>
            </w:r>
          </w:p>
        </w:tc>
      </w:tr>
      <w:tr w:rsidR="00C03AF4" w:rsidRPr="007E3A9B" w14:paraId="50BB8268"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1A1D9A2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B3</w:t>
            </w:r>
          </w:p>
        </w:tc>
        <w:tc>
          <w:tcPr>
            <w:tcW w:w="1127" w:type="dxa"/>
            <w:tcBorders>
              <w:top w:val="nil"/>
              <w:left w:val="nil"/>
              <w:bottom w:val="single" w:sz="4" w:space="0" w:color="auto"/>
              <w:right w:val="single" w:sz="4" w:space="0" w:color="auto"/>
            </w:tcBorders>
            <w:shd w:val="clear" w:color="auto" w:fill="auto"/>
            <w:hideMark/>
          </w:tcPr>
          <w:p w14:paraId="7CB049E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20FD41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Vedení evidencí majetku musí poskytovat věrný obraz o majetku společnosti.</w:t>
            </w:r>
          </w:p>
        </w:tc>
        <w:tc>
          <w:tcPr>
            <w:tcW w:w="1134" w:type="dxa"/>
            <w:tcBorders>
              <w:top w:val="nil"/>
              <w:left w:val="nil"/>
              <w:bottom w:val="single" w:sz="4" w:space="0" w:color="auto"/>
              <w:right w:val="single" w:sz="4" w:space="0" w:color="auto"/>
            </w:tcBorders>
            <w:shd w:val="clear" w:color="auto" w:fill="auto"/>
            <w:hideMark/>
          </w:tcPr>
          <w:p w14:paraId="04479660"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4960A09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AFC9D4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682AE5B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Vedení evidence majetku v Helios poskytuje obraz o stavu majetku a jeho aktuální hodnoty, které je podporováno tvorbou měsíčních závěrek a zápisem hodnot majetku do tzv. registrů.</w:t>
            </w:r>
          </w:p>
        </w:tc>
      </w:tr>
      <w:tr w:rsidR="00C03AF4" w:rsidRPr="007E3A9B" w14:paraId="5F096880" w14:textId="77777777" w:rsidTr="000F2E84">
        <w:trPr>
          <w:trHeight w:val="1800"/>
        </w:trPr>
        <w:tc>
          <w:tcPr>
            <w:tcW w:w="428" w:type="dxa"/>
            <w:tcBorders>
              <w:top w:val="nil"/>
              <w:left w:val="single" w:sz="4" w:space="0" w:color="auto"/>
              <w:bottom w:val="single" w:sz="4" w:space="0" w:color="auto"/>
              <w:right w:val="single" w:sz="4" w:space="0" w:color="auto"/>
            </w:tcBorders>
            <w:shd w:val="clear" w:color="auto" w:fill="auto"/>
            <w:hideMark/>
          </w:tcPr>
          <w:p w14:paraId="4486C35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B4</w:t>
            </w:r>
          </w:p>
        </w:tc>
        <w:tc>
          <w:tcPr>
            <w:tcW w:w="1127" w:type="dxa"/>
            <w:tcBorders>
              <w:top w:val="nil"/>
              <w:left w:val="nil"/>
              <w:bottom w:val="single" w:sz="4" w:space="0" w:color="auto"/>
              <w:right w:val="single" w:sz="4" w:space="0" w:color="auto"/>
            </w:tcBorders>
            <w:shd w:val="clear" w:color="auto" w:fill="auto"/>
            <w:hideMark/>
          </w:tcPr>
          <w:p w14:paraId="00FFFE1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7C2FE3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Modul Majetek musí umožňovat evidenci majetku, účetní a daňové odpisy, odpisový plán, inventurní seznamy v členění podle středisek, místností a odpovědných osob.</w:t>
            </w:r>
          </w:p>
        </w:tc>
        <w:tc>
          <w:tcPr>
            <w:tcW w:w="1134" w:type="dxa"/>
            <w:tcBorders>
              <w:top w:val="nil"/>
              <w:left w:val="nil"/>
              <w:bottom w:val="single" w:sz="4" w:space="0" w:color="auto"/>
              <w:right w:val="single" w:sz="4" w:space="0" w:color="auto"/>
            </w:tcBorders>
            <w:shd w:val="clear" w:color="auto" w:fill="auto"/>
            <w:hideMark/>
          </w:tcPr>
          <w:p w14:paraId="0E9F3942"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0D645DB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E6AF21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47D55AC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Modul Majetek Helios podporuje vedení evidencí všech druhů majetku podle platné legislativy a potřeb zákazníka.</w:t>
            </w:r>
            <w:r w:rsidRPr="007E3A9B">
              <w:rPr>
                <w:rFonts w:asciiTheme="minorHAnsi" w:hAnsiTheme="minorHAnsi" w:cstheme="minorHAnsi"/>
                <w:sz w:val="18"/>
                <w:szCs w:val="18"/>
              </w:rPr>
              <w:br/>
              <w:t>Součástí standardní funkčnosti jsou účetní i daňové odpisy.</w:t>
            </w:r>
            <w:r w:rsidRPr="007E3A9B">
              <w:rPr>
                <w:rFonts w:asciiTheme="minorHAnsi" w:hAnsiTheme="minorHAnsi" w:cstheme="minorHAnsi"/>
                <w:sz w:val="18"/>
                <w:szCs w:val="18"/>
              </w:rPr>
              <w:br/>
              <w:t xml:space="preserve">Modul podporuje tvorbu </w:t>
            </w:r>
            <w:r w:rsidRPr="007E3A9B">
              <w:rPr>
                <w:rFonts w:asciiTheme="minorHAnsi" w:hAnsiTheme="minorHAnsi" w:cstheme="minorHAnsi"/>
                <w:sz w:val="18"/>
                <w:szCs w:val="18"/>
              </w:rPr>
              <w:lastRenderedPageBreak/>
              <w:t>odpisových plánů.</w:t>
            </w:r>
            <w:r w:rsidRPr="007E3A9B">
              <w:rPr>
                <w:rFonts w:asciiTheme="minorHAnsi" w:hAnsiTheme="minorHAnsi" w:cstheme="minorHAnsi"/>
                <w:sz w:val="18"/>
                <w:szCs w:val="18"/>
              </w:rPr>
              <w:br/>
              <w:t>Inventurní seznamy lze členit podle středisek, místností i odpovědných osob.</w:t>
            </w:r>
          </w:p>
        </w:tc>
      </w:tr>
      <w:tr w:rsidR="00C03AF4" w:rsidRPr="007E3A9B" w14:paraId="6B97CB29"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06FAE44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lastRenderedPageBreak/>
              <w:t>B5</w:t>
            </w:r>
          </w:p>
        </w:tc>
        <w:tc>
          <w:tcPr>
            <w:tcW w:w="1127" w:type="dxa"/>
            <w:tcBorders>
              <w:top w:val="nil"/>
              <w:left w:val="nil"/>
              <w:bottom w:val="single" w:sz="4" w:space="0" w:color="auto"/>
              <w:right w:val="single" w:sz="4" w:space="0" w:color="auto"/>
            </w:tcBorders>
            <w:shd w:val="clear" w:color="auto" w:fill="auto"/>
            <w:hideMark/>
          </w:tcPr>
          <w:p w14:paraId="621408E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35A5631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Automatická tvorba protokolů podle životního cyklu: protokoly k pohybům majetku a jejich vzory bude možné upravit podle potřeb organizace, zejména Zařazovací protokol, Vyřazovací protokol, Změna vstupní ceny, Předávací protokol, Technické zhodnocení.</w:t>
            </w:r>
          </w:p>
        </w:tc>
        <w:tc>
          <w:tcPr>
            <w:tcW w:w="1134" w:type="dxa"/>
            <w:tcBorders>
              <w:top w:val="nil"/>
              <w:left w:val="nil"/>
              <w:bottom w:val="single" w:sz="4" w:space="0" w:color="auto"/>
              <w:right w:val="single" w:sz="4" w:space="0" w:color="auto"/>
            </w:tcBorders>
            <w:shd w:val="clear" w:color="auto" w:fill="auto"/>
            <w:hideMark/>
          </w:tcPr>
          <w:p w14:paraId="24D79B3D"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7E6B2EE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70F23EA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185AB9D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Helios umožňuje vytváření všech požadovaných protokolů s přímou vazbou na pohyby majetku.</w:t>
            </w:r>
          </w:p>
        </w:tc>
      </w:tr>
      <w:tr w:rsidR="00C03AF4" w:rsidRPr="007E3A9B" w14:paraId="4EC8791E"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3959D93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B6</w:t>
            </w:r>
          </w:p>
        </w:tc>
        <w:tc>
          <w:tcPr>
            <w:tcW w:w="1127" w:type="dxa"/>
            <w:tcBorders>
              <w:top w:val="nil"/>
              <w:left w:val="nil"/>
              <w:bottom w:val="single" w:sz="4" w:space="0" w:color="auto"/>
              <w:right w:val="single" w:sz="4" w:space="0" w:color="auto"/>
            </w:tcBorders>
            <w:shd w:val="clear" w:color="auto" w:fill="auto"/>
            <w:hideMark/>
          </w:tcPr>
          <w:p w14:paraId="46EF97A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099DF1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Umožnit podrobnější členění a klasifikaci majetku.</w:t>
            </w:r>
          </w:p>
        </w:tc>
        <w:tc>
          <w:tcPr>
            <w:tcW w:w="1134" w:type="dxa"/>
            <w:tcBorders>
              <w:top w:val="nil"/>
              <w:left w:val="nil"/>
              <w:bottom w:val="single" w:sz="4" w:space="0" w:color="auto"/>
              <w:right w:val="single" w:sz="4" w:space="0" w:color="auto"/>
            </w:tcBorders>
            <w:shd w:val="clear" w:color="auto" w:fill="auto"/>
            <w:hideMark/>
          </w:tcPr>
          <w:p w14:paraId="5A109E78"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4A9C3A1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66D255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043DB80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Majetek je možné členit dle legislativních požadavků, účetních dimenzí a klasifikací majetku, Pro podrobnější členění majetku slouží číselníky, které umožňují hierarchické členění.</w:t>
            </w:r>
          </w:p>
        </w:tc>
      </w:tr>
      <w:tr w:rsidR="00C03AF4" w:rsidRPr="007E3A9B" w14:paraId="225B7FAF"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7BDB58A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B7</w:t>
            </w:r>
          </w:p>
        </w:tc>
        <w:tc>
          <w:tcPr>
            <w:tcW w:w="1127" w:type="dxa"/>
            <w:tcBorders>
              <w:top w:val="nil"/>
              <w:left w:val="nil"/>
              <w:bottom w:val="single" w:sz="4" w:space="0" w:color="auto"/>
              <w:right w:val="single" w:sz="4" w:space="0" w:color="auto"/>
            </w:tcBorders>
            <w:shd w:val="clear" w:color="auto" w:fill="auto"/>
            <w:hideMark/>
          </w:tcPr>
          <w:p w14:paraId="28E5CA7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294834F"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Podpora pro vedení operativní evidence majetku.</w:t>
            </w:r>
          </w:p>
        </w:tc>
        <w:tc>
          <w:tcPr>
            <w:tcW w:w="1134" w:type="dxa"/>
            <w:tcBorders>
              <w:top w:val="nil"/>
              <w:left w:val="nil"/>
              <w:bottom w:val="single" w:sz="4" w:space="0" w:color="auto"/>
              <w:right w:val="single" w:sz="4" w:space="0" w:color="auto"/>
            </w:tcBorders>
            <w:shd w:val="clear" w:color="auto" w:fill="auto"/>
            <w:hideMark/>
          </w:tcPr>
          <w:p w14:paraId="667E25E5"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1080A4E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241E15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246DC64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Součástí modulu Majetek Helios je podpora operativní evidence majetku. Majetek je evidován v pořadačích, které si definuje zadavatel v rámci nasazení systému.</w:t>
            </w:r>
          </w:p>
        </w:tc>
      </w:tr>
      <w:tr w:rsidR="00C03AF4" w:rsidRPr="007E3A9B" w14:paraId="662F1459"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2B3E2EC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B8</w:t>
            </w:r>
          </w:p>
        </w:tc>
        <w:tc>
          <w:tcPr>
            <w:tcW w:w="1127" w:type="dxa"/>
            <w:tcBorders>
              <w:top w:val="nil"/>
              <w:left w:val="nil"/>
              <w:bottom w:val="single" w:sz="4" w:space="0" w:color="auto"/>
              <w:right w:val="single" w:sz="4" w:space="0" w:color="auto"/>
            </w:tcBorders>
            <w:shd w:val="clear" w:color="auto" w:fill="auto"/>
            <w:hideMark/>
          </w:tcPr>
          <w:p w14:paraId="0B951F6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2E1574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Podpora pro evidence souborů movitých věcí.</w:t>
            </w:r>
          </w:p>
        </w:tc>
        <w:tc>
          <w:tcPr>
            <w:tcW w:w="1134" w:type="dxa"/>
            <w:tcBorders>
              <w:top w:val="nil"/>
              <w:left w:val="nil"/>
              <w:bottom w:val="single" w:sz="4" w:space="0" w:color="auto"/>
              <w:right w:val="single" w:sz="4" w:space="0" w:color="auto"/>
            </w:tcBorders>
            <w:shd w:val="clear" w:color="auto" w:fill="auto"/>
            <w:hideMark/>
          </w:tcPr>
          <w:p w14:paraId="49DD26FD"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442D91C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33D446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0076BCA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Helios umožňuje vést evidenci souborů movitých věcí a provádět pohyby jednotlivých komponent těchto souborů.</w:t>
            </w:r>
          </w:p>
        </w:tc>
      </w:tr>
      <w:tr w:rsidR="00C03AF4" w:rsidRPr="007E3A9B" w14:paraId="49ACFBBB"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372C8C7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B9</w:t>
            </w:r>
          </w:p>
        </w:tc>
        <w:tc>
          <w:tcPr>
            <w:tcW w:w="1127" w:type="dxa"/>
            <w:tcBorders>
              <w:top w:val="nil"/>
              <w:left w:val="nil"/>
              <w:bottom w:val="single" w:sz="4" w:space="0" w:color="auto"/>
              <w:right w:val="single" w:sz="4" w:space="0" w:color="auto"/>
            </w:tcBorders>
            <w:shd w:val="clear" w:color="auto" w:fill="auto"/>
            <w:hideMark/>
          </w:tcPr>
          <w:p w14:paraId="4314EF3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52A103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Podpora pro evidence drobného majetku.</w:t>
            </w:r>
          </w:p>
        </w:tc>
        <w:tc>
          <w:tcPr>
            <w:tcW w:w="1134" w:type="dxa"/>
            <w:tcBorders>
              <w:top w:val="nil"/>
              <w:left w:val="nil"/>
              <w:bottom w:val="single" w:sz="4" w:space="0" w:color="auto"/>
              <w:right w:val="single" w:sz="4" w:space="0" w:color="auto"/>
            </w:tcBorders>
            <w:shd w:val="clear" w:color="auto" w:fill="auto"/>
            <w:hideMark/>
          </w:tcPr>
          <w:p w14:paraId="09BCAB6E"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26095D3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04936E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23CB4F4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Drobný majetek se v Helios zpravidla eviduje v pořadačích definovaných zadavatelem v rámci nasazení systému a jsou mu přiřazeny parametry pro odepisování podle vnitřních směrnic organizace.</w:t>
            </w:r>
          </w:p>
        </w:tc>
      </w:tr>
      <w:tr w:rsidR="00C03AF4" w:rsidRPr="007E3A9B" w14:paraId="3B1F4D0B"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0C4223D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B10</w:t>
            </w:r>
          </w:p>
        </w:tc>
        <w:tc>
          <w:tcPr>
            <w:tcW w:w="1127" w:type="dxa"/>
            <w:tcBorders>
              <w:top w:val="nil"/>
              <w:left w:val="nil"/>
              <w:bottom w:val="single" w:sz="4" w:space="0" w:color="auto"/>
              <w:right w:val="single" w:sz="4" w:space="0" w:color="auto"/>
            </w:tcBorders>
            <w:shd w:val="clear" w:color="auto" w:fill="auto"/>
            <w:hideMark/>
          </w:tcPr>
          <w:p w14:paraId="60654F4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299E8F9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Podpora pro evidence cizího majetku bez vazby na odpisy.</w:t>
            </w:r>
          </w:p>
        </w:tc>
        <w:tc>
          <w:tcPr>
            <w:tcW w:w="1134" w:type="dxa"/>
            <w:tcBorders>
              <w:top w:val="nil"/>
              <w:left w:val="nil"/>
              <w:bottom w:val="single" w:sz="4" w:space="0" w:color="auto"/>
              <w:right w:val="single" w:sz="4" w:space="0" w:color="auto"/>
            </w:tcBorders>
            <w:shd w:val="clear" w:color="auto" w:fill="auto"/>
            <w:hideMark/>
          </w:tcPr>
          <w:p w14:paraId="42F83E72"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48806F0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2307B0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18EC44F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 Helios je možné evidovat také cizí majetek, který se účetně ani daňově neodepisuje. Je možné ho zařazovat a spravovat v předem definovaných pořadačích podle konkrétní dohody se zadavatelem.</w:t>
            </w:r>
          </w:p>
        </w:tc>
      </w:tr>
      <w:tr w:rsidR="00C03AF4" w:rsidRPr="007E3A9B" w14:paraId="5093CACE"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3ADB732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B11</w:t>
            </w:r>
          </w:p>
        </w:tc>
        <w:tc>
          <w:tcPr>
            <w:tcW w:w="1127" w:type="dxa"/>
            <w:tcBorders>
              <w:top w:val="nil"/>
              <w:left w:val="nil"/>
              <w:bottom w:val="single" w:sz="4" w:space="0" w:color="auto"/>
              <w:right w:val="single" w:sz="4" w:space="0" w:color="auto"/>
            </w:tcBorders>
            <w:shd w:val="clear" w:color="auto" w:fill="auto"/>
            <w:hideMark/>
          </w:tcPr>
          <w:p w14:paraId="0FDD053F"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2D1EFB3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Podpora pro evidence najatého majetku, včetně majetku v užívání.</w:t>
            </w:r>
          </w:p>
        </w:tc>
        <w:tc>
          <w:tcPr>
            <w:tcW w:w="1134" w:type="dxa"/>
            <w:tcBorders>
              <w:top w:val="nil"/>
              <w:left w:val="nil"/>
              <w:bottom w:val="single" w:sz="4" w:space="0" w:color="auto"/>
              <w:right w:val="single" w:sz="4" w:space="0" w:color="auto"/>
            </w:tcBorders>
            <w:shd w:val="clear" w:color="auto" w:fill="auto"/>
            <w:hideMark/>
          </w:tcPr>
          <w:p w14:paraId="1897F85F"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19201F5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0601E3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0274A96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podporuje evidenci najatého majetku, včetně majetku v užívání</w:t>
            </w:r>
          </w:p>
        </w:tc>
      </w:tr>
      <w:tr w:rsidR="00C03AF4" w:rsidRPr="007E3A9B" w14:paraId="557C910C" w14:textId="77777777" w:rsidTr="000F2E84">
        <w:trPr>
          <w:trHeight w:val="300"/>
        </w:trPr>
        <w:tc>
          <w:tcPr>
            <w:tcW w:w="428" w:type="dxa"/>
            <w:tcBorders>
              <w:top w:val="nil"/>
              <w:left w:val="single" w:sz="4" w:space="0" w:color="auto"/>
              <w:bottom w:val="single" w:sz="4" w:space="0" w:color="auto"/>
              <w:right w:val="single" w:sz="4" w:space="0" w:color="auto"/>
            </w:tcBorders>
            <w:shd w:val="clear" w:color="auto" w:fill="auto"/>
            <w:hideMark/>
          </w:tcPr>
          <w:p w14:paraId="50D828C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B12</w:t>
            </w:r>
          </w:p>
        </w:tc>
        <w:tc>
          <w:tcPr>
            <w:tcW w:w="1127" w:type="dxa"/>
            <w:tcBorders>
              <w:top w:val="nil"/>
              <w:left w:val="nil"/>
              <w:bottom w:val="single" w:sz="4" w:space="0" w:color="auto"/>
              <w:right w:val="single" w:sz="4" w:space="0" w:color="auto"/>
            </w:tcBorders>
            <w:shd w:val="clear" w:color="auto" w:fill="auto"/>
            <w:hideMark/>
          </w:tcPr>
          <w:p w14:paraId="0FA0253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DBFA1A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Umožnit účtování o najatém majetku na podrozvaze.</w:t>
            </w:r>
          </w:p>
        </w:tc>
        <w:tc>
          <w:tcPr>
            <w:tcW w:w="1134" w:type="dxa"/>
            <w:tcBorders>
              <w:top w:val="nil"/>
              <w:left w:val="nil"/>
              <w:bottom w:val="single" w:sz="4" w:space="0" w:color="auto"/>
              <w:right w:val="single" w:sz="4" w:space="0" w:color="auto"/>
            </w:tcBorders>
            <w:shd w:val="clear" w:color="auto" w:fill="auto"/>
            <w:hideMark/>
          </w:tcPr>
          <w:p w14:paraId="0BA9E0EF"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0F26F31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447762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248D22C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w:t>
            </w:r>
            <w:r>
              <w:rPr>
                <w:rFonts w:asciiTheme="minorHAnsi" w:hAnsiTheme="minorHAnsi" w:cstheme="minorHAnsi"/>
                <w:sz w:val="18"/>
                <w:szCs w:val="18"/>
              </w:rPr>
              <w:t>m</w:t>
            </w:r>
            <w:r w:rsidRPr="007E3A9B">
              <w:rPr>
                <w:rFonts w:asciiTheme="minorHAnsi" w:hAnsiTheme="minorHAnsi" w:cstheme="minorHAnsi"/>
                <w:sz w:val="18"/>
                <w:szCs w:val="18"/>
              </w:rPr>
              <w:t xml:space="preserve"> podporuje účtování najatého majetku na podrozvaze</w:t>
            </w:r>
          </w:p>
        </w:tc>
      </w:tr>
      <w:tr w:rsidR="00C03AF4" w:rsidRPr="007E3A9B" w14:paraId="0A1DDD43"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26D5684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B13</w:t>
            </w:r>
          </w:p>
        </w:tc>
        <w:tc>
          <w:tcPr>
            <w:tcW w:w="1127" w:type="dxa"/>
            <w:tcBorders>
              <w:top w:val="nil"/>
              <w:left w:val="nil"/>
              <w:bottom w:val="single" w:sz="4" w:space="0" w:color="auto"/>
              <w:right w:val="single" w:sz="4" w:space="0" w:color="auto"/>
            </w:tcBorders>
            <w:shd w:val="clear" w:color="auto" w:fill="auto"/>
            <w:hideMark/>
          </w:tcPr>
          <w:p w14:paraId="640D58D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6F16C23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Vytváření pohybů majetku a jejich automatické účtování.</w:t>
            </w:r>
          </w:p>
        </w:tc>
        <w:tc>
          <w:tcPr>
            <w:tcW w:w="1134" w:type="dxa"/>
            <w:tcBorders>
              <w:top w:val="nil"/>
              <w:left w:val="nil"/>
              <w:bottom w:val="single" w:sz="4" w:space="0" w:color="auto"/>
              <w:right w:val="single" w:sz="4" w:space="0" w:color="auto"/>
            </w:tcBorders>
            <w:shd w:val="clear" w:color="auto" w:fill="auto"/>
            <w:hideMark/>
          </w:tcPr>
          <w:p w14:paraId="5724BC93"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3763271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71DFBFC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2FCDED8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Helios podporuje tvorbu pohybů majetku a jejich účtování. Automatické účtování je možné nastavit dle požadavků zadavatele pomocí naplánované úlohy na serveru.</w:t>
            </w:r>
          </w:p>
        </w:tc>
      </w:tr>
      <w:tr w:rsidR="00C03AF4" w:rsidRPr="007E3A9B" w14:paraId="2CD87118"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36BE13E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lastRenderedPageBreak/>
              <w:t>B14</w:t>
            </w:r>
          </w:p>
        </w:tc>
        <w:tc>
          <w:tcPr>
            <w:tcW w:w="1127" w:type="dxa"/>
            <w:tcBorders>
              <w:top w:val="nil"/>
              <w:left w:val="nil"/>
              <w:bottom w:val="single" w:sz="4" w:space="0" w:color="auto"/>
              <w:right w:val="single" w:sz="4" w:space="0" w:color="auto"/>
            </w:tcBorders>
            <w:shd w:val="clear" w:color="auto" w:fill="auto"/>
            <w:hideMark/>
          </w:tcPr>
          <w:p w14:paraId="350F5AF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292196D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Sledování historie pohybů majetku.</w:t>
            </w:r>
          </w:p>
        </w:tc>
        <w:tc>
          <w:tcPr>
            <w:tcW w:w="1134" w:type="dxa"/>
            <w:tcBorders>
              <w:top w:val="nil"/>
              <w:left w:val="nil"/>
              <w:bottom w:val="single" w:sz="4" w:space="0" w:color="auto"/>
              <w:right w:val="single" w:sz="4" w:space="0" w:color="auto"/>
            </w:tcBorders>
            <w:shd w:val="clear" w:color="auto" w:fill="auto"/>
            <w:hideMark/>
          </w:tcPr>
          <w:p w14:paraId="08A4792C"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28C92FE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93F7D1F"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23AFDDB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Pro sledování historie pohybů majetku slouží v Helios pořadač  „Pohyby“.</w:t>
            </w:r>
          </w:p>
        </w:tc>
      </w:tr>
      <w:tr w:rsidR="00C03AF4" w:rsidRPr="007E3A9B" w14:paraId="6E64637D"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06777C7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B15</w:t>
            </w:r>
          </w:p>
        </w:tc>
        <w:tc>
          <w:tcPr>
            <w:tcW w:w="1127" w:type="dxa"/>
            <w:tcBorders>
              <w:top w:val="nil"/>
              <w:left w:val="nil"/>
              <w:bottom w:val="single" w:sz="4" w:space="0" w:color="auto"/>
              <w:right w:val="single" w:sz="4" w:space="0" w:color="auto"/>
            </w:tcBorders>
            <w:shd w:val="clear" w:color="auto" w:fill="auto"/>
            <w:hideMark/>
          </w:tcPr>
          <w:p w14:paraId="30EF87E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03E51A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Sledování změn a historie v umístění majetku.</w:t>
            </w:r>
          </w:p>
        </w:tc>
        <w:tc>
          <w:tcPr>
            <w:tcW w:w="1134" w:type="dxa"/>
            <w:tcBorders>
              <w:top w:val="nil"/>
              <w:left w:val="nil"/>
              <w:bottom w:val="single" w:sz="4" w:space="0" w:color="auto"/>
              <w:right w:val="single" w:sz="4" w:space="0" w:color="auto"/>
            </w:tcBorders>
            <w:shd w:val="clear" w:color="auto" w:fill="auto"/>
            <w:hideMark/>
          </w:tcPr>
          <w:p w14:paraId="21CE9915"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0DD37D6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57E391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566150C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Pro sledování historie umístění majetku slouží v Helios pořadač „Umístění“.</w:t>
            </w:r>
          </w:p>
        </w:tc>
      </w:tr>
      <w:tr w:rsidR="00C03AF4" w:rsidRPr="007E3A9B" w14:paraId="45C17B00"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1C49AF0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B16</w:t>
            </w:r>
          </w:p>
        </w:tc>
        <w:tc>
          <w:tcPr>
            <w:tcW w:w="1127" w:type="dxa"/>
            <w:tcBorders>
              <w:top w:val="nil"/>
              <w:left w:val="nil"/>
              <w:bottom w:val="single" w:sz="4" w:space="0" w:color="auto"/>
              <w:right w:val="single" w:sz="4" w:space="0" w:color="auto"/>
            </w:tcBorders>
            <w:shd w:val="clear" w:color="auto" w:fill="auto"/>
            <w:hideMark/>
          </w:tcPr>
          <w:p w14:paraId="51CC08F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B81B84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Umožnit svázat majetek s dohodami o hmotné odpovědnosti pracovníků.</w:t>
            </w:r>
          </w:p>
        </w:tc>
        <w:tc>
          <w:tcPr>
            <w:tcW w:w="1134" w:type="dxa"/>
            <w:tcBorders>
              <w:top w:val="nil"/>
              <w:left w:val="nil"/>
              <w:bottom w:val="single" w:sz="4" w:space="0" w:color="auto"/>
              <w:right w:val="single" w:sz="4" w:space="0" w:color="auto"/>
            </w:tcBorders>
            <w:shd w:val="clear" w:color="auto" w:fill="auto"/>
            <w:hideMark/>
          </w:tcPr>
          <w:p w14:paraId="5A86C0D3"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7EA03A5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3EBE83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6C38452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Helios umožňuje vytvářet vztahy a libovolné objekty v systému.  Tak lze nastavit i vztahy na dohody o hmotné odpovědnosti - viz oblast Personalistika.</w:t>
            </w:r>
          </w:p>
        </w:tc>
      </w:tr>
      <w:tr w:rsidR="00C03AF4" w:rsidRPr="007E3A9B" w14:paraId="7486CED0"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2A9891D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B17</w:t>
            </w:r>
          </w:p>
        </w:tc>
        <w:tc>
          <w:tcPr>
            <w:tcW w:w="1127" w:type="dxa"/>
            <w:tcBorders>
              <w:top w:val="nil"/>
              <w:left w:val="nil"/>
              <w:bottom w:val="single" w:sz="4" w:space="0" w:color="auto"/>
              <w:right w:val="single" w:sz="4" w:space="0" w:color="auto"/>
            </w:tcBorders>
            <w:shd w:val="clear" w:color="auto" w:fill="auto"/>
            <w:hideMark/>
          </w:tcPr>
          <w:p w14:paraId="3A1F624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61095B8F"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Převody majetku v rámci organizace a jejich přeúčtování.</w:t>
            </w:r>
          </w:p>
        </w:tc>
        <w:tc>
          <w:tcPr>
            <w:tcW w:w="1134" w:type="dxa"/>
            <w:tcBorders>
              <w:top w:val="nil"/>
              <w:left w:val="nil"/>
              <w:bottom w:val="single" w:sz="4" w:space="0" w:color="auto"/>
              <w:right w:val="single" w:sz="4" w:space="0" w:color="auto"/>
            </w:tcBorders>
            <w:shd w:val="clear" w:color="auto" w:fill="auto"/>
            <w:hideMark/>
          </w:tcPr>
          <w:p w14:paraId="3F0A7822"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0FAF7B8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A21E4D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615427C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Převody majetku mezi organizačními složkami jsou podporovány automatickým přeúčtováním majetku, při proved</w:t>
            </w:r>
            <w:r>
              <w:rPr>
                <w:rFonts w:asciiTheme="minorHAnsi" w:hAnsiTheme="minorHAnsi" w:cstheme="minorHAnsi"/>
                <w:sz w:val="18"/>
                <w:szCs w:val="18"/>
              </w:rPr>
              <w:t>en</w:t>
            </w:r>
            <w:r w:rsidRPr="007E3A9B">
              <w:rPr>
                <w:rFonts w:asciiTheme="minorHAnsi" w:hAnsiTheme="minorHAnsi" w:cstheme="minorHAnsi"/>
                <w:sz w:val="18"/>
                <w:szCs w:val="18"/>
              </w:rPr>
              <w:t>é změně umístění.</w:t>
            </w:r>
          </w:p>
        </w:tc>
      </w:tr>
      <w:tr w:rsidR="00C03AF4" w:rsidRPr="007E3A9B" w14:paraId="1EFAC0B8"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72B8F36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B18</w:t>
            </w:r>
          </w:p>
        </w:tc>
        <w:tc>
          <w:tcPr>
            <w:tcW w:w="1127" w:type="dxa"/>
            <w:tcBorders>
              <w:top w:val="nil"/>
              <w:left w:val="nil"/>
              <w:bottom w:val="single" w:sz="4" w:space="0" w:color="auto"/>
              <w:right w:val="single" w:sz="4" w:space="0" w:color="auto"/>
            </w:tcBorders>
            <w:shd w:val="clear" w:color="auto" w:fill="auto"/>
            <w:hideMark/>
          </w:tcPr>
          <w:p w14:paraId="3C5DA6C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6FD418B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Tvorba odpisových plánů.</w:t>
            </w:r>
          </w:p>
        </w:tc>
        <w:tc>
          <w:tcPr>
            <w:tcW w:w="1134" w:type="dxa"/>
            <w:tcBorders>
              <w:top w:val="nil"/>
              <w:left w:val="nil"/>
              <w:bottom w:val="single" w:sz="4" w:space="0" w:color="auto"/>
              <w:right w:val="single" w:sz="4" w:space="0" w:color="auto"/>
            </w:tcBorders>
            <w:shd w:val="clear" w:color="auto" w:fill="auto"/>
            <w:hideMark/>
          </w:tcPr>
          <w:p w14:paraId="36C48742"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2C85CF1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46740B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282B44C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Odpisové plány jsou v Helios vytvářeny automaticky při zařazení majetku do užívání.</w:t>
            </w:r>
          </w:p>
        </w:tc>
      </w:tr>
      <w:tr w:rsidR="00C03AF4" w:rsidRPr="007E3A9B" w14:paraId="6036BAF3"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14C0035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B19</w:t>
            </w:r>
          </w:p>
        </w:tc>
        <w:tc>
          <w:tcPr>
            <w:tcW w:w="1127" w:type="dxa"/>
            <w:tcBorders>
              <w:top w:val="nil"/>
              <w:left w:val="nil"/>
              <w:bottom w:val="single" w:sz="4" w:space="0" w:color="auto"/>
              <w:right w:val="single" w:sz="4" w:space="0" w:color="auto"/>
            </w:tcBorders>
            <w:shd w:val="clear" w:color="auto" w:fill="auto"/>
            <w:hideMark/>
          </w:tcPr>
          <w:p w14:paraId="254C4EA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B7181A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Vytváření účetních odpisů a jejich automatické účtování.</w:t>
            </w:r>
          </w:p>
        </w:tc>
        <w:tc>
          <w:tcPr>
            <w:tcW w:w="1134" w:type="dxa"/>
            <w:tcBorders>
              <w:top w:val="nil"/>
              <w:left w:val="nil"/>
              <w:bottom w:val="single" w:sz="4" w:space="0" w:color="auto"/>
              <w:right w:val="single" w:sz="4" w:space="0" w:color="auto"/>
            </w:tcBorders>
            <w:shd w:val="clear" w:color="auto" w:fill="auto"/>
            <w:hideMark/>
          </w:tcPr>
          <w:p w14:paraId="4C86E317"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6DC2CEE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58792A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1D12403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Odpisy jsou v Helios vytvářeny na základě odpisového plánu a automaticky jsou účtovány v rámci měsíční závěrky majetku.</w:t>
            </w:r>
          </w:p>
        </w:tc>
      </w:tr>
      <w:tr w:rsidR="00C03AF4" w:rsidRPr="007E3A9B" w14:paraId="2F03666E"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2EAED9D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B20</w:t>
            </w:r>
          </w:p>
        </w:tc>
        <w:tc>
          <w:tcPr>
            <w:tcW w:w="1127" w:type="dxa"/>
            <w:tcBorders>
              <w:top w:val="nil"/>
              <w:left w:val="nil"/>
              <w:bottom w:val="single" w:sz="4" w:space="0" w:color="auto"/>
              <w:right w:val="single" w:sz="4" w:space="0" w:color="auto"/>
            </w:tcBorders>
            <w:shd w:val="clear" w:color="auto" w:fill="auto"/>
            <w:hideMark/>
          </w:tcPr>
          <w:p w14:paraId="04E8C81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Uzávěrka majetku</w:t>
            </w:r>
          </w:p>
        </w:tc>
        <w:tc>
          <w:tcPr>
            <w:tcW w:w="2268" w:type="dxa"/>
            <w:tcBorders>
              <w:top w:val="nil"/>
              <w:left w:val="nil"/>
              <w:bottom w:val="single" w:sz="4" w:space="0" w:color="auto"/>
              <w:right w:val="single" w:sz="4" w:space="0" w:color="auto"/>
            </w:tcBorders>
            <w:shd w:val="clear" w:color="auto" w:fill="auto"/>
            <w:hideMark/>
          </w:tcPr>
          <w:p w14:paraId="71517EF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Provádění měsíční uzávěrky majetku. Po provedení měsíční uzávěrky není možné modifikovat data uzavřeného měsíce. Měsíční uzávěrku může oprávněný uživatel zrušit a po provedení nutných úprav měsíc opět uzavřít.</w:t>
            </w:r>
          </w:p>
        </w:tc>
        <w:tc>
          <w:tcPr>
            <w:tcW w:w="1134" w:type="dxa"/>
            <w:tcBorders>
              <w:top w:val="nil"/>
              <w:left w:val="nil"/>
              <w:bottom w:val="single" w:sz="4" w:space="0" w:color="auto"/>
              <w:right w:val="single" w:sz="4" w:space="0" w:color="auto"/>
            </w:tcBorders>
            <w:shd w:val="clear" w:color="auto" w:fill="auto"/>
            <w:hideMark/>
          </w:tcPr>
          <w:p w14:paraId="5E808453"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03613FC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4D907D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550EACA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Po provedení měsíční závěrky majetku je majetek nepřístupný pro provádění pohybů majetku. Pro opravy v uzavřené měsíci je možné měsíční závěrku zrušit a provést opravy jedné nebo více karet a opět měsíční závěrku provést.</w:t>
            </w:r>
          </w:p>
        </w:tc>
      </w:tr>
      <w:tr w:rsidR="00C03AF4" w:rsidRPr="007E3A9B" w14:paraId="23A462AE"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307D4DE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B21</w:t>
            </w:r>
          </w:p>
        </w:tc>
        <w:tc>
          <w:tcPr>
            <w:tcW w:w="1127" w:type="dxa"/>
            <w:tcBorders>
              <w:top w:val="nil"/>
              <w:left w:val="nil"/>
              <w:bottom w:val="single" w:sz="4" w:space="0" w:color="auto"/>
              <w:right w:val="single" w:sz="4" w:space="0" w:color="auto"/>
            </w:tcBorders>
            <w:shd w:val="clear" w:color="auto" w:fill="auto"/>
            <w:hideMark/>
          </w:tcPr>
          <w:p w14:paraId="522326E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299879C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Tvorba inventarizačních sestav.</w:t>
            </w:r>
          </w:p>
        </w:tc>
        <w:tc>
          <w:tcPr>
            <w:tcW w:w="1134" w:type="dxa"/>
            <w:tcBorders>
              <w:top w:val="nil"/>
              <w:left w:val="nil"/>
              <w:bottom w:val="single" w:sz="4" w:space="0" w:color="auto"/>
              <w:right w:val="single" w:sz="4" w:space="0" w:color="auto"/>
            </w:tcBorders>
            <w:shd w:val="clear" w:color="auto" w:fill="auto"/>
            <w:hideMark/>
          </w:tcPr>
          <w:p w14:paraId="5983DB65"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32849C5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46D951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1AFE2A2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Nad vytvořenou inventurou existují standardní inventarizační sestavy členěné podle místností a podle osob.</w:t>
            </w:r>
          </w:p>
        </w:tc>
      </w:tr>
      <w:tr w:rsidR="00C03AF4" w:rsidRPr="007E3A9B" w14:paraId="618142E3" w14:textId="77777777" w:rsidTr="000F2E84">
        <w:trPr>
          <w:trHeight w:val="1800"/>
        </w:trPr>
        <w:tc>
          <w:tcPr>
            <w:tcW w:w="428" w:type="dxa"/>
            <w:tcBorders>
              <w:top w:val="nil"/>
              <w:left w:val="single" w:sz="4" w:space="0" w:color="auto"/>
              <w:bottom w:val="single" w:sz="4" w:space="0" w:color="auto"/>
              <w:right w:val="single" w:sz="4" w:space="0" w:color="auto"/>
            </w:tcBorders>
            <w:shd w:val="clear" w:color="auto" w:fill="auto"/>
            <w:hideMark/>
          </w:tcPr>
          <w:p w14:paraId="746A636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B22</w:t>
            </w:r>
          </w:p>
        </w:tc>
        <w:tc>
          <w:tcPr>
            <w:tcW w:w="1127" w:type="dxa"/>
            <w:tcBorders>
              <w:top w:val="nil"/>
              <w:left w:val="nil"/>
              <w:bottom w:val="single" w:sz="4" w:space="0" w:color="auto"/>
              <w:right w:val="single" w:sz="4" w:space="0" w:color="auto"/>
            </w:tcBorders>
            <w:shd w:val="clear" w:color="auto" w:fill="auto"/>
            <w:hideMark/>
          </w:tcPr>
          <w:p w14:paraId="30738CF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BF34B4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Tvorba inventurních dokladů a jejich automatické účtování.</w:t>
            </w:r>
          </w:p>
        </w:tc>
        <w:tc>
          <w:tcPr>
            <w:tcW w:w="1134" w:type="dxa"/>
            <w:tcBorders>
              <w:top w:val="nil"/>
              <w:left w:val="nil"/>
              <w:bottom w:val="single" w:sz="4" w:space="0" w:color="auto"/>
              <w:right w:val="single" w:sz="4" w:space="0" w:color="auto"/>
            </w:tcBorders>
            <w:shd w:val="clear" w:color="auto" w:fill="auto"/>
            <w:hideMark/>
          </w:tcPr>
          <w:p w14:paraId="1F9BA615"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313F2B7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F72C0F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50622DB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xml:space="preserve">Ve vygenerované inventuře lze doplňovat nalezený majetek a položky nenalezené mazat.  </w:t>
            </w:r>
            <w:r w:rsidRPr="007E3A9B">
              <w:rPr>
                <w:rFonts w:asciiTheme="minorHAnsi" w:hAnsiTheme="minorHAnsi" w:cstheme="minorHAnsi"/>
                <w:sz w:val="18"/>
                <w:szCs w:val="18"/>
              </w:rPr>
              <w:br/>
              <w:t xml:space="preserve">Po odsouhlasení inventury a spuštění funkce </w:t>
            </w:r>
            <w:r w:rsidRPr="007E3A9B">
              <w:rPr>
                <w:rFonts w:asciiTheme="minorHAnsi" w:hAnsiTheme="minorHAnsi" w:cstheme="minorHAnsi"/>
                <w:i/>
                <w:iCs/>
                <w:color w:val="000000"/>
                <w:sz w:val="18"/>
                <w:szCs w:val="18"/>
              </w:rPr>
              <w:t>Vytvoření převodek</w:t>
            </w:r>
            <w:r w:rsidRPr="007E3A9B">
              <w:rPr>
                <w:rFonts w:asciiTheme="minorHAnsi" w:hAnsiTheme="minorHAnsi" w:cstheme="minorHAnsi"/>
                <w:color w:val="000000"/>
                <w:sz w:val="18"/>
                <w:szCs w:val="18"/>
              </w:rPr>
              <w:t xml:space="preserve"> dojde k vytvoření změn umístění (pokud byl majetek nalezen na jiném místě). Doklady vzniklé na základě inventury lze automaticky zaúčtovat.</w:t>
            </w:r>
          </w:p>
        </w:tc>
      </w:tr>
    </w:tbl>
    <w:p w14:paraId="36EFE425" w14:textId="77777777" w:rsidR="00C03AF4" w:rsidRDefault="00C03AF4" w:rsidP="00C03AF4">
      <w:pPr>
        <w:jc w:val="both"/>
        <w:rPr>
          <w:rFonts w:ascii="Verdana" w:hAnsi="Verdana" w:cs="Arial"/>
          <w:sz w:val="20"/>
          <w:szCs w:val="20"/>
        </w:rPr>
      </w:pPr>
    </w:p>
    <w:p w14:paraId="2C102593" w14:textId="77777777" w:rsidR="00C03AF4" w:rsidRDefault="00C03AF4" w:rsidP="00C03AF4">
      <w:pPr>
        <w:jc w:val="both"/>
        <w:rPr>
          <w:rFonts w:ascii="Verdana" w:hAnsi="Verdana" w:cs="Arial"/>
          <w:sz w:val="20"/>
          <w:szCs w:val="20"/>
        </w:rPr>
      </w:pPr>
    </w:p>
    <w:p w14:paraId="027E52D8" w14:textId="77777777" w:rsidR="00C03AF4" w:rsidRPr="007E3A9B" w:rsidRDefault="00C03AF4" w:rsidP="00C03AF4">
      <w:pPr>
        <w:pStyle w:val="Zkladntext31"/>
        <w:rPr>
          <w:rFonts w:eastAsia="Calibri"/>
          <w:b/>
        </w:rPr>
      </w:pPr>
      <w:r w:rsidRPr="007E3A9B">
        <w:rPr>
          <w:rFonts w:eastAsia="Calibri"/>
          <w:b/>
        </w:rPr>
        <w:t>Pohřebnictví</w:t>
      </w:r>
    </w:p>
    <w:tbl>
      <w:tblPr>
        <w:tblW w:w="9493" w:type="dxa"/>
        <w:tblInd w:w="75" w:type="dxa"/>
        <w:tblCellMar>
          <w:left w:w="70" w:type="dxa"/>
          <w:right w:w="70" w:type="dxa"/>
        </w:tblCellMar>
        <w:tblLook w:val="04A0" w:firstRow="1" w:lastRow="0" w:firstColumn="1" w:lastColumn="0" w:noHBand="0" w:noVBand="1"/>
      </w:tblPr>
      <w:tblGrid>
        <w:gridCol w:w="437"/>
        <w:gridCol w:w="1089"/>
        <w:gridCol w:w="2297"/>
        <w:gridCol w:w="1134"/>
        <w:gridCol w:w="850"/>
        <w:gridCol w:w="1180"/>
        <w:gridCol w:w="2506"/>
      </w:tblGrid>
      <w:tr w:rsidR="00C03AF4" w:rsidRPr="00DB3FF1" w14:paraId="323EA1F8" w14:textId="77777777" w:rsidTr="000F2E84">
        <w:trPr>
          <w:trHeight w:val="60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CE529" w14:textId="77777777" w:rsidR="00C03AF4" w:rsidRPr="00DB3FF1" w:rsidRDefault="00C03AF4" w:rsidP="000F2E84">
            <w:pPr>
              <w:jc w:val="center"/>
              <w:rPr>
                <w:rFonts w:cs="Calibri"/>
                <w:b/>
                <w:bCs/>
                <w:sz w:val="18"/>
                <w:szCs w:val="18"/>
              </w:rPr>
            </w:pPr>
            <w:r w:rsidRPr="00DB3FF1">
              <w:rPr>
                <w:rFonts w:cs="Calibri"/>
                <w:b/>
                <w:bCs/>
                <w:sz w:val="18"/>
                <w:szCs w:val="18"/>
              </w:rPr>
              <w:t>P.Č.</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123034AF" w14:textId="77777777" w:rsidR="00C03AF4" w:rsidRPr="00DB3FF1" w:rsidRDefault="00C03AF4" w:rsidP="000F2E84">
            <w:pPr>
              <w:jc w:val="center"/>
              <w:rPr>
                <w:rFonts w:cs="Calibri"/>
                <w:b/>
                <w:bCs/>
                <w:sz w:val="18"/>
                <w:szCs w:val="18"/>
              </w:rPr>
            </w:pPr>
            <w:r w:rsidRPr="00DB3FF1">
              <w:rPr>
                <w:rFonts w:cs="Calibri"/>
                <w:b/>
                <w:bCs/>
                <w:sz w:val="18"/>
                <w:szCs w:val="18"/>
              </w:rPr>
              <w:t>Oblast</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5E61DF6F" w14:textId="77777777" w:rsidR="00C03AF4" w:rsidRPr="00DB3FF1" w:rsidRDefault="00C03AF4" w:rsidP="000F2E84">
            <w:pPr>
              <w:jc w:val="center"/>
              <w:rPr>
                <w:rFonts w:cs="Calibri"/>
                <w:b/>
                <w:bCs/>
                <w:sz w:val="18"/>
                <w:szCs w:val="18"/>
              </w:rPr>
            </w:pPr>
            <w:r w:rsidRPr="00DB3FF1">
              <w:rPr>
                <w:rFonts w:cs="Calibri"/>
                <w:b/>
                <w:bCs/>
                <w:sz w:val="18"/>
                <w:szCs w:val="18"/>
              </w:rPr>
              <w:t>Požadavek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59890" w14:textId="77777777" w:rsidR="00C03AF4" w:rsidRPr="00DB3FF1" w:rsidRDefault="00C03AF4" w:rsidP="000F2E84">
            <w:pPr>
              <w:jc w:val="center"/>
              <w:rPr>
                <w:rFonts w:cs="Calibri"/>
                <w:b/>
                <w:bCs/>
                <w:sz w:val="18"/>
                <w:szCs w:val="18"/>
              </w:rPr>
            </w:pPr>
            <w:r w:rsidRPr="00DB3FF1">
              <w:rPr>
                <w:rFonts w:cs="Calibri"/>
                <w:b/>
                <w:bCs/>
                <w:sz w:val="18"/>
                <w:szCs w:val="18"/>
              </w:rPr>
              <w:t>Splněno ve standardu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7AB417" w14:textId="77777777" w:rsidR="00C03AF4" w:rsidRPr="00DB3FF1" w:rsidRDefault="00C03AF4" w:rsidP="000F2E84">
            <w:pPr>
              <w:jc w:val="center"/>
              <w:rPr>
                <w:rFonts w:cs="Calibri"/>
                <w:b/>
                <w:bCs/>
                <w:sz w:val="18"/>
                <w:szCs w:val="18"/>
              </w:rPr>
            </w:pPr>
            <w:r w:rsidRPr="00DB3FF1">
              <w:rPr>
                <w:rFonts w:cs="Calibri"/>
                <w:b/>
                <w:bCs/>
                <w:sz w:val="18"/>
                <w:szCs w:val="18"/>
              </w:rPr>
              <w:t>Splněno vývojem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C5B9FDB" w14:textId="77777777" w:rsidR="00C03AF4" w:rsidRPr="00DB3FF1" w:rsidRDefault="00C03AF4" w:rsidP="000F2E84">
            <w:pPr>
              <w:jc w:val="center"/>
              <w:rPr>
                <w:rFonts w:cs="Calibri"/>
                <w:b/>
                <w:bCs/>
                <w:sz w:val="18"/>
                <w:szCs w:val="18"/>
              </w:rPr>
            </w:pPr>
            <w:r w:rsidRPr="00DB3FF1">
              <w:rPr>
                <w:rFonts w:cs="Calibri"/>
                <w:b/>
                <w:bCs/>
                <w:sz w:val="18"/>
                <w:szCs w:val="18"/>
              </w:rPr>
              <w:t>Nesplněno</w:t>
            </w:r>
          </w:p>
        </w:tc>
        <w:tc>
          <w:tcPr>
            <w:tcW w:w="2506" w:type="dxa"/>
            <w:tcBorders>
              <w:top w:val="single" w:sz="4" w:space="0" w:color="auto"/>
              <w:left w:val="nil"/>
              <w:bottom w:val="single" w:sz="4" w:space="0" w:color="auto"/>
              <w:right w:val="single" w:sz="4" w:space="0" w:color="auto"/>
            </w:tcBorders>
            <w:shd w:val="clear" w:color="auto" w:fill="auto"/>
            <w:vAlign w:val="center"/>
            <w:hideMark/>
          </w:tcPr>
          <w:p w14:paraId="62109C07" w14:textId="77777777" w:rsidR="00C03AF4" w:rsidRPr="00DB3FF1" w:rsidRDefault="00C03AF4" w:rsidP="000F2E84">
            <w:pPr>
              <w:jc w:val="center"/>
              <w:rPr>
                <w:rFonts w:cs="Calibri"/>
                <w:b/>
                <w:bCs/>
                <w:sz w:val="18"/>
                <w:szCs w:val="18"/>
              </w:rPr>
            </w:pPr>
            <w:r w:rsidRPr="00DB3FF1">
              <w:rPr>
                <w:rFonts w:cs="Calibri"/>
                <w:b/>
                <w:bCs/>
                <w:sz w:val="18"/>
                <w:szCs w:val="18"/>
              </w:rPr>
              <w:t>Popis způsobu řešení</w:t>
            </w:r>
          </w:p>
        </w:tc>
      </w:tr>
      <w:tr w:rsidR="00C03AF4" w:rsidRPr="00DB3FF1" w14:paraId="60743A01" w14:textId="77777777" w:rsidTr="000F2E84">
        <w:trPr>
          <w:trHeight w:val="300"/>
        </w:trPr>
        <w:tc>
          <w:tcPr>
            <w:tcW w:w="437" w:type="dxa"/>
            <w:tcBorders>
              <w:top w:val="nil"/>
              <w:left w:val="single" w:sz="4" w:space="0" w:color="auto"/>
              <w:bottom w:val="single" w:sz="4" w:space="0" w:color="auto"/>
              <w:right w:val="single" w:sz="4" w:space="0" w:color="auto"/>
            </w:tcBorders>
            <w:shd w:val="clear" w:color="auto" w:fill="auto"/>
            <w:hideMark/>
          </w:tcPr>
          <w:p w14:paraId="27D87060" w14:textId="77777777" w:rsidR="00C03AF4" w:rsidRPr="00DB3FF1" w:rsidRDefault="00C03AF4" w:rsidP="000F2E84">
            <w:pPr>
              <w:rPr>
                <w:rFonts w:cs="Calibri"/>
                <w:sz w:val="18"/>
                <w:szCs w:val="18"/>
              </w:rPr>
            </w:pPr>
            <w:r w:rsidRPr="00DB3FF1">
              <w:rPr>
                <w:rFonts w:cs="Calibri"/>
                <w:sz w:val="18"/>
                <w:szCs w:val="18"/>
              </w:rPr>
              <w:t>G1</w:t>
            </w:r>
          </w:p>
        </w:tc>
        <w:tc>
          <w:tcPr>
            <w:tcW w:w="1089" w:type="dxa"/>
            <w:tcBorders>
              <w:top w:val="nil"/>
              <w:left w:val="nil"/>
              <w:bottom w:val="single" w:sz="4" w:space="0" w:color="auto"/>
              <w:right w:val="single" w:sz="4" w:space="0" w:color="auto"/>
            </w:tcBorders>
            <w:shd w:val="clear" w:color="auto" w:fill="auto"/>
            <w:hideMark/>
          </w:tcPr>
          <w:p w14:paraId="355BDF14" w14:textId="77777777" w:rsidR="00C03AF4" w:rsidRPr="00DB3FF1" w:rsidRDefault="00C03AF4" w:rsidP="000F2E84">
            <w:pPr>
              <w:rPr>
                <w:rFonts w:cs="Calibri"/>
                <w:b/>
                <w:bCs/>
                <w:sz w:val="18"/>
                <w:szCs w:val="18"/>
                <w:u w:val="single"/>
              </w:rPr>
            </w:pPr>
            <w:r w:rsidRPr="00DB3FF1">
              <w:rPr>
                <w:rFonts w:cs="Calibri"/>
                <w:b/>
                <w:bCs/>
                <w:sz w:val="18"/>
                <w:szCs w:val="18"/>
                <w:u w:val="single"/>
              </w:rPr>
              <w:t>Pohřebnictví</w:t>
            </w:r>
          </w:p>
        </w:tc>
        <w:tc>
          <w:tcPr>
            <w:tcW w:w="2297" w:type="dxa"/>
            <w:tcBorders>
              <w:top w:val="nil"/>
              <w:left w:val="nil"/>
              <w:bottom w:val="single" w:sz="4" w:space="0" w:color="auto"/>
              <w:right w:val="single" w:sz="4" w:space="0" w:color="auto"/>
            </w:tcBorders>
            <w:shd w:val="clear" w:color="auto" w:fill="auto"/>
            <w:hideMark/>
          </w:tcPr>
          <w:p w14:paraId="2089D1B1" w14:textId="77777777" w:rsidR="00C03AF4" w:rsidRPr="00DB3FF1" w:rsidRDefault="00C03AF4" w:rsidP="000F2E84">
            <w:pPr>
              <w:rPr>
                <w:rFonts w:cs="Calibri"/>
                <w:b/>
                <w:bCs/>
                <w:sz w:val="18"/>
                <w:szCs w:val="18"/>
                <w:u w:val="single"/>
              </w:rPr>
            </w:pPr>
            <w:r w:rsidRPr="00DB3FF1">
              <w:rPr>
                <w:rFonts w:cs="Calibri"/>
                <w:b/>
                <w:bCs/>
                <w:sz w:val="18"/>
                <w:szCs w:val="18"/>
                <w:u w:val="single"/>
              </w:rPr>
              <w:t> </w:t>
            </w:r>
          </w:p>
        </w:tc>
        <w:tc>
          <w:tcPr>
            <w:tcW w:w="1134" w:type="dxa"/>
            <w:tcBorders>
              <w:top w:val="nil"/>
              <w:left w:val="nil"/>
              <w:bottom w:val="single" w:sz="4" w:space="0" w:color="auto"/>
              <w:right w:val="single" w:sz="4" w:space="0" w:color="auto"/>
            </w:tcBorders>
            <w:shd w:val="clear" w:color="auto" w:fill="auto"/>
            <w:hideMark/>
          </w:tcPr>
          <w:p w14:paraId="623E3B74" w14:textId="77777777" w:rsidR="00C03AF4" w:rsidRPr="00DB3FF1" w:rsidRDefault="00C03AF4" w:rsidP="000F2E84">
            <w:pPr>
              <w:rPr>
                <w:rFonts w:cs="Calibri"/>
                <w:sz w:val="18"/>
                <w:szCs w:val="18"/>
              </w:rPr>
            </w:pPr>
            <w:r w:rsidRPr="00DB3FF1">
              <w:rPr>
                <w:rFonts w:cs="Calibri"/>
                <w:sz w:val="18"/>
                <w:szCs w:val="18"/>
              </w:rPr>
              <w:t> </w:t>
            </w:r>
          </w:p>
        </w:tc>
        <w:tc>
          <w:tcPr>
            <w:tcW w:w="850" w:type="dxa"/>
            <w:tcBorders>
              <w:top w:val="nil"/>
              <w:left w:val="nil"/>
              <w:bottom w:val="single" w:sz="4" w:space="0" w:color="auto"/>
              <w:right w:val="single" w:sz="4" w:space="0" w:color="auto"/>
            </w:tcBorders>
            <w:shd w:val="clear" w:color="auto" w:fill="auto"/>
            <w:hideMark/>
          </w:tcPr>
          <w:p w14:paraId="087BCE46" w14:textId="77777777" w:rsidR="00C03AF4" w:rsidRPr="00DB3FF1" w:rsidRDefault="00C03AF4" w:rsidP="000F2E84">
            <w:pPr>
              <w:rPr>
                <w:rFonts w:cs="Calibri"/>
                <w:sz w:val="18"/>
                <w:szCs w:val="18"/>
              </w:rPr>
            </w:pPr>
            <w:r w:rsidRPr="00DB3FF1">
              <w:rPr>
                <w:rFonts w:cs="Calibri"/>
                <w:sz w:val="18"/>
                <w:szCs w:val="18"/>
              </w:rPr>
              <w:t> </w:t>
            </w:r>
          </w:p>
        </w:tc>
        <w:tc>
          <w:tcPr>
            <w:tcW w:w="1180" w:type="dxa"/>
            <w:tcBorders>
              <w:top w:val="nil"/>
              <w:left w:val="nil"/>
              <w:bottom w:val="single" w:sz="4" w:space="0" w:color="auto"/>
              <w:right w:val="single" w:sz="4" w:space="0" w:color="auto"/>
            </w:tcBorders>
            <w:shd w:val="clear" w:color="auto" w:fill="auto"/>
            <w:hideMark/>
          </w:tcPr>
          <w:p w14:paraId="10A513F2" w14:textId="77777777" w:rsidR="00C03AF4" w:rsidRPr="00DB3FF1" w:rsidRDefault="00C03AF4" w:rsidP="000F2E84">
            <w:pPr>
              <w:rPr>
                <w:rFonts w:cs="Calibri"/>
                <w:sz w:val="18"/>
                <w:szCs w:val="18"/>
              </w:rPr>
            </w:pPr>
            <w:r w:rsidRPr="00DB3FF1">
              <w:rPr>
                <w:rFonts w:cs="Calibri"/>
                <w:sz w:val="18"/>
                <w:szCs w:val="18"/>
              </w:rPr>
              <w:t> </w:t>
            </w:r>
          </w:p>
        </w:tc>
        <w:tc>
          <w:tcPr>
            <w:tcW w:w="2506" w:type="dxa"/>
            <w:tcBorders>
              <w:top w:val="nil"/>
              <w:left w:val="nil"/>
              <w:bottom w:val="single" w:sz="4" w:space="0" w:color="auto"/>
              <w:right w:val="single" w:sz="4" w:space="0" w:color="auto"/>
            </w:tcBorders>
            <w:shd w:val="clear" w:color="auto" w:fill="auto"/>
            <w:hideMark/>
          </w:tcPr>
          <w:p w14:paraId="27FAED74" w14:textId="77777777" w:rsidR="00C03AF4" w:rsidRPr="00DB3FF1" w:rsidRDefault="00C03AF4" w:rsidP="000F2E84">
            <w:pPr>
              <w:rPr>
                <w:rFonts w:cs="Calibri"/>
                <w:sz w:val="18"/>
                <w:szCs w:val="18"/>
              </w:rPr>
            </w:pPr>
            <w:r w:rsidRPr="00DB3FF1">
              <w:rPr>
                <w:rFonts w:cs="Calibri"/>
                <w:sz w:val="18"/>
                <w:szCs w:val="18"/>
              </w:rPr>
              <w:t> </w:t>
            </w:r>
          </w:p>
        </w:tc>
      </w:tr>
      <w:tr w:rsidR="00EC5C0A" w:rsidRPr="00DB3FF1" w14:paraId="6EAFBE3A" w14:textId="77777777" w:rsidTr="000F2E84">
        <w:trPr>
          <w:trHeight w:val="930"/>
        </w:trPr>
        <w:tc>
          <w:tcPr>
            <w:tcW w:w="437" w:type="dxa"/>
            <w:tcBorders>
              <w:top w:val="nil"/>
              <w:left w:val="single" w:sz="4" w:space="0" w:color="auto"/>
              <w:bottom w:val="single" w:sz="4" w:space="0" w:color="auto"/>
              <w:right w:val="single" w:sz="4" w:space="0" w:color="auto"/>
            </w:tcBorders>
            <w:shd w:val="clear" w:color="auto" w:fill="auto"/>
            <w:hideMark/>
          </w:tcPr>
          <w:p w14:paraId="65E22169" w14:textId="77777777" w:rsidR="00EC5C0A" w:rsidRPr="00DB3FF1" w:rsidRDefault="00EC5C0A" w:rsidP="00EC5C0A">
            <w:pPr>
              <w:rPr>
                <w:rFonts w:cs="Calibri"/>
                <w:sz w:val="18"/>
                <w:szCs w:val="18"/>
              </w:rPr>
            </w:pPr>
            <w:r w:rsidRPr="00DB3FF1">
              <w:rPr>
                <w:rFonts w:cs="Calibri"/>
                <w:sz w:val="18"/>
                <w:szCs w:val="18"/>
              </w:rPr>
              <w:t>G2</w:t>
            </w:r>
          </w:p>
        </w:tc>
        <w:tc>
          <w:tcPr>
            <w:tcW w:w="1089" w:type="dxa"/>
            <w:tcBorders>
              <w:top w:val="nil"/>
              <w:left w:val="nil"/>
              <w:bottom w:val="single" w:sz="4" w:space="0" w:color="auto"/>
              <w:right w:val="single" w:sz="4" w:space="0" w:color="auto"/>
            </w:tcBorders>
            <w:shd w:val="clear" w:color="auto" w:fill="auto"/>
            <w:hideMark/>
          </w:tcPr>
          <w:p w14:paraId="2F28AC50" w14:textId="77777777" w:rsidR="00EC5C0A" w:rsidRPr="00DB3FF1" w:rsidRDefault="00EC5C0A" w:rsidP="00EC5C0A">
            <w:pPr>
              <w:rPr>
                <w:rFonts w:cs="Calibri"/>
                <w:sz w:val="18"/>
                <w:szCs w:val="18"/>
              </w:rPr>
            </w:pPr>
            <w:r w:rsidRPr="00DB3FF1">
              <w:rPr>
                <w:rFonts w:cs="Calibri"/>
                <w:sz w:val="18"/>
                <w:szCs w:val="18"/>
              </w:rPr>
              <w:t>Základní požadavky</w:t>
            </w:r>
          </w:p>
        </w:tc>
        <w:tc>
          <w:tcPr>
            <w:tcW w:w="2297" w:type="dxa"/>
            <w:tcBorders>
              <w:top w:val="nil"/>
              <w:left w:val="nil"/>
              <w:bottom w:val="single" w:sz="4" w:space="0" w:color="auto"/>
              <w:right w:val="single" w:sz="4" w:space="0" w:color="auto"/>
            </w:tcBorders>
            <w:shd w:val="clear" w:color="auto" w:fill="auto"/>
            <w:hideMark/>
          </w:tcPr>
          <w:p w14:paraId="46673382" w14:textId="77777777" w:rsidR="00EC5C0A" w:rsidRPr="00DB3FF1" w:rsidRDefault="00EC5C0A" w:rsidP="00EC5C0A">
            <w:pPr>
              <w:rPr>
                <w:rFonts w:cs="Calibri"/>
                <w:sz w:val="18"/>
                <w:szCs w:val="18"/>
              </w:rPr>
            </w:pPr>
            <w:r w:rsidRPr="00DB3FF1">
              <w:rPr>
                <w:rFonts w:cs="Calibri"/>
                <w:sz w:val="18"/>
                <w:szCs w:val="18"/>
              </w:rPr>
              <w:t xml:space="preserve">Garance souladu systému s tuzemskou legislativou, včetně zákona č. 256/2001 Sb. o pohřebnictví,  zákona č. 235/2004 Sb. o DPH a zákona </w:t>
            </w:r>
            <w:r w:rsidRPr="00DB3FF1">
              <w:rPr>
                <w:rFonts w:cs="Calibri"/>
                <w:sz w:val="18"/>
                <w:szCs w:val="18"/>
              </w:rPr>
              <w:lastRenderedPageBreak/>
              <w:t>č. 563/1991 Sb. o účetnictví, ve znění pozdějších předpisů</w:t>
            </w:r>
          </w:p>
        </w:tc>
        <w:tc>
          <w:tcPr>
            <w:tcW w:w="1134" w:type="dxa"/>
            <w:tcBorders>
              <w:top w:val="nil"/>
              <w:left w:val="nil"/>
              <w:bottom w:val="single" w:sz="4" w:space="0" w:color="auto"/>
              <w:right w:val="single" w:sz="4" w:space="0" w:color="auto"/>
            </w:tcBorders>
            <w:shd w:val="clear" w:color="auto" w:fill="auto"/>
            <w:hideMark/>
          </w:tcPr>
          <w:p w14:paraId="002FCFC8" w14:textId="6C5F1E74" w:rsidR="00EC5C0A" w:rsidRPr="00EC5C0A" w:rsidRDefault="00EC5C0A" w:rsidP="00EC5C0A">
            <w:pPr>
              <w:jc w:val="center"/>
              <w:rPr>
                <w:rFonts w:asciiTheme="minorHAnsi" w:hAnsiTheme="minorHAnsi" w:cstheme="minorHAnsi"/>
                <w:sz w:val="18"/>
                <w:szCs w:val="18"/>
              </w:rPr>
            </w:pPr>
            <w:r w:rsidRPr="006568DB">
              <w:rPr>
                <w:rFonts w:asciiTheme="minorHAnsi" w:hAnsiTheme="minorHAnsi" w:cstheme="minorHAnsi"/>
                <w:sz w:val="18"/>
                <w:szCs w:val="18"/>
              </w:rPr>
              <w:lastRenderedPageBreak/>
              <w:t>ANO</w:t>
            </w:r>
          </w:p>
        </w:tc>
        <w:tc>
          <w:tcPr>
            <w:tcW w:w="850" w:type="dxa"/>
            <w:tcBorders>
              <w:top w:val="nil"/>
              <w:left w:val="nil"/>
              <w:bottom w:val="single" w:sz="4" w:space="0" w:color="auto"/>
              <w:right w:val="single" w:sz="4" w:space="0" w:color="auto"/>
            </w:tcBorders>
            <w:shd w:val="clear" w:color="auto" w:fill="auto"/>
            <w:hideMark/>
          </w:tcPr>
          <w:p w14:paraId="4542DF0F" w14:textId="77777777" w:rsidR="00EC5C0A" w:rsidRPr="00DB3FF1" w:rsidRDefault="00EC5C0A" w:rsidP="00EC5C0A">
            <w:pPr>
              <w:rPr>
                <w:rFonts w:cs="Calibri"/>
                <w:sz w:val="18"/>
                <w:szCs w:val="18"/>
              </w:rPr>
            </w:pPr>
            <w:r w:rsidRPr="00DB3FF1">
              <w:rPr>
                <w:rFonts w:cs="Calibri"/>
                <w:sz w:val="18"/>
                <w:szCs w:val="18"/>
              </w:rPr>
              <w:t> </w:t>
            </w:r>
          </w:p>
        </w:tc>
        <w:tc>
          <w:tcPr>
            <w:tcW w:w="1180" w:type="dxa"/>
            <w:tcBorders>
              <w:top w:val="nil"/>
              <w:left w:val="nil"/>
              <w:bottom w:val="single" w:sz="4" w:space="0" w:color="auto"/>
              <w:right w:val="single" w:sz="4" w:space="0" w:color="auto"/>
            </w:tcBorders>
            <w:shd w:val="clear" w:color="auto" w:fill="auto"/>
            <w:hideMark/>
          </w:tcPr>
          <w:p w14:paraId="31740D28" w14:textId="77777777" w:rsidR="00EC5C0A" w:rsidRPr="00DB3FF1" w:rsidRDefault="00EC5C0A" w:rsidP="00EC5C0A">
            <w:pPr>
              <w:rPr>
                <w:rFonts w:cs="Calibri"/>
                <w:sz w:val="18"/>
                <w:szCs w:val="18"/>
              </w:rPr>
            </w:pPr>
            <w:r w:rsidRPr="00DB3FF1">
              <w:rPr>
                <w:rFonts w:cs="Calibri"/>
                <w:sz w:val="18"/>
                <w:szCs w:val="18"/>
              </w:rPr>
              <w:t> </w:t>
            </w:r>
          </w:p>
        </w:tc>
        <w:tc>
          <w:tcPr>
            <w:tcW w:w="2506" w:type="dxa"/>
            <w:tcBorders>
              <w:top w:val="nil"/>
              <w:left w:val="nil"/>
              <w:bottom w:val="single" w:sz="4" w:space="0" w:color="auto"/>
              <w:right w:val="single" w:sz="4" w:space="0" w:color="auto"/>
            </w:tcBorders>
            <w:shd w:val="clear" w:color="auto" w:fill="auto"/>
            <w:hideMark/>
          </w:tcPr>
          <w:p w14:paraId="4C297D10" w14:textId="77777777" w:rsidR="00EC5C0A" w:rsidRPr="00DB3FF1" w:rsidRDefault="00EC5C0A" w:rsidP="00EC5C0A">
            <w:pPr>
              <w:rPr>
                <w:rFonts w:cs="Calibri"/>
                <w:sz w:val="18"/>
                <w:szCs w:val="18"/>
              </w:rPr>
            </w:pPr>
            <w:r w:rsidRPr="00DB3FF1">
              <w:rPr>
                <w:rFonts w:cs="Calibri"/>
                <w:sz w:val="18"/>
                <w:szCs w:val="18"/>
              </w:rPr>
              <w:t>Dodavatel deklaruje v rámci standardu soulad systému Helios s tuzemskou legislativou. To se týká také modulu Hřbitovní agenda</w:t>
            </w:r>
          </w:p>
        </w:tc>
      </w:tr>
      <w:tr w:rsidR="00EC5C0A" w:rsidRPr="00DB3FF1" w14:paraId="7A8BC3AF" w14:textId="77777777" w:rsidTr="000F2E84">
        <w:trPr>
          <w:trHeight w:val="567"/>
        </w:trPr>
        <w:tc>
          <w:tcPr>
            <w:tcW w:w="437" w:type="dxa"/>
            <w:tcBorders>
              <w:top w:val="nil"/>
              <w:left w:val="single" w:sz="4" w:space="0" w:color="auto"/>
              <w:bottom w:val="single" w:sz="4" w:space="0" w:color="auto"/>
              <w:right w:val="single" w:sz="4" w:space="0" w:color="auto"/>
            </w:tcBorders>
            <w:shd w:val="clear" w:color="auto" w:fill="auto"/>
            <w:hideMark/>
          </w:tcPr>
          <w:p w14:paraId="6721BB18" w14:textId="77777777" w:rsidR="00EC5C0A" w:rsidRPr="00DB3FF1" w:rsidRDefault="00EC5C0A" w:rsidP="00EC5C0A">
            <w:pPr>
              <w:rPr>
                <w:rFonts w:cs="Calibri"/>
                <w:sz w:val="18"/>
                <w:szCs w:val="18"/>
              </w:rPr>
            </w:pPr>
            <w:r w:rsidRPr="00DB3FF1">
              <w:rPr>
                <w:rFonts w:cs="Calibri"/>
                <w:sz w:val="18"/>
                <w:szCs w:val="18"/>
              </w:rPr>
              <w:t>G3</w:t>
            </w:r>
          </w:p>
        </w:tc>
        <w:tc>
          <w:tcPr>
            <w:tcW w:w="1089" w:type="dxa"/>
            <w:tcBorders>
              <w:top w:val="nil"/>
              <w:left w:val="nil"/>
              <w:bottom w:val="single" w:sz="4" w:space="0" w:color="auto"/>
              <w:right w:val="single" w:sz="4" w:space="0" w:color="auto"/>
            </w:tcBorders>
            <w:shd w:val="clear" w:color="auto" w:fill="auto"/>
            <w:hideMark/>
          </w:tcPr>
          <w:p w14:paraId="141363A9" w14:textId="77777777" w:rsidR="00EC5C0A" w:rsidRPr="00DB3FF1" w:rsidRDefault="00EC5C0A" w:rsidP="00EC5C0A">
            <w:pPr>
              <w:rPr>
                <w:rFonts w:cs="Calibri"/>
                <w:sz w:val="18"/>
                <w:szCs w:val="18"/>
              </w:rPr>
            </w:pPr>
            <w:r w:rsidRPr="00DB3FF1">
              <w:rPr>
                <w:rFonts w:cs="Calibri"/>
                <w:sz w:val="18"/>
                <w:szCs w:val="18"/>
              </w:rPr>
              <w:t> </w:t>
            </w:r>
          </w:p>
        </w:tc>
        <w:tc>
          <w:tcPr>
            <w:tcW w:w="2297" w:type="dxa"/>
            <w:tcBorders>
              <w:top w:val="nil"/>
              <w:left w:val="nil"/>
              <w:bottom w:val="single" w:sz="4" w:space="0" w:color="auto"/>
              <w:right w:val="single" w:sz="4" w:space="0" w:color="auto"/>
            </w:tcBorders>
            <w:shd w:val="clear" w:color="auto" w:fill="auto"/>
            <w:hideMark/>
          </w:tcPr>
          <w:p w14:paraId="46E2F900" w14:textId="77777777" w:rsidR="00EC5C0A" w:rsidRPr="00DB3FF1" w:rsidRDefault="00EC5C0A" w:rsidP="00EC5C0A">
            <w:pPr>
              <w:rPr>
                <w:rFonts w:cs="Calibri"/>
                <w:sz w:val="18"/>
                <w:szCs w:val="18"/>
              </w:rPr>
            </w:pPr>
            <w:r w:rsidRPr="00DB3FF1">
              <w:rPr>
                <w:rFonts w:cs="Calibri"/>
                <w:sz w:val="18"/>
                <w:szCs w:val="18"/>
              </w:rPr>
              <w:t xml:space="preserve">Evidence hrobových míst, identifikace dle hřbitova, oddělení, čísel hrobů, </w:t>
            </w:r>
          </w:p>
        </w:tc>
        <w:tc>
          <w:tcPr>
            <w:tcW w:w="1134" w:type="dxa"/>
            <w:tcBorders>
              <w:top w:val="nil"/>
              <w:left w:val="nil"/>
              <w:bottom w:val="single" w:sz="4" w:space="0" w:color="auto"/>
              <w:right w:val="single" w:sz="4" w:space="0" w:color="auto"/>
            </w:tcBorders>
            <w:shd w:val="clear" w:color="auto" w:fill="auto"/>
            <w:hideMark/>
          </w:tcPr>
          <w:p w14:paraId="0C774E18" w14:textId="29700A8C" w:rsidR="00EC5C0A" w:rsidRPr="00EC5C0A" w:rsidRDefault="00EC5C0A" w:rsidP="00EC5C0A">
            <w:pPr>
              <w:jc w:val="center"/>
              <w:rPr>
                <w:rFonts w:asciiTheme="minorHAnsi" w:hAnsiTheme="minorHAnsi" w:cstheme="minorHAnsi"/>
                <w:sz w:val="18"/>
                <w:szCs w:val="18"/>
              </w:rPr>
            </w:pPr>
            <w:r w:rsidRPr="006568DB">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7FBA112" w14:textId="77777777" w:rsidR="00EC5C0A" w:rsidRPr="00DB3FF1" w:rsidRDefault="00EC5C0A" w:rsidP="00EC5C0A">
            <w:pPr>
              <w:rPr>
                <w:rFonts w:cs="Calibri"/>
                <w:sz w:val="18"/>
                <w:szCs w:val="18"/>
              </w:rPr>
            </w:pPr>
            <w:r w:rsidRPr="00DB3FF1">
              <w:rPr>
                <w:rFonts w:cs="Calibri"/>
                <w:sz w:val="18"/>
                <w:szCs w:val="18"/>
              </w:rPr>
              <w:t> </w:t>
            </w:r>
          </w:p>
        </w:tc>
        <w:tc>
          <w:tcPr>
            <w:tcW w:w="1180" w:type="dxa"/>
            <w:tcBorders>
              <w:top w:val="nil"/>
              <w:left w:val="nil"/>
              <w:bottom w:val="single" w:sz="4" w:space="0" w:color="auto"/>
              <w:right w:val="single" w:sz="4" w:space="0" w:color="auto"/>
            </w:tcBorders>
            <w:shd w:val="clear" w:color="auto" w:fill="auto"/>
            <w:hideMark/>
          </w:tcPr>
          <w:p w14:paraId="6B5F0BC6" w14:textId="77777777" w:rsidR="00EC5C0A" w:rsidRPr="00DB3FF1" w:rsidRDefault="00EC5C0A" w:rsidP="00EC5C0A">
            <w:pPr>
              <w:rPr>
                <w:rFonts w:cs="Calibri"/>
                <w:sz w:val="18"/>
                <w:szCs w:val="18"/>
              </w:rPr>
            </w:pPr>
            <w:r w:rsidRPr="00DB3FF1">
              <w:rPr>
                <w:rFonts w:cs="Calibri"/>
                <w:sz w:val="18"/>
                <w:szCs w:val="18"/>
              </w:rPr>
              <w:t> </w:t>
            </w:r>
          </w:p>
        </w:tc>
        <w:tc>
          <w:tcPr>
            <w:tcW w:w="2506" w:type="dxa"/>
            <w:tcBorders>
              <w:top w:val="nil"/>
              <w:left w:val="nil"/>
              <w:bottom w:val="single" w:sz="4" w:space="0" w:color="auto"/>
              <w:right w:val="single" w:sz="4" w:space="0" w:color="auto"/>
            </w:tcBorders>
            <w:shd w:val="clear" w:color="auto" w:fill="auto"/>
            <w:hideMark/>
          </w:tcPr>
          <w:p w14:paraId="38539BC6" w14:textId="77777777" w:rsidR="00EC5C0A" w:rsidRPr="00DB3FF1" w:rsidRDefault="00EC5C0A" w:rsidP="00EC5C0A">
            <w:pPr>
              <w:rPr>
                <w:rFonts w:cs="Calibri"/>
                <w:sz w:val="18"/>
                <w:szCs w:val="18"/>
              </w:rPr>
            </w:pPr>
            <w:r w:rsidRPr="00DB3FF1">
              <w:rPr>
                <w:rFonts w:cs="Calibri"/>
                <w:sz w:val="18"/>
                <w:szCs w:val="18"/>
              </w:rPr>
              <w:t>Modul Hřbitovní agenda podporuje základní evidence hrobových míst, oddělení, čísel hrobů. Vedle toho obsahuje Hřbitovní agenda řadu další číselníků, které zpřehledňují správu.</w:t>
            </w:r>
          </w:p>
        </w:tc>
      </w:tr>
      <w:tr w:rsidR="00EC5C0A" w:rsidRPr="00DB3FF1" w14:paraId="126BA2BA" w14:textId="77777777" w:rsidTr="000F2E84">
        <w:trPr>
          <w:trHeight w:val="1500"/>
        </w:trPr>
        <w:tc>
          <w:tcPr>
            <w:tcW w:w="437" w:type="dxa"/>
            <w:tcBorders>
              <w:top w:val="nil"/>
              <w:left w:val="single" w:sz="4" w:space="0" w:color="auto"/>
              <w:bottom w:val="single" w:sz="4" w:space="0" w:color="auto"/>
              <w:right w:val="single" w:sz="4" w:space="0" w:color="auto"/>
            </w:tcBorders>
            <w:shd w:val="clear" w:color="auto" w:fill="auto"/>
            <w:hideMark/>
          </w:tcPr>
          <w:p w14:paraId="5EDEF8B9" w14:textId="77777777" w:rsidR="00EC5C0A" w:rsidRPr="00DB3FF1" w:rsidRDefault="00EC5C0A" w:rsidP="00EC5C0A">
            <w:pPr>
              <w:rPr>
                <w:rFonts w:cs="Calibri"/>
                <w:sz w:val="18"/>
                <w:szCs w:val="18"/>
              </w:rPr>
            </w:pPr>
            <w:r w:rsidRPr="00DB3FF1">
              <w:rPr>
                <w:rFonts w:cs="Calibri"/>
                <w:sz w:val="18"/>
                <w:szCs w:val="18"/>
              </w:rPr>
              <w:t>G4</w:t>
            </w:r>
          </w:p>
        </w:tc>
        <w:tc>
          <w:tcPr>
            <w:tcW w:w="1089" w:type="dxa"/>
            <w:tcBorders>
              <w:top w:val="nil"/>
              <w:left w:val="nil"/>
              <w:bottom w:val="single" w:sz="4" w:space="0" w:color="auto"/>
              <w:right w:val="single" w:sz="4" w:space="0" w:color="auto"/>
            </w:tcBorders>
            <w:shd w:val="clear" w:color="auto" w:fill="auto"/>
            <w:hideMark/>
          </w:tcPr>
          <w:p w14:paraId="2AF8BDA1" w14:textId="77777777" w:rsidR="00EC5C0A" w:rsidRPr="00DB3FF1" w:rsidRDefault="00EC5C0A" w:rsidP="00EC5C0A">
            <w:pPr>
              <w:rPr>
                <w:rFonts w:cs="Calibri"/>
                <w:sz w:val="18"/>
                <w:szCs w:val="18"/>
              </w:rPr>
            </w:pPr>
            <w:r w:rsidRPr="00DB3FF1">
              <w:rPr>
                <w:rFonts w:cs="Calibri"/>
                <w:sz w:val="18"/>
                <w:szCs w:val="18"/>
              </w:rPr>
              <w:t> </w:t>
            </w:r>
          </w:p>
        </w:tc>
        <w:tc>
          <w:tcPr>
            <w:tcW w:w="2297" w:type="dxa"/>
            <w:tcBorders>
              <w:top w:val="nil"/>
              <w:left w:val="nil"/>
              <w:bottom w:val="single" w:sz="4" w:space="0" w:color="auto"/>
              <w:right w:val="single" w:sz="4" w:space="0" w:color="auto"/>
            </w:tcBorders>
            <w:shd w:val="clear" w:color="auto" w:fill="auto"/>
            <w:hideMark/>
          </w:tcPr>
          <w:p w14:paraId="238F9CF6" w14:textId="77777777" w:rsidR="00EC5C0A" w:rsidRPr="00DB3FF1" w:rsidRDefault="00EC5C0A" w:rsidP="00EC5C0A">
            <w:pPr>
              <w:rPr>
                <w:rFonts w:cs="Calibri"/>
                <w:sz w:val="18"/>
                <w:szCs w:val="18"/>
              </w:rPr>
            </w:pPr>
            <w:r w:rsidRPr="00DB3FF1">
              <w:rPr>
                <w:rFonts w:cs="Calibri"/>
                <w:sz w:val="18"/>
                <w:szCs w:val="18"/>
              </w:rPr>
              <w:t>Evidence nájemců a historie nájemních smluv</w:t>
            </w:r>
          </w:p>
        </w:tc>
        <w:tc>
          <w:tcPr>
            <w:tcW w:w="1134" w:type="dxa"/>
            <w:tcBorders>
              <w:top w:val="nil"/>
              <w:left w:val="nil"/>
              <w:bottom w:val="single" w:sz="4" w:space="0" w:color="auto"/>
              <w:right w:val="single" w:sz="4" w:space="0" w:color="auto"/>
            </w:tcBorders>
            <w:shd w:val="clear" w:color="auto" w:fill="auto"/>
            <w:hideMark/>
          </w:tcPr>
          <w:p w14:paraId="57854A2E" w14:textId="30C533E7" w:rsidR="00EC5C0A" w:rsidRPr="00EC5C0A" w:rsidRDefault="00EC5C0A" w:rsidP="00EC5C0A">
            <w:pPr>
              <w:jc w:val="center"/>
              <w:rPr>
                <w:rFonts w:asciiTheme="minorHAnsi" w:hAnsiTheme="minorHAnsi" w:cstheme="minorHAnsi"/>
                <w:sz w:val="18"/>
                <w:szCs w:val="18"/>
              </w:rPr>
            </w:pPr>
            <w:r w:rsidRPr="006568DB">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F7BA51F" w14:textId="77777777" w:rsidR="00EC5C0A" w:rsidRPr="00DB3FF1" w:rsidRDefault="00EC5C0A" w:rsidP="00EC5C0A">
            <w:pPr>
              <w:rPr>
                <w:rFonts w:cs="Calibri"/>
                <w:sz w:val="18"/>
                <w:szCs w:val="18"/>
              </w:rPr>
            </w:pPr>
            <w:r w:rsidRPr="00DB3FF1">
              <w:rPr>
                <w:rFonts w:cs="Calibri"/>
                <w:sz w:val="18"/>
                <w:szCs w:val="18"/>
              </w:rPr>
              <w:t> </w:t>
            </w:r>
          </w:p>
        </w:tc>
        <w:tc>
          <w:tcPr>
            <w:tcW w:w="1180" w:type="dxa"/>
            <w:tcBorders>
              <w:top w:val="nil"/>
              <w:left w:val="nil"/>
              <w:bottom w:val="single" w:sz="4" w:space="0" w:color="auto"/>
              <w:right w:val="single" w:sz="4" w:space="0" w:color="auto"/>
            </w:tcBorders>
            <w:shd w:val="clear" w:color="auto" w:fill="auto"/>
            <w:hideMark/>
          </w:tcPr>
          <w:p w14:paraId="357A6B02" w14:textId="77777777" w:rsidR="00EC5C0A" w:rsidRPr="00DB3FF1" w:rsidRDefault="00EC5C0A" w:rsidP="00EC5C0A">
            <w:pPr>
              <w:rPr>
                <w:rFonts w:cs="Calibri"/>
                <w:sz w:val="18"/>
                <w:szCs w:val="18"/>
              </w:rPr>
            </w:pPr>
            <w:r w:rsidRPr="00DB3FF1">
              <w:rPr>
                <w:rFonts w:cs="Calibri"/>
                <w:sz w:val="18"/>
                <w:szCs w:val="18"/>
              </w:rPr>
              <w:t> </w:t>
            </w:r>
          </w:p>
        </w:tc>
        <w:tc>
          <w:tcPr>
            <w:tcW w:w="2506" w:type="dxa"/>
            <w:tcBorders>
              <w:top w:val="nil"/>
              <w:left w:val="nil"/>
              <w:bottom w:val="single" w:sz="4" w:space="0" w:color="auto"/>
              <w:right w:val="single" w:sz="4" w:space="0" w:color="auto"/>
            </w:tcBorders>
            <w:shd w:val="clear" w:color="auto" w:fill="auto"/>
            <w:hideMark/>
          </w:tcPr>
          <w:p w14:paraId="3467EFEA" w14:textId="77777777" w:rsidR="00EC5C0A" w:rsidRPr="00DB3FF1" w:rsidRDefault="00EC5C0A" w:rsidP="00EC5C0A">
            <w:pPr>
              <w:rPr>
                <w:rFonts w:cs="Calibri"/>
                <w:sz w:val="18"/>
                <w:szCs w:val="18"/>
              </w:rPr>
            </w:pPr>
            <w:r w:rsidRPr="00DB3FF1">
              <w:rPr>
                <w:rFonts w:cs="Calibri"/>
                <w:sz w:val="18"/>
                <w:szCs w:val="18"/>
              </w:rPr>
              <w:t>Evidence nájemních smluv je svázána s hrobovým místem. Lze tak sledovat historii nájemních smluv konkrétního hrobového místa. Nájemci je klasický vztah do číselníku organizací.</w:t>
            </w:r>
          </w:p>
        </w:tc>
      </w:tr>
      <w:tr w:rsidR="00EC5C0A" w:rsidRPr="00DB3FF1" w14:paraId="40104F15" w14:textId="77777777" w:rsidTr="000F2E84">
        <w:trPr>
          <w:trHeight w:val="600"/>
        </w:trPr>
        <w:tc>
          <w:tcPr>
            <w:tcW w:w="437" w:type="dxa"/>
            <w:tcBorders>
              <w:top w:val="nil"/>
              <w:left w:val="single" w:sz="4" w:space="0" w:color="auto"/>
              <w:bottom w:val="single" w:sz="4" w:space="0" w:color="auto"/>
              <w:right w:val="single" w:sz="4" w:space="0" w:color="auto"/>
            </w:tcBorders>
            <w:shd w:val="clear" w:color="auto" w:fill="auto"/>
            <w:hideMark/>
          </w:tcPr>
          <w:p w14:paraId="464E6E52" w14:textId="77777777" w:rsidR="00EC5C0A" w:rsidRPr="00DB3FF1" w:rsidRDefault="00EC5C0A" w:rsidP="00EC5C0A">
            <w:pPr>
              <w:rPr>
                <w:rFonts w:cs="Calibri"/>
                <w:sz w:val="18"/>
                <w:szCs w:val="18"/>
              </w:rPr>
            </w:pPr>
            <w:r w:rsidRPr="00DB3FF1">
              <w:rPr>
                <w:rFonts w:cs="Calibri"/>
                <w:sz w:val="18"/>
                <w:szCs w:val="18"/>
              </w:rPr>
              <w:t>G5</w:t>
            </w:r>
          </w:p>
        </w:tc>
        <w:tc>
          <w:tcPr>
            <w:tcW w:w="1089" w:type="dxa"/>
            <w:tcBorders>
              <w:top w:val="nil"/>
              <w:left w:val="nil"/>
              <w:bottom w:val="single" w:sz="4" w:space="0" w:color="auto"/>
              <w:right w:val="single" w:sz="4" w:space="0" w:color="auto"/>
            </w:tcBorders>
            <w:shd w:val="clear" w:color="auto" w:fill="auto"/>
            <w:hideMark/>
          </w:tcPr>
          <w:p w14:paraId="49EB14D5" w14:textId="77777777" w:rsidR="00EC5C0A" w:rsidRPr="00DB3FF1" w:rsidRDefault="00EC5C0A" w:rsidP="00EC5C0A">
            <w:pPr>
              <w:rPr>
                <w:rFonts w:cs="Calibri"/>
                <w:sz w:val="18"/>
                <w:szCs w:val="18"/>
              </w:rPr>
            </w:pPr>
            <w:r w:rsidRPr="00DB3FF1">
              <w:rPr>
                <w:rFonts w:cs="Calibri"/>
                <w:sz w:val="18"/>
                <w:szCs w:val="18"/>
              </w:rPr>
              <w:t> </w:t>
            </w:r>
          </w:p>
        </w:tc>
        <w:tc>
          <w:tcPr>
            <w:tcW w:w="2297" w:type="dxa"/>
            <w:tcBorders>
              <w:top w:val="nil"/>
              <w:left w:val="nil"/>
              <w:bottom w:val="single" w:sz="4" w:space="0" w:color="auto"/>
              <w:right w:val="single" w:sz="4" w:space="0" w:color="auto"/>
            </w:tcBorders>
            <w:shd w:val="clear" w:color="auto" w:fill="auto"/>
            <w:hideMark/>
          </w:tcPr>
          <w:p w14:paraId="5A8B0F70" w14:textId="77777777" w:rsidR="00EC5C0A" w:rsidRPr="00DB3FF1" w:rsidRDefault="00EC5C0A" w:rsidP="00EC5C0A">
            <w:pPr>
              <w:rPr>
                <w:rFonts w:cs="Calibri"/>
                <w:sz w:val="18"/>
                <w:szCs w:val="18"/>
              </w:rPr>
            </w:pPr>
            <w:r w:rsidRPr="00DB3FF1">
              <w:rPr>
                <w:rFonts w:cs="Calibri"/>
                <w:sz w:val="18"/>
                <w:szCs w:val="18"/>
              </w:rPr>
              <w:t>Evidence zemřelých</w:t>
            </w:r>
          </w:p>
        </w:tc>
        <w:tc>
          <w:tcPr>
            <w:tcW w:w="1134" w:type="dxa"/>
            <w:tcBorders>
              <w:top w:val="nil"/>
              <w:left w:val="nil"/>
              <w:bottom w:val="single" w:sz="4" w:space="0" w:color="auto"/>
              <w:right w:val="single" w:sz="4" w:space="0" w:color="auto"/>
            </w:tcBorders>
            <w:shd w:val="clear" w:color="auto" w:fill="auto"/>
            <w:hideMark/>
          </w:tcPr>
          <w:p w14:paraId="23DC1049" w14:textId="7163BA20" w:rsidR="00EC5C0A" w:rsidRPr="00EC5C0A" w:rsidRDefault="00EC5C0A" w:rsidP="00EC5C0A">
            <w:pPr>
              <w:jc w:val="center"/>
              <w:rPr>
                <w:rFonts w:asciiTheme="minorHAnsi" w:hAnsiTheme="minorHAnsi" w:cstheme="minorHAnsi"/>
                <w:sz w:val="18"/>
                <w:szCs w:val="18"/>
              </w:rPr>
            </w:pPr>
            <w:r w:rsidRPr="006568DB">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C6976C4" w14:textId="77777777" w:rsidR="00EC5C0A" w:rsidRPr="00DB3FF1" w:rsidRDefault="00EC5C0A" w:rsidP="00EC5C0A">
            <w:pPr>
              <w:rPr>
                <w:rFonts w:cs="Calibri"/>
                <w:sz w:val="18"/>
                <w:szCs w:val="18"/>
              </w:rPr>
            </w:pPr>
            <w:r w:rsidRPr="00DB3FF1">
              <w:rPr>
                <w:rFonts w:cs="Calibri"/>
                <w:sz w:val="18"/>
                <w:szCs w:val="18"/>
              </w:rPr>
              <w:t> </w:t>
            </w:r>
          </w:p>
        </w:tc>
        <w:tc>
          <w:tcPr>
            <w:tcW w:w="1180" w:type="dxa"/>
            <w:tcBorders>
              <w:top w:val="nil"/>
              <w:left w:val="nil"/>
              <w:bottom w:val="single" w:sz="4" w:space="0" w:color="auto"/>
              <w:right w:val="single" w:sz="4" w:space="0" w:color="auto"/>
            </w:tcBorders>
            <w:shd w:val="clear" w:color="auto" w:fill="auto"/>
            <w:hideMark/>
          </w:tcPr>
          <w:p w14:paraId="04FE2A87" w14:textId="77777777" w:rsidR="00EC5C0A" w:rsidRPr="00DB3FF1" w:rsidRDefault="00EC5C0A" w:rsidP="00EC5C0A">
            <w:pPr>
              <w:rPr>
                <w:rFonts w:cs="Calibri"/>
                <w:sz w:val="18"/>
                <w:szCs w:val="18"/>
              </w:rPr>
            </w:pPr>
            <w:r w:rsidRPr="00DB3FF1">
              <w:rPr>
                <w:rFonts w:cs="Calibri"/>
                <w:sz w:val="18"/>
                <w:szCs w:val="18"/>
              </w:rPr>
              <w:t> </w:t>
            </w:r>
          </w:p>
        </w:tc>
        <w:tc>
          <w:tcPr>
            <w:tcW w:w="2506" w:type="dxa"/>
            <w:tcBorders>
              <w:top w:val="nil"/>
              <w:left w:val="nil"/>
              <w:bottom w:val="single" w:sz="4" w:space="0" w:color="auto"/>
              <w:right w:val="single" w:sz="4" w:space="0" w:color="auto"/>
            </w:tcBorders>
            <w:shd w:val="clear" w:color="auto" w:fill="auto"/>
            <w:hideMark/>
          </w:tcPr>
          <w:p w14:paraId="25B2310C" w14:textId="77777777" w:rsidR="00EC5C0A" w:rsidRPr="00DB3FF1" w:rsidRDefault="00EC5C0A" w:rsidP="00EC5C0A">
            <w:pPr>
              <w:rPr>
                <w:rFonts w:cs="Calibri"/>
                <w:sz w:val="18"/>
                <w:szCs w:val="18"/>
              </w:rPr>
            </w:pPr>
            <w:r w:rsidRPr="00DB3FF1">
              <w:rPr>
                <w:rFonts w:cs="Calibri"/>
                <w:sz w:val="18"/>
                <w:szCs w:val="18"/>
              </w:rPr>
              <w:t>Evidence zemřelých je součástí modulu Hřbitovní agenda.</w:t>
            </w:r>
          </w:p>
        </w:tc>
      </w:tr>
      <w:tr w:rsidR="00EC5C0A" w:rsidRPr="00DB3FF1" w14:paraId="746894F1" w14:textId="77777777" w:rsidTr="000F2E84">
        <w:trPr>
          <w:trHeight w:val="1800"/>
        </w:trPr>
        <w:tc>
          <w:tcPr>
            <w:tcW w:w="437" w:type="dxa"/>
            <w:tcBorders>
              <w:top w:val="nil"/>
              <w:left w:val="single" w:sz="4" w:space="0" w:color="auto"/>
              <w:bottom w:val="single" w:sz="4" w:space="0" w:color="auto"/>
              <w:right w:val="single" w:sz="4" w:space="0" w:color="auto"/>
            </w:tcBorders>
            <w:shd w:val="clear" w:color="auto" w:fill="auto"/>
            <w:hideMark/>
          </w:tcPr>
          <w:p w14:paraId="4CB6BB89" w14:textId="77777777" w:rsidR="00EC5C0A" w:rsidRPr="00DB3FF1" w:rsidRDefault="00EC5C0A" w:rsidP="00EC5C0A">
            <w:pPr>
              <w:rPr>
                <w:rFonts w:cs="Calibri"/>
                <w:sz w:val="18"/>
                <w:szCs w:val="18"/>
              </w:rPr>
            </w:pPr>
            <w:r w:rsidRPr="00DB3FF1">
              <w:rPr>
                <w:rFonts w:cs="Calibri"/>
                <w:sz w:val="18"/>
                <w:szCs w:val="18"/>
              </w:rPr>
              <w:t>G6</w:t>
            </w:r>
          </w:p>
        </w:tc>
        <w:tc>
          <w:tcPr>
            <w:tcW w:w="1089" w:type="dxa"/>
            <w:tcBorders>
              <w:top w:val="nil"/>
              <w:left w:val="nil"/>
              <w:bottom w:val="single" w:sz="4" w:space="0" w:color="auto"/>
              <w:right w:val="single" w:sz="4" w:space="0" w:color="auto"/>
            </w:tcBorders>
            <w:shd w:val="clear" w:color="auto" w:fill="auto"/>
            <w:hideMark/>
          </w:tcPr>
          <w:p w14:paraId="1945479F" w14:textId="77777777" w:rsidR="00EC5C0A" w:rsidRPr="00DB3FF1" w:rsidRDefault="00EC5C0A" w:rsidP="00EC5C0A">
            <w:pPr>
              <w:rPr>
                <w:rFonts w:cs="Calibri"/>
                <w:sz w:val="18"/>
                <w:szCs w:val="18"/>
              </w:rPr>
            </w:pPr>
            <w:r w:rsidRPr="00DB3FF1">
              <w:rPr>
                <w:rFonts w:cs="Calibri"/>
                <w:sz w:val="18"/>
                <w:szCs w:val="18"/>
              </w:rPr>
              <w:t> </w:t>
            </w:r>
          </w:p>
        </w:tc>
        <w:tc>
          <w:tcPr>
            <w:tcW w:w="2297" w:type="dxa"/>
            <w:tcBorders>
              <w:top w:val="nil"/>
              <w:left w:val="nil"/>
              <w:bottom w:val="single" w:sz="4" w:space="0" w:color="auto"/>
              <w:right w:val="single" w:sz="4" w:space="0" w:color="auto"/>
            </w:tcBorders>
            <w:shd w:val="clear" w:color="auto" w:fill="auto"/>
            <w:hideMark/>
          </w:tcPr>
          <w:p w14:paraId="11D951DE" w14:textId="77777777" w:rsidR="00EC5C0A" w:rsidRPr="00DB3FF1" w:rsidRDefault="00EC5C0A" w:rsidP="00EC5C0A">
            <w:pPr>
              <w:rPr>
                <w:rFonts w:cs="Calibri"/>
                <w:sz w:val="18"/>
                <w:szCs w:val="18"/>
              </w:rPr>
            </w:pPr>
            <w:r w:rsidRPr="00DB3FF1">
              <w:rPr>
                <w:rFonts w:cs="Calibri"/>
                <w:sz w:val="18"/>
                <w:szCs w:val="18"/>
              </w:rPr>
              <w:t>po uplynutí doby pronájmu hrobového místa automatické nabízení tvorby Předpisu nájmu na další období. Předpis zahrnuje nájem (osvobozeno od DPH) a služby hřbitovní (snížená sazba DPH)</w:t>
            </w:r>
          </w:p>
        </w:tc>
        <w:tc>
          <w:tcPr>
            <w:tcW w:w="1134" w:type="dxa"/>
            <w:tcBorders>
              <w:top w:val="nil"/>
              <w:left w:val="nil"/>
              <w:bottom w:val="single" w:sz="4" w:space="0" w:color="auto"/>
              <w:right w:val="single" w:sz="4" w:space="0" w:color="auto"/>
            </w:tcBorders>
            <w:shd w:val="clear" w:color="auto" w:fill="auto"/>
            <w:hideMark/>
          </w:tcPr>
          <w:p w14:paraId="5926607A" w14:textId="017B8A51" w:rsidR="00EC5C0A" w:rsidRPr="00EC5C0A" w:rsidRDefault="00EC5C0A" w:rsidP="00EC5C0A">
            <w:pPr>
              <w:jc w:val="center"/>
              <w:rPr>
                <w:rFonts w:asciiTheme="minorHAnsi" w:hAnsiTheme="minorHAnsi" w:cstheme="minorHAnsi"/>
                <w:sz w:val="18"/>
                <w:szCs w:val="18"/>
              </w:rPr>
            </w:pPr>
            <w:r w:rsidRPr="006568DB">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0501651" w14:textId="77777777" w:rsidR="00EC5C0A" w:rsidRPr="00DB3FF1" w:rsidRDefault="00EC5C0A" w:rsidP="00EC5C0A">
            <w:pPr>
              <w:rPr>
                <w:rFonts w:cs="Calibri"/>
                <w:sz w:val="18"/>
                <w:szCs w:val="18"/>
              </w:rPr>
            </w:pPr>
            <w:r w:rsidRPr="00DB3FF1">
              <w:rPr>
                <w:rFonts w:cs="Calibri"/>
                <w:sz w:val="18"/>
                <w:szCs w:val="18"/>
              </w:rPr>
              <w:t> </w:t>
            </w:r>
          </w:p>
        </w:tc>
        <w:tc>
          <w:tcPr>
            <w:tcW w:w="1180" w:type="dxa"/>
            <w:tcBorders>
              <w:top w:val="nil"/>
              <w:left w:val="nil"/>
              <w:bottom w:val="single" w:sz="4" w:space="0" w:color="auto"/>
              <w:right w:val="single" w:sz="4" w:space="0" w:color="auto"/>
            </w:tcBorders>
            <w:shd w:val="clear" w:color="auto" w:fill="auto"/>
            <w:hideMark/>
          </w:tcPr>
          <w:p w14:paraId="0B74EDC8" w14:textId="77777777" w:rsidR="00EC5C0A" w:rsidRPr="00DB3FF1" w:rsidRDefault="00EC5C0A" w:rsidP="00EC5C0A">
            <w:pPr>
              <w:rPr>
                <w:rFonts w:cs="Calibri"/>
                <w:sz w:val="18"/>
                <w:szCs w:val="18"/>
              </w:rPr>
            </w:pPr>
            <w:r w:rsidRPr="00DB3FF1">
              <w:rPr>
                <w:rFonts w:cs="Calibri"/>
                <w:sz w:val="18"/>
                <w:szCs w:val="18"/>
              </w:rPr>
              <w:t> </w:t>
            </w:r>
          </w:p>
        </w:tc>
        <w:tc>
          <w:tcPr>
            <w:tcW w:w="2506" w:type="dxa"/>
            <w:tcBorders>
              <w:top w:val="nil"/>
              <w:left w:val="nil"/>
              <w:bottom w:val="single" w:sz="4" w:space="0" w:color="auto"/>
              <w:right w:val="single" w:sz="4" w:space="0" w:color="auto"/>
            </w:tcBorders>
            <w:shd w:val="clear" w:color="auto" w:fill="auto"/>
            <w:hideMark/>
          </w:tcPr>
          <w:p w14:paraId="1FD2C8A8" w14:textId="77777777" w:rsidR="00EC5C0A" w:rsidRPr="00DB3FF1" w:rsidRDefault="00EC5C0A" w:rsidP="00EC5C0A">
            <w:pPr>
              <w:rPr>
                <w:rFonts w:cs="Calibri"/>
                <w:sz w:val="18"/>
                <w:szCs w:val="18"/>
              </w:rPr>
            </w:pPr>
            <w:r w:rsidRPr="00DB3FF1">
              <w:rPr>
                <w:rFonts w:cs="Calibri"/>
                <w:sz w:val="18"/>
                <w:szCs w:val="18"/>
              </w:rPr>
              <w:t>Smlouva na nájem hrobového místa může kromě vlastního nájmu obsahovat i další pravidelné služby.</w:t>
            </w:r>
            <w:r w:rsidRPr="00DB3FF1">
              <w:rPr>
                <w:rFonts w:cs="Calibri"/>
                <w:sz w:val="18"/>
                <w:szCs w:val="18"/>
              </w:rPr>
              <w:br/>
              <w:t>S blížícím se termínem pro další předpis nájmu systém upozorní správce na potřebu vytvoření Předpisu nájmu na další období.</w:t>
            </w:r>
          </w:p>
        </w:tc>
      </w:tr>
      <w:tr w:rsidR="00EC5C0A" w:rsidRPr="00DB3FF1" w14:paraId="1ECB9388" w14:textId="77777777" w:rsidTr="000F2E84">
        <w:trPr>
          <w:trHeight w:val="1200"/>
        </w:trPr>
        <w:tc>
          <w:tcPr>
            <w:tcW w:w="437" w:type="dxa"/>
            <w:tcBorders>
              <w:top w:val="nil"/>
              <w:left w:val="single" w:sz="4" w:space="0" w:color="auto"/>
              <w:bottom w:val="single" w:sz="4" w:space="0" w:color="auto"/>
              <w:right w:val="single" w:sz="4" w:space="0" w:color="auto"/>
            </w:tcBorders>
            <w:shd w:val="clear" w:color="auto" w:fill="auto"/>
            <w:hideMark/>
          </w:tcPr>
          <w:p w14:paraId="6B26DF6E" w14:textId="77777777" w:rsidR="00EC5C0A" w:rsidRPr="00DB3FF1" w:rsidRDefault="00EC5C0A" w:rsidP="00EC5C0A">
            <w:pPr>
              <w:rPr>
                <w:rFonts w:cs="Calibri"/>
                <w:sz w:val="18"/>
                <w:szCs w:val="18"/>
              </w:rPr>
            </w:pPr>
            <w:r w:rsidRPr="00DB3FF1">
              <w:rPr>
                <w:rFonts w:cs="Calibri"/>
                <w:sz w:val="18"/>
                <w:szCs w:val="18"/>
              </w:rPr>
              <w:t>G7</w:t>
            </w:r>
          </w:p>
        </w:tc>
        <w:tc>
          <w:tcPr>
            <w:tcW w:w="1089" w:type="dxa"/>
            <w:tcBorders>
              <w:top w:val="nil"/>
              <w:left w:val="nil"/>
              <w:bottom w:val="single" w:sz="4" w:space="0" w:color="auto"/>
              <w:right w:val="single" w:sz="4" w:space="0" w:color="auto"/>
            </w:tcBorders>
            <w:shd w:val="clear" w:color="auto" w:fill="auto"/>
            <w:hideMark/>
          </w:tcPr>
          <w:p w14:paraId="4D565ECB" w14:textId="77777777" w:rsidR="00EC5C0A" w:rsidRPr="00DB3FF1" w:rsidRDefault="00EC5C0A" w:rsidP="00EC5C0A">
            <w:pPr>
              <w:rPr>
                <w:rFonts w:cs="Calibri"/>
                <w:sz w:val="18"/>
                <w:szCs w:val="18"/>
              </w:rPr>
            </w:pPr>
            <w:r w:rsidRPr="00DB3FF1">
              <w:rPr>
                <w:rFonts w:cs="Calibri"/>
                <w:sz w:val="18"/>
                <w:szCs w:val="18"/>
              </w:rPr>
              <w:t> </w:t>
            </w:r>
          </w:p>
        </w:tc>
        <w:tc>
          <w:tcPr>
            <w:tcW w:w="2297" w:type="dxa"/>
            <w:tcBorders>
              <w:top w:val="nil"/>
              <w:left w:val="nil"/>
              <w:bottom w:val="single" w:sz="4" w:space="0" w:color="auto"/>
              <w:right w:val="single" w:sz="4" w:space="0" w:color="auto"/>
            </w:tcBorders>
            <w:shd w:val="clear" w:color="auto" w:fill="auto"/>
            <w:hideMark/>
          </w:tcPr>
          <w:p w14:paraId="057F77E1" w14:textId="77777777" w:rsidR="00EC5C0A" w:rsidRPr="00DB3FF1" w:rsidRDefault="00EC5C0A" w:rsidP="00EC5C0A">
            <w:pPr>
              <w:rPr>
                <w:rFonts w:cs="Calibri"/>
                <w:sz w:val="18"/>
                <w:szCs w:val="18"/>
              </w:rPr>
            </w:pPr>
            <w:r w:rsidRPr="00DB3FF1">
              <w:rPr>
                <w:rFonts w:cs="Calibri"/>
                <w:sz w:val="18"/>
                <w:szCs w:val="18"/>
              </w:rPr>
              <w:t>Při předpisu nájmu a služeb na více let dopředu možnost vytvoření výnosů příštích období (časové rozlišení dle zákona o účetnictví)</w:t>
            </w:r>
          </w:p>
        </w:tc>
        <w:tc>
          <w:tcPr>
            <w:tcW w:w="1134" w:type="dxa"/>
            <w:tcBorders>
              <w:top w:val="nil"/>
              <w:left w:val="nil"/>
              <w:bottom w:val="single" w:sz="4" w:space="0" w:color="auto"/>
              <w:right w:val="single" w:sz="4" w:space="0" w:color="auto"/>
            </w:tcBorders>
            <w:shd w:val="clear" w:color="auto" w:fill="auto"/>
            <w:hideMark/>
          </w:tcPr>
          <w:p w14:paraId="062695F5" w14:textId="60580CF1" w:rsidR="00EC5C0A" w:rsidRPr="00EC5C0A" w:rsidRDefault="00EC5C0A" w:rsidP="00EC5C0A">
            <w:pPr>
              <w:jc w:val="center"/>
              <w:rPr>
                <w:rFonts w:asciiTheme="minorHAnsi" w:hAnsiTheme="minorHAnsi" w:cstheme="minorHAnsi"/>
                <w:sz w:val="18"/>
                <w:szCs w:val="18"/>
              </w:rPr>
            </w:pPr>
            <w:r w:rsidRPr="00FD3F1E">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15399B8" w14:textId="77777777" w:rsidR="00EC5C0A" w:rsidRPr="00DB3FF1" w:rsidRDefault="00EC5C0A" w:rsidP="00EC5C0A">
            <w:pPr>
              <w:rPr>
                <w:rFonts w:cs="Calibri"/>
                <w:sz w:val="18"/>
                <w:szCs w:val="18"/>
              </w:rPr>
            </w:pPr>
            <w:r w:rsidRPr="00DB3FF1">
              <w:rPr>
                <w:rFonts w:cs="Calibri"/>
                <w:sz w:val="18"/>
                <w:szCs w:val="18"/>
              </w:rPr>
              <w:t> </w:t>
            </w:r>
          </w:p>
        </w:tc>
        <w:tc>
          <w:tcPr>
            <w:tcW w:w="1180" w:type="dxa"/>
            <w:tcBorders>
              <w:top w:val="nil"/>
              <w:left w:val="nil"/>
              <w:bottom w:val="single" w:sz="4" w:space="0" w:color="auto"/>
              <w:right w:val="single" w:sz="4" w:space="0" w:color="auto"/>
            </w:tcBorders>
            <w:shd w:val="clear" w:color="auto" w:fill="auto"/>
            <w:hideMark/>
          </w:tcPr>
          <w:p w14:paraId="4F3CE6C8" w14:textId="77777777" w:rsidR="00EC5C0A" w:rsidRPr="00DB3FF1" w:rsidRDefault="00EC5C0A" w:rsidP="00EC5C0A">
            <w:pPr>
              <w:rPr>
                <w:rFonts w:cs="Calibri"/>
                <w:sz w:val="18"/>
                <w:szCs w:val="18"/>
              </w:rPr>
            </w:pPr>
            <w:r w:rsidRPr="00DB3FF1">
              <w:rPr>
                <w:rFonts w:cs="Calibri"/>
                <w:sz w:val="18"/>
                <w:szCs w:val="18"/>
              </w:rPr>
              <w:t> </w:t>
            </w:r>
          </w:p>
        </w:tc>
        <w:tc>
          <w:tcPr>
            <w:tcW w:w="2506" w:type="dxa"/>
            <w:tcBorders>
              <w:top w:val="nil"/>
              <w:left w:val="nil"/>
              <w:bottom w:val="single" w:sz="4" w:space="0" w:color="auto"/>
              <w:right w:val="single" w:sz="4" w:space="0" w:color="auto"/>
            </w:tcBorders>
            <w:shd w:val="clear" w:color="auto" w:fill="auto"/>
            <w:hideMark/>
          </w:tcPr>
          <w:p w14:paraId="6E6E76AC" w14:textId="77777777" w:rsidR="00EC5C0A" w:rsidRPr="00DB3FF1" w:rsidRDefault="00EC5C0A" w:rsidP="00EC5C0A">
            <w:pPr>
              <w:rPr>
                <w:rFonts w:cs="Calibri"/>
                <w:sz w:val="18"/>
                <w:szCs w:val="18"/>
              </w:rPr>
            </w:pPr>
            <w:r w:rsidRPr="00DB3FF1">
              <w:rPr>
                <w:rFonts w:cs="Calibri"/>
                <w:sz w:val="18"/>
                <w:szCs w:val="18"/>
              </w:rPr>
              <w:t>V případě, že jsou vystavovány pohledávky z předpisu nájmů a služeb na delší období, použije se standardní funkčnost HELIOS pro zaúčtování výnosů příštích období.</w:t>
            </w:r>
          </w:p>
        </w:tc>
      </w:tr>
      <w:tr w:rsidR="00EC5C0A" w:rsidRPr="00DB3FF1" w14:paraId="1F657EBF" w14:textId="77777777" w:rsidTr="000F2E84">
        <w:trPr>
          <w:trHeight w:val="2700"/>
        </w:trPr>
        <w:tc>
          <w:tcPr>
            <w:tcW w:w="437" w:type="dxa"/>
            <w:tcBorders>
              <w:top w:val="nil"/>
              <w:left w:val="single" w:sz="4" w:space="0" w:color="auto"/>
              <w:bottom w:val="single" w:sz="4" w:space="0" w:color="auto"/>
              <w:right w:val="single" w:sz="4" w:space="0" w:color="auto"/>
            </w:tcBorders>
            <w:shd w:val="clear" w:color="auto" w:fill="auto"/>
            <w:hideMark/>
          </w:tcPr>
          <w:p w14:paraId="02E78361" w14:textId="77777777" w:rsidR="00EC5C0A" w:rsidRPr="00DB3FF1" w:rsidRDefault="00EC5C0A" w:rsidP="00EC5C0A">
            <w:pPr>
              <w:rPr>
                <w:rFonts w:cs="Calibri"/>
                <w:sz w:val="18"/>
                <w:szCs w:val="18"/>
              </w:rPr>
            </w:pPr>
            <w:r w:rsidRPr="00DB3FF1">
              <w:rPr>
                <w:rFonts w:cs="Calibri"/>
                <w:sz w:val="18"/>
                <w:szCs w:val="18"/>
              </w:rPr>
              <w:t>G8</w:t>
            </w:r>
          </w:p>
        </w:tc>
        <w:tc>
          <w:tcPr>
            <w:tcW w:w="1089" w:type="dxa"/>
            <w:tcBorders>
              <w:top w:val="nil"/>
              <w:left w:val="nil"/>
              <w:bottom w:val="single" w:sz="4" w:space="0" w:color="auto"/>
              <w:right w:val="single" w:sz="4" w:space="0" w:color="auto"/>
            </w:tcBorders>
            <w:shd w:val="clear" w:color="auto" w:fill="auto"/>
            <w:hideMark/>
          </w:tcPr>
          <w:p w14:paraId="06A7D1D8" w14:textId="77777777" w:rsidR="00EC5C0A" w:rsidRPr="00DB3FF1" w:rsidRDefault="00EC5C0A" w:rsidP="00EC5C0A">
            <w:pPr>
              <w:rPr>
                <w:rFonts w:cs="Calibri"/>
                <w:sz w:val="18"/>
                <w:szCs w:val="18"/>
              </w:rPr>
            </w:pPr>
            <w:r w:rsidRPr="00DB3FF1">
              <w:rPr>
                <w:rFonts w:cs="Calibri"/>
                <w:sz w:val="18"/>
                <w:szCs w:val="18"/>
              </w:rPr>
              <w:t> </w:t>
            </w:r>
          </w:p>
        </w:tc>
        <w:tc>
          <w:tcPr>
            <w:tcW w:w="2297" w:type="dxa"/>
            <w:tcBorders>
              <w:top w:val="nil"/>
              <w:left w:val="nil"/>
              <w:bottom w:val="single" w:sz="4" w:space="0" w:color="auto"/>
              <w:right w:val="single" w:sz="4" w:space="0" w:color="auto"/>
            </w:tcBorders>
            <w:shd w:val="clear" w:color="auto" w:fill="auto"/>
            <w:hideMark/>
          </w:tcPr>
          <w:p w14:paraId="6F2A0863" w14:textId="77777777" w:rsidR="00EC5C0A" w:rsidRPr="00DB3FF1" w:rsidRDefault="00EC5C0A" w:rsidP="00EC5C0A">
            <w:pPr>
              <w:rPr>
                <w:rFonts w:cs="Calibri"/>
                <w:sz w:val="18"/>
                <w:szCs w:val="18"/>
              </w:rPr>
            </w:pPr>
            <w:r w:rsidRPr="00DB3FF1">
              <w:rPr>
                <w:rFonts w:cs="Calibri"/>
                <w:sz w:val="18"/>
                <w:szCs w:val="18"/>
              </w:rPr>
              <w:t>nájemní smlouvy na hrobová místa, evidence, tvorba, řazení dle hřbitovů</w:t>
            </w:r>
          </w:p>
        </w:tc>
        <w:tc>
          <w:tcPr>
            <w:tcW w:w="1134" w:type="dxa"/>
            <w:tcBorders>
              <w:top w:val="nil"/>
              <w:left w:val="nil"/>
              <w:bottom w:val="single" w:sz="4" w:space="0" w:color="auto"/>
              <w:right w:val="single" w:sz="4" w:space="0" w:color="auto"/>
            </w:tcBorders>
            <w:shd w:val="clear" w:color="auto" w:fill="auto"/>
            <w:hideMark/>
          </w:tcPr>
          <w:p w14:paraId="3A90A249" w14:textId="5A2E1944" w:rsidR="00EC5C0A" w:rsidRPr="00EC5C0A" w:rsidRDefault="00EC5C0A" w:rsidP="00EC5C0A">
            <w:pPr>
              <w:jc w:val="center"/>
              <w:rPr>
                <w:rFonts w:asciiTheme="minorHAnsi" w:hAnsiTheme="minorHAnsi" w:cstheme="minorHAnsi"/>
                <w:sz w:val="18"/>
                <w:szCs w:val="18"/>
              </w:rPr>
            </w:pPr>
            <w:r w:rsidRPr="00FD3F1E">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9AE9D77" w14:textId="77777777" w:rsidR="00EC5C0A" w:rsidRPr="00DB3FF1" w:rsidRDefault="00EC5C0A" w:rsidP="00EC5C0A">
            <w:pPr>
              <w:rPr>
                <w:rFonts w:cs="Calibri"/>
                <w:sz w:val="18"/>
                <w:szCs w:val="18"/>
              </w:rPr>
            </w:pPr>
            <w:r w:rsidRPr="00DB3FF1">
              <w:rPr>
                <w:rFonts w:cs="Calibri"/>
                <w:sz w:val="18"/>
                <w:szCs w:val="18"/>
              </w:rPr>
              <w:t> </w:t>
            </w:r>
          </w:p>
        </w:tc>
        <w:tc>
          <w:tcPr>
            <w:tcW w:w="1180" w:type="dxa"/>
            <w:tcBorders>
              <w:top w:val="nil"/>
              <w:left w:val="nil"/>
              <w:bottom w:val="single" w:sz="4" w:space="0" w:color="auto"/>
              <w:right w:val="single" w:sz="4" w:space="0" w:color="auto"/>
            </w:tcBorders>
            <w:shd w:val="clear" w:color="auto" w:fill="auto"/>
            <w:hideMark/>
          </w:tcPr>
          <w:p w14:paraId="1ADBBAFF" w14:textId="77777777" w:rsidR="00EC5C0A" w:rsidRPr="00DB3FF1" w:rsidRDefault="00EC5C0A" w:rsidP="00EC5C0A">
            <w:pPr>
              <w:rPr>
                <w:rFonts w:cs="Calibri"/>
                <w:sz w:val="18"/>
                <w:szCs w:val="18"/>
              </w:rPr>
            </w:pPr>
            <w:r w:rsidRPr="00DB3FF1">
              <w:rPr>
                <w:rFonts w:cs="Calibri"/>
                <w:sz w:val="18"/>
                <w:szCs w:val="18"/>
              </w:rPr>
              <w:t> </w:t>
            </w:r>
          </w:p>
        </w:tc>
        <w:tc>
          <w:tcPr>
            <w:tcW w:w="2506" w:type="dxa"/>
            <w:tcBorders>
              <w:top w:val="nil"/>
              <w:left w:val="nil"/>
              <w:bottom w:val="single" w:sz="4" w:space="0" w:color="auto"/>
              <w:right w:val="single" w:sz="4" w:space="0" w:color="auto"/>
            </w:tcBorders>
            <w:shd w:val="clear" w:color="auto" w:fill="auto"/>
            <w:hideMark/>
          </w:tcPr>
          <w:p w14:paraId="7AA1772A" w14:textId="77777777" w:rsidR="00EC5C0A" w:rsidRPr="00DB3FF1" w:rsidRDefault="00EC5C0A" w:rsidP="00EC5C0A">
            <w:pPr>
              <w:rPr>
                <w:rFonts w:cs="Calibri"/>
                <w:sz w:val="18"/>
                <w:szCs w:val="18"/>
              </w:rPr>
            </w:pPr>
            <w:r w:rsidRPr="00DB3FF1">
              <w:rPr>
                <w:rFonts w:cs="Calibri"/>
                <w:sz w:val="18"/>
                <w:szCs w:val="18"/>
              </w:rPr>
              <w:t>Nájemní smlouvy se spravují v souvislosti s hrobovými místy, systém hlídá, aby nedošlo k překrytí datumů nájemních smluv na jednom hrobovém místě.</w:t>
            </w:r>
            <w:r w:rsidRPr="00DB3FF1">
              <w:rPr>
                <w:rFonts w:cs="Calibri"/>
                <w:sz w:val="18"/>
                <w:szCs w:val="18"/>
              </w:rPr>
              <w:br/>
              <w:t>Číselník hřbitovů je součástí Hřbitovní agendy a každé hrobové místo je tak přiřazeno ke konkrétnímu hřbitovu. je tak možné provádět výběry nebo řazení nájemních smluv také podle hřbitovů.</w:t>
            </w:r>
          </w:p>
        </w:tc>
      </w:tr>
      <w:tr w:rsidR="00EC5C0A" w:rsidRPr="00DB3FF1" w14:paraId="11FD6F76" w14:textId="77777777" w:rsidTr="00D40A62">
        <w:trPr>
          <w:trHeight w:val="1500"/>
        </w:trPr>
        <w:tc>
          <w:tcPr>
            <w:tcW w:w="437" w:type="dxa"/>
            <w:tcBorders>
              <w:top w:val="nil"/>
              <w:left w:val="single" w:sz="4" w:space="0" w:color="auto"/>
              <w:bottom w:val="single" w:sz="4" w:space="0" w:color="auto"/>
              <w:right w:val="single" w:sz="4" w:space="0" w:color="auto"/>
            </w:tcBorders>
            <w:shd w:val="clear" w:color="auto" w:fill="auto"/>
            <w:noWrap/>
            <w:vAlign w:val="bottom"/>
            <w:hideMark/>
          </w:tcPr>
          <w:p w14:paraId="13BC1BDD" w14:textId="77777777" w:rsidR="00EC5C0A" w:rsidRPr="00DB3FF1" w:rsidRDefault="00EC5C0A" w:rsidP="00EC5C0A">
            <w:pPr>
              <w:rPr>
                <w:rFonts w:cs="Calibri"/>
                <w:color w:val="000000"/>
                <w:sz w:val="18"/>
                <w:szCs w:val="18"/>
              </w:rPr>
            </w:pPr>
            <w:r w:rsidRPr="00DB3FF1">
              <w:rPr>
                <w:rFonts w:cs="Calibri"/>
                <w:color w:val="000000"/>
                <w:sz w:val="18"/>
                <w:szCs w:val="18"/>
              </w:rPr>
              <w:t>G9</w:t>
            </w:r>
          </w:p>
        </w:tc>
        <w:tc>
          <w:tcPr>
            <w:tcW w:w="1089" w:type="dxa"/>
            <w:tcBorders>
              <w:top w:val="nil"/>
              <w:left w:val="nil"/>
              <w:bottom w:val="single" w:sz="4" w:space="0" w:color="auto"/>
              <w:right w:val="single" w:sz="4" w:space="0" w:color="auto"/>
            </w:tcBorders>
            <w:shd w:val="clear" w:color="auto" w:fill="auto"/>
            <w:noWrap/>
            <w:vAlign w:val="bottom"/>
            <w:hideMark/>
          </w:tcPr>
          <w:p w14:paraId="3285A2C9" w14:textId="77777777" w:rsidR="00EC5C0A" w:rsidRPr="00DB3FF1" w:rsidRDefault="00EC5C0A" w:rsidP="00EC5C0A">
            <w:pPr>
              <w:rPr>
                <w:rFonts w:cs="Calibri"/>
                <w:color w:val="000000"/>
                <w:sz w:val="18"/>
                <w:szCs w:val="18"/>
              </w:rPr>
            </w:pPr>
            <w:r w:rsidRPr="00DB3FF1">
              <w:rPr>
                <w:rFonts w:cs="Calibri"/>
                <w:color w:val="000000"/>
                <w:sz w:val="18"/>
                <w:szCs w:val="18"/>
              </w:rPr>
              <w:t> </w:t>
            </w:r>
          </w:p>
        </w:tc>
        <w:tc>
          <w:tcPr>
            <w:tcW w:w="2297" w:type="dxa"/>
            <w:tcBorders>
              <w:top w:val="nil"/>
              <w:left w:val="nil"/>
              <w:bottom w:val="single" w:sz="4" w:space="0" w:color="auto"/>
              <w:right w:val="single" w:sz="4" w:space="0" w:color="auto"/>
            </w:tcBorders>
            <w:shd w:val="clear" w:color="auto" w:fill="auto"/>
            <w:hideMark/>
          </w:tcPr>
          <w:p w14:paraId="4BC2C705" w14:textId="77777777" w:rsidR="00EC5C0A" w:rsidRPr="00DB3FF1" w:rsidRDefault="00EC5C0A" w:rsidP="00EC5C0A">
            <w:pPr>
              <w:rPr>
                <w:rFonts w:cs="Calibri"/>
                <w:sz w:val="18"/>
                <w:szCs w:val="18"/>
              </w:rPr>
            </w:pPr>
            <w:r w:rsidRPr="00DB3FF1">
              <w:rPr>
                <w:rFonts w:cs="Calibri"/>
                <w:sz w:val="18"/>
                <w:szCs w:val="18"/>
              </w:rPr>
              <w:t>možnost vystavení faktur za služby spojené s pronájmem obřadní síně</w:t>
            </w:r>
          </w:p>
        </w:tc>
        <w:tc>
          <w:tcPr>
            <w:tcW w:w="1134" w:type="dxa"/>
            <w:tcBorders>
              <w:top w:val="nil"/>
              <w:left w:val="nil"/>
              <w:bottom w:val="single" w:sz="4" w:space="0" w:color="auto"/>
              <w:right w:val="single" w:sz="4" w:space="0" w:color="auto"/>
            </w:tcBorders>
            <w:shd w:val="clear" w:color="auto" w:fill="auto"/>
            <w:noWrap/>
            <w:hideMark/>
          </w:tcPr>
          <w:p w14:paraId="0A59E808" w14:textId="5EB3A5DC" w:rsidR="00EC5C0A" w:rsidRPr="00EC5C0A" w:rsidRDefault="00EC5C0A" w:rsidP="00EC5C0A">
            <w:pPr>
              <w:jc w:val="center"/>
              <w:rPr>
                <w:rFonts w:asciiTheme="minorHAnsi" w:hAnsiTheme="minorHAnsi" w:cstheme="minorHAnsi"/>
                <w:sz w:val="18"/>
                <w:szCs w:val="18"/>
              </w:rPr>
            </w:pPr>
            <w:r w:rsidRPr="00FD3F1E">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noWrap/>
            <w:vAlign w:val="bottom"/>
            <w:hideMark/>
          </w:tcPr>
          <w:p w14:paraId="36272CE2" w14:textId="77777777" w:rsidR="00EC5C0A" w:rsidRPr="00DB3FF1" w:rsidRDefault="00EC5C0A" w:rsidP="00EC5C0A">
            <w:pPr>
              <w:rPr>
                <w:rFonts w:cs="Calibri"/>
                <w:color w:val="000000"/>
                <w:sz w:val="18"/>
                <w:szCs w:val="18"/>
              </w:rPr>
            </w:pPr>
            <w:r w:rsidRPr="00DB3FF1">
              <w:rPr>
                <w:rFonts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17F1B9DD" w14:textId="77777777" w:rsidR="00EC5C0A" w:rsidRPr="00DB3FF1" w:rsidRDefault="00EC5C0A" w:rsidP="00EC5C0A">
            <w:pPr>
              <w:rPr>
                <w:rFonts w:cs="Calibri"/>
                <w:color w:val="000000"/>
                <w:sz w:val="18"/>
                <w:szCs w:val="18"/>
              </w:rPr>
            </w:pPr>
            <w:r w:rsidRPr="00DB3FF1">
              <w:rPr>
                <w:rFonts w:cs="Calibri"/>
                <w:color w:val="000000"/>
                <w:sz w:val="18"/>
                <w:szCs w:val="18"/>
              </w:rPr>
              <w:t> </w:t>
            </w:r>
          </w:p>
        </w:tc>
        <w:tc>
          <w:tcPr>
            <w:tcW w:w="2506" w:type="dxa"/>
            <w:tcBorders>
              <w:top w:val="nil"/>
              <w:left w:val="nil"/>
              <w:bottom w:val="single" w:sz="4" w:space="0" w:color="auto"/>
              <w:right w:val="single" w:sz="4" w:space="0" w:color="auto"/>
            </w:tcBorders>
            <w:shd w:val="clear" w:color="auto" w:fill="auto"/>
            <w:hideMark/>
          </w:tcPr>
          <w:p w14:paraId="2F740C02" w14:textId="77777777" w:rsidR="00EC5C0A" w:rsidRPr="00DB3FF1" w:rsidRDefault="00EC5C0A" w:rsidP="00EC5C0A">
            <w:pPr>
              <w:rPr>
                <w:rFonts w:cs="Calibri"/>
                <w:sz w:val="18"/>
                <w:szCs w:val="18"/>
              </w:rPr>
            </w:pPr>
            <w:r w:rsidRPr="00DB3FF1">
              <w:rPr>
                <w:rFonts w:cs="Calibri"/>
                <w:sz w:val="18"/>
                <w:szCs w:val="18"/>
              </w:rPr>
              <w:t>Pro jednorázový požadavek, např. nájem obřadní síně, lze vystavit objednávku podobně, jako v modulu provoz. Z objednávky pak lze vystavit fakturu a dotáhnout do ním další služby nebo materiál.</w:t>
            </w:r>
          </w:p>
        </w:tc>
      </w:tr>
      <w:tr w:rsidR="00EC5C0A" w:rsidRPr="00DB3FF1" w14:paraId="5384532B" w14:textId="77777777" w:rsidTr="00D40A62">
        <w:trPr>
          <w:trHeight w:val="1200"/>
        </w:trPr>
        <w:tc>
          <w:tcPr>
            <w:tcW w:w="437" w:type="dxa"/>
            <w:tcBorders>
              <w:top w:val="nil"/>
              <w:left w:val="single" w:sz="4" w:space="0" w:color="auto"/>
              <w:bottom w:val="single" w:sz="4" w:space="0" w:color="auto"/>
              <w:right w:val="single" w:sz="4" w:space="0" w:color="auto"/>
            </w:tcBorders>
            <w:shd w:val="clear" w:color="auto" w:fill="auto"/>
            <w:noWrap/>
            <w:vAlign w:val="bottom"/>
            <w:hideMark/>
          </w:tcPr>
          <w:p w14:paraId="42A9C753" w14:textId="77777777" w:rsidR="00EC5C0A" w:rsidRPr="00DB3FF1" w:rsidRDefault="00EC5C0A" w:rsidP="00EC5C0A">
            <w:pPr>
              <w:rPr>
                <w:rFonts w:cs="Calibri"/>
                <w:color w:val="000000"/>
                <w:sz w:val="18"/>
                <w:szCs w:val="18"/>
              </w:rPr>
            </w:pPr>
            <w:r w:rsidRPr="00DB3FF1">
              <w:rPr>
                <w:rFonts w:cs="Calibri"/>
                <w:color w:val="000000"/>
                <w:sz w:val="18"/>
                <w:szCs w:val="18"/>
              </w:rPr>
              <w:t>G10</w:t>
            </w:r>
          </w:p>
        </w:tc>
        <w:tc>
          <w:tcPr>
            <w:tcW w:w="1089" w:type="dxa"/>
            <w:tcBorders>
              <w:top w:val="nil"/>
              <w:left w:val="nil"/>
              <w:bottom w:val="single" w:sz="4" w:space="0" w:color="auto"/>
              <w:right w:val="single" w:sz="4" w:space="0" w:color="auto"/>
            </w:tcBorders>
            <w:shd w:val="clear" w:color="auto" w:fill="auto"/>
            <w:noWrap/>
            <w:vAlign w:val="bottom"/>
            <w:hideMark/>
          </w:tcPr>
          <w:p w14:paraId="0650A39B" w14:textId="77777777" w:rsidR="00EC5C0A" w:rsidRPr="00DB3FF1" w:rsidRDefault="00EC5C0A" w:rsidP="00EC5C0A">
            <w:pPr>
              <w:rPr>
                <w:rFonts w:cs="Calibri"/>
                <w:color w:val="000000"/>
                <w:sz w:val="18"/>
                <w:szCs w:val="18"/>
              </w:rPr>
            </w:pPr>
            <w:r w:rsidRPr="00DB3FF1">
              <w:rPr>
                <w:rFonts w:cs="Calibri"/>
                <w:color w:val="000000"/>
                <w:sz w:val="18"/>
                <w:szCs w:val="18"/>
              </w:rPr>
              <w:t> </w:t>
            </w:r>
          </w:p>
        </w:tc>
        <w:tc>
          <w:tcPr>
            <w:tcW w:w="2297" w:type="dxa"/>
            <w:tcBorders>
              <w:top w:val="nil"/>
              <w:left w:val="nil"/>
              <w:bottom w:val="single" w:sz="4" w:space="0" w:color="auto"/>
              <w:right w:val="single" w:sz="4" w:space="0" w:color="auto"/>
            </w:tcBorders>
            <w:shd w:val="clear" w:color="auto" w:fill="auto"/>
            <w:hideMark/>
          </w:tcPr>
          <w:p w14:paraId="5EA12CBA" w14:textId="77777777" w:rsidR="00EC5C0A" w:rsidRPr="00DB3FF1" w:rsidRDefault="00EC5C0A" w:rsidP="00EC5C0A">
            <w:pPr>
              <w:rPr>
                <w:rFonts w:cs="Calibri"/>
                <w:sz w:val="18"/>
                <w:szCs w:val="18"/>
              </w:rPr>
            </w:pPr>
            <w:r w:rsidRPr="00DB3FF1">
              <w:rPr>
                <w:rFonts w:cs="Calibri"/>
                <w:sz w:val="18"/>
                <w:szCs w:val="18"/>
              </w:rPr>
              <w:t>možnost sledování zaplacených a nezaplacených Předpisů nájmů</w:t>
            </w:r>
          </w:p>
        </w:tc>
        <w:tc>
          <w:tcPr>
            <w:tcW w:w="1134" w:type="dxa"/>
            <w:tcBorders>
              <w:top w:val="nil"/>
              <w:left w:val="nil"/>
              <w:bottom w:val="single" w:sz="4" w:space="0" w:color="auto"/>
              <w:right w:val="single" w:sz="4" w:space="0" w:color="auto"/>
            </w:tcBorders>
            <w:shd w:val="clear" w:color="auto" w:fill="auto"/>
            <w:noWrap/>
            <w:hideMark/>
          </w:tcPr>
          <w:p w14:paraId="683DB6FB" w14:textId="6280F8AB" w:rsidR="00EC5C0A" w:rsidRPr="00EC5C0A" w:rsidRDefault="00EC5C0A" w:rsidP="00EC5C0A">
            <w:pPr>
              <w:jc w:val="center"/>
              <w:rPr>
                <w:rFonts w:asciiTheme="minorHAnsi" w:hAnsiTheme="minorHAnsi" w:cstheme="minorHAnsi"/>
                <w:sz w:val="18"/>
                <w:szCs w:val="18"/>
              </w:rPr>
            </w:pPr>
            <w:r w:rsidRPr="00FD3F1E">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noWrap/>
            <w:vAlign w:val="bottom"/>
            <w:hideMark/>
          </w:tcPr>
          <w:p w14:paraId="22A1AC1A" w14:textId="77777777" w:rsidR="00EC5C0A" w:rsidRPr="00DB3FF1" w:rsidRDefault="00EC5C0A" w:rsidP="00EC5C0A">
            <w:pPr>
              <w:rPr>
                <w:rFonts w:cs="Calibri"/>
                <w:color w:val="000000"/>
                <w:sz w:val="18"/>
                <w:szCs w:val="18"/>
              </w:rPr>
            </w:pPr>
            <w:r w:rsidRPr="00DB3FF1">
              <w:rPr>
                <w:rFonts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2F543105" w14:textId="77777777" w:rsidR="00EC5C0A" w:rsidRPr="00DB3FF1" w:rsidRDefault="00EC5C0A" w:rsidP="00EC5C0A">
            <w:pPr>
              <w:rPr>
                <w:rFonts w:cs="Calibri"/>
                <w:color w:val="000000"/>
                <w:sz w:val="18"/>
                <w:szCs w:val="18"/>
              </w:rPr>
            </w:pPr>
            <w:r w:rsidRPr="00DB3FF1">
              <w:rPr>
                <w:rFonts w:cs="Calibri"/>
                <w:color w:val="000000"/>
                <w:sz w:val="18"/>
                <w:szCs w:val="18"/>
              </w:rPr>
              <w:t> </w:t>
            </w:r>
          </w:p>
        </w:tc>
        <w:tc>
          <w:tcPr>
            <w:tcW w:w="2506" w:type="dxa"/>
            <w:tcBorders>
              <w:top w:val="nil"/>
              <w:left w:val="nil"/>
              <w:bottom w:val="single" w:sz="4" w:space="0" w:color="auto"/>
              <w:right w:val="single" w:sz="4" w:space="0" w:color="auto"/>
            </w:tcBorders>
            <w:shd w:val="clear" w:color="auto" w:fill="auto"/>
            <w:hideMark/>
          </w:tcPr>
          <w:p w14:paraId="4BE962E9" w14:textId="77777777" w:rsidR="00EC5C0A" w:rsidRPr="00DB3FF1" w:rsidRDefault="00EC5C0A" w:rsidP="00EC5C0A">
            <w:pPr>
              <w:rPr>
                <w:rFonts w:cs="Calibri"/>
                <w:sz w:val="18"/>
                <w:szCs w:val="18"/>
              </w:rPr>
            </w:pPr>
            <w:r w:rsidRPr="00DB3FF1">
              <w:rPr>
                <w:rFonts w:cs="Calibri"/>
                <w:sz w:val="18"/>
                <w:szCs w:val="18"/>
              </w:rPr>
              <w:t>K předpisu nájmu se v systému dostane úhrada pohledávky a lze tak odlišit Předpisy uhrazené od neuhrazených i se zohledněním datumu splatnosti.</w:t>
            </w:r>
          </w:p>
        </w:tc>
      </w:tr>
      <w:tr w:rsidR="00C03AF4" w:rsidRPr="00DB3FF1" w14:paraId="13B89102" w14:textId="77777777" w:rsidTr="000F2E84">
        <w:trPr>
          <w:trHeight w:val="1200"/>
        </w:trPr>
        <w:tc>
          <w:tcPr>
            <w:tcW w:w="437" w:type="dxa"/>
            <w:tcBorders>
              <w:top w:val="nil"/>
              <w:left w:val="single" w:sz="4" w:space="0" w:color="auto"/>
              <w:bottom w:val="single" w:sz="4" w:space="0" w:color="auto"/>
              <w:right w:val="single" w:sz="4" w:space="0" w:color="auto"/>
            </w:tcBorders>
            <w:shd w:val="clear" w:color="auto" w:fill="auto"/>
            <w:noWrap/>
            <w:vAlign w:val="bottom"/>
            <w:hideMark/>
          </w:tcPr>
          <w:p w14:paraId="16778040" w14:textId="77777777" w:rsidR="00C03AF4" w:rsidRPr="00DB3FF1" w:rsidRDefault="00C03AF4" w:rsidP="000F2E84">
            <w:pPr>
              <w:rPr>
                <w:rFonts w:cs="Calibri"/>
                <w:color w:val="000000"/>
                <w:sz w:val="18"/>
                <w:szCs w:val="18"/>
              </w:rPr>
            </w:pPr>
            <w:r w:rsidRPr="00DB3FF1">
              <w:rPr>
                <w:rFonts w:cs="Calibri"/>
                <w:color w:val="000000"/>
                <w:sz w:val="18"/>
                <w:szCs w:val="18"/>
              </w:rPr>
              <w:lastRenderedPageBreak/>
              <w:t>G11</w:t>
            </w:r>
          </w:p>
        </w:tc>
        <w:tc>
          <w:tcPr>
            <w:tcW w:w="1089" w:type="dxa"/>
            <w:tcBorders>
              <w:top w:val="nil"/>
              <w:left w:val="nil"/>
              <w:bottom w:val="single" w:sz="4" w:space="0" w:color="auto"/>
              <w:right w:val="single" w:sz="4" w:space="0" w:color="auto"/>
            </w:tcBorders>
            <w:shd w:val="clear" w:color="auto" w:fill="auto"/>
            <w:noWrap/>
            <w:vAlign w:val="bottom"/>
            <w:hideMark/>
          </w:tcPr>
          <w:p w14:paraId="017FD2BF" w14:textId="77777777" w:rsidR="00C03AF4" w:rsidRPr="00DB3FF1" w:rsidRDefault="00C03AF4" w:rsidP="000F2E84">
            <w:pPr>
              <w:rPr>
                <w:rFonts w:cs="Calibri"/>
                <w:color w:val="000000"/>
                <w:sz w:val="18"/>
                <w:szCs w:val="18"/>
              </w:rPr>
            </w:pPr>
            <w:r w:rsidRPr="00DB3FF1">
              <w:rPr>
                <w:rFonts w:cs="Calibri"/>
                <w:color w:val="000000"/>
                <w:sz w:val="18"/>
                <w:szCs w:val="18"/>
              </w:rPr>
              <w:t> </w:t>
            </w:r>
          </w:p>
        </w:tc>
        <w:tc>
          <w:tcPr>
            <w:tcW w:w="2297" w:type="dxa"/>
            <w:tcBorders>
              <w:top w:val="nil"/>
              <w:left w:val="nil"/>
              <w:bottom w:val="single" w:sz="4" w:space="0" w:color="auto"/>
              <w:right w:val="single" w:sz="4" w:space="0" w:color="auto"/>
            </w:tcBorders>
            <w:shd w:val="clear" w:color="auto" w:fill="auto"/>
            <w:hideMark/>
          </w:tcPr>
          <w:p w14:paraId="1FC4A568" w14:textId="77777777" w:rsidR="00C03AF4" w:rsidRPr="00DB3FF1" w:rsidRDefault="00C03AF4" w:rsidP="000F2E84">
            <w:pPr>
              <w:rPr>
                <w:rFonts w:cs="Calibri"/>
                <w:sz w:val="18"/>
                <w:szCs w:val="18"/>
              </w:rPr>
            </w:pPr>
            <w:r w:rsidRPr="00DB3FF1">
              <w:rPr>
                <w:rFonts w:cs="Calibri"/>
                <w:sz w:val="18"/>
                <w:szCs w:val="18"/>
              </w:rPr>
              <w:t>Pokladna - hotovostní příjmy</w:t>
            </w:r>
          </w:p>
        </w:tc>
        <w:tc>
          <w:tcPr>
            <w:tcW w:w="1134" w:type="dxa"/>
            <w:tcBorders>
              <w:top w:val="nil"/>
              <w:left w:val="nil"/>
              <w:bottom w:val="single" w:sz="4" w:space="0" w:color="auto"/>
              <w:right w:val="single" w:sz="4" w:space="0" w:color="auto"/>
            </w:tcBorders>
            <w:shd w:val="clear" w:color="auto" w:fill="auto"/>
            <w:noWrap/>
            <w:vAlign w:val="bottom"/>
            <w:hideMark/>
          </w:tcPr>
          <w:p w14:paraId="560A4D37" w14:textId="08D0A7EB" w:rsidR="00C03AF4" w:rsidRPr="00EC5C0A" w:rsidRDefault="00C03AF4" w:rsidP="00EC5C0A">
            <w:pPr>
              <w:jc w:val="center"/>
              <w:rPr>
                <w:rFonts w:asciiTheme="minorHAnsi" w:hAnsiTheme="minorHAnsi" w:cstheme="minorHAnsi"/>
                <w:sz w:val="18"/>
                <w:szCs w:val="18"/>
              </w:rPr>
            </w:pPr>
            <w:r w:rsidRPr="00EC5C0A">
              <w:rPr>
                <w:rFonts w:asciiTheme="minorHAnsi" w:hAnsiTheme="minorHAnsi" w:cstheme="minorHAnsi"/>
                <w:sz w:val="18"/>
                <w:szCs w:val="18"/>
              </w:rPr>
              <w:t> </w:t>
            </w:r>
            <w:r w:rsidR="00EC5C0A" w:rsidRPr="00EA675E">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noWrap/>
            <w:vAlign w:val="bottom"/>
            <w:hideMark/>
          </w:tcPr>
          <w:p w14:paraId="6441126E" w14:textId="77777777" w:rsidR="00C03AF4" w:rsidRPr="00DB3FF1" w:rsidRDefault="00C03AF4" w:rsidP="000F2E84">
            <w:pPr>
              <w:rPr>
                <w:rFonts w:cs="Calibri"/>
                <w:color w:val="000000"/>
                <w:sz w:val="18"/>
                <w:szCs w:val="18"/>
              </w:rPr>
            </w:pPr>
            <w:r w:rsidRPr="00DB3FF1">
              <w:rPr>
                <w:rFonts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2F6CE738" w14:textId="77777777" w:rsidR="00C03AF4" w:rsidRPr="00DB3FF1" w:rsidRDefault="00C03AF4" w:rsidP="000F2E84">
            <w:pPr>
              <w:rPr>
                <w:rFonts w:cs="Calibri"/>
                <w:color w:val="000000"/>
                <w:sz w:val="18"/>
                <w:szCs w:val="18"/>
              </w:rPr>
            </w:pPr>
            <w:r w:rsidRPr="00DB3FF1">
              <w:rPr>
                <w:rFonts w:cs="Calibri"/>
                <w:color w:val="000000"/>
                <w:sz w:val="18"/>
                <w:szCs w:val="18"/>
              </w:rPr>
              <w:t> </w:t>
            </w:r>
          </w:p>
        </w:tc>
        <w:tc>
          <w:tcPr>
            <w:tcW w:w="2506" w:type="dxa"/>
            <w:tcBorders>
              <w:top w:val="nil"/>
              <w:left w:val="nil"/>
              <w:bottom w:val="single" w:sz="4" w:space="0" w:color="auto"/>
              <w:right w:val="single" w:sz="4" w:space="0" w:color="auto"/>
            </w:tcBorders>
            <w:shd w:val="clear" w:color="auto" w:fill="auto"/>
            <w:hideMark/>
          </w:tcPr>
          <w:p w14:paraId="7FEF2056" w14:textId="77777777" w:rsidR="00C03AF4" w:rsidRPr="00DB3FF1" w:rsidRDefault="00C03AF4" w:rsidP="000F2E84">
            <w:pPr>
              <w:rPr>
                <w:rFonts w:cs="Calibri"/>
                <w:sz w:val="18"/>
                <w:szCs w:val="18"/>
              </w:rPr>
            </w:pPr>
            <w:r w:rsidRPr="00DB3FF1">
              <w:rPr>
                <w:rFonts w:cs="Calibri"/>
                <w:sz w:val="18"/>
                <w:szCs w:val="18"/>
              </w:rPr>
              <w:t>Pro hotovostní příjmy Hřbitovní agendy lze vytvořit samostatné pokladní místo, na kterém se budou sledovat hotovostní operace související s vedením hřbitovní agendy.</w:t>
            </w:r>
          </w:p>
        </w:tc>
      </w:tr>
      <w:tr w:rsidR="00C03AF4" w:rsidRPr="00DB3FF1" w14:paraId="2C94826B" w14:textId="77777777" w:rsidTr="000F2E84">
        <w:trPr>
          <w:trHeight w:val="2694"/>
        </w:trPr>
        <w:tc>
          <w:tcPr>
            <w:tcW w:w="437" w:type="dxa"/>
            <w:tcBorders>
              <w:top w:val="nil"/>
              <w:left w:val="single" w:sz="4" w:space="0" w:color="auto"/>
              <w:bottom w:val="single" w:sz="4" w:space="0" w:color="auto"/>
              <w:right w:val="single" w:sz="4" w:space="0" w:color="auto"/>
            </w:tcBorders>
            <w:shd w:val="clear" w:color="auto" w:fill="auto"/>
            <w:noWrap/>
            <w:vAlign w:val="bottom"/>
            <w:hideMark/>
          </w:tcPr>
          <w:p w14:paraId="2A9FC6AE" w14:textId="77777777" w:rsidR="00C03AF4" w:rsidRPr="00DB3FF1" w:rsidRDefault="00C03AF4" w:rsidP="000F2E84">
            <w:pPr>
              <w:rPr>
                <w:rFonts w:cs="Calibri"/>
                <w:color w:val="000000"/>
                <w:sz w:val="18"/>
                <w:szCs w:val="18"/>
              </w:rPr>
            </w:pPr>
            <w:r w:rsidRPr="00DB3FF1">
              <w:rPr>
                <w:rFonts w:cs="Calibri"/>
                <w:color w:val="000000"/>
                <w:sz w:val="18"/>
                <w:szCs w:val="18"/>
              </w:rPr>
              <w:t>G12</w:t>
            </w:r>
          </w:p>
        </w:tc>
        <w:tc>
          <w:tcPr>
            <w:tcW w:w="1089" w:type="dxa"/>
            <w:tcBorders>
              <w:top w:val="nil"/>
              <w:left w:val="nil"/>
              <w:bottom w:val="single" w:sz="4" w:space="0" w:color="auto"/>
              <w:right w:val="single" w:sz="4" w:space="0" w:color="auto"/>
            </w:tcBorders>
            <w:shd w:val="clear" w:color="auto" w:fill="auto"/>
            <w:noWrap/>
            <w:vAlign w:val="bottom"/>
            <w:hideMark/>
          </w:tcPr>
          <w:p w14:paraId="4E95C997" w14:textId="77777777" w:rsidR="00C03AF4" w:rsidRPr="00DB3FF1" w:rsidRDefault="00C03AF4" w:rsidP="000F2E84">
            <w:pPr>
              <w:rPr>
                <w:rFonts w:cs="Calibri"/>
                <w:color w:val="000000"/>
                <w:sz w:val="18"/>
                <w:szCs w:val="18"/>
              </w:rPr>
            </w:pPr>
            <w:r w:rsidRPr="00DB3FF1">
              <w:rPr>
                <w:rFonts w:cs="Calibri"/>
                <w:color w:val="000000"/>
                <w:sz w:val="18"/>
                <w:szCs w:val="18"/>
              </w:rPr>
              <w:t> </w:t>
            </w:r>
          </w:p>
        </w:tc>
        <w:tc>
          <w:tcPr>
            <w:tcW w:w="2297" w:type="dxa"/>
            <w:tcBorders>
              <w:top w:val="nil"/>
              <w:left w:val="nil"/>
              <w:bottom w:val="single" w:sz="4" w:space="0" w:color="auto"/>
              <w:right w:val="single" w:sz="4" w:space="0" w:color="auto"/>
            </w:tcBorders>
            <w:shd w:val="clear" w:color="auto" w:fill="auto"/>
            <w:hideMark/>
          </w:tcPr>
          <w:p w14:paraId="63639187" w14:textId="77777777" w:rsidR="00C03AF4" w:rsidRPr="00DB3FF1" w:rsidRDefault="00C03AF4" w:rsidP="000F2E84">
            <w:pPr>
              <w:rPr>
                <w:rFonts w:cs="Calibri"/>
                <w:sz w:val="18"/>
                <w:szCs w:val="18"/>
              </w:rPr>
            </w:pPr>
            <w:r w:rsidRPr="00DB3FF1">
              <w:rPr>
                <w:rFonts w:cs="Calibri"/>
                <w:sz w:val="18"/>
                <w:szCs w:val="18"/>
              </w:rPr>
              <w:t>Napojení pokladny na možnost úhrady platební kartou</w:t>
            </w:r>
          </w:p>
        </w:tc>
        <w:tc>
          <w:tcPr>
            <w:tcW w:w="1134" w:type="dxa"/>
            <w:tcBorders>
              <w:top w:val="nil"/>
              <w:left w:val="nil"/>
              <w:bottom w:val="single" w:sz="4" w:space="0" w:color="auto"/>
              <w:right w:val="single" w:sz="4" w:space="0" w:color="auto"/>
            </w:tcBorders>
            <w:shd w:val="clear" w:color="auto" w:fill="auto"/>
            <w:noWrap/>
            <w:vAlign w:val="bottom"/>
            <w:hideMark/>
          </w:tcPr>
          <w:p w14:paraId="7DD2C28E" w14:textId="47C69625" w:rsidR="00C03AF4" w:rsidRPr="00EC5C0A" w:rsidRDefault="00C03AF4" w:rsidP="00EC5C0A">
            <w:pPr>
              <w:jc w:val="center"/>
              <w:rPr>
                <w:rFonts w:asciiTheme="minorHAnsi" w:hAnsiTheme="minorHAnsi" w:cstheme="minorHAnsi"/>
                <w:sz w:val="18"/>
                <w:szCs w:val="18"/>
              </w:rPr>
            </w:pPr>
            <w:r w:rsidRPr="00EC5C0A">
              <w:rPr>
                <w:rFonts w:asciiTheme="minorHAnsi" w:hAnsiTheme="minorHAnsi" w:cstheme="minorHAnsi"/>
                <w:sz w:val="18"/>
                <w:szCs w:val="18"/>
              </w:rPr>
              <w:t> </w:t>
            </w:r>
            <w:r w:rsidR="00EC5C0A" w:rsidRPr="00EA675E">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noWrap/>
            <w:vAlign w:val="bottom"/>
            <w:hideMark/>
          </w:tcPr>
          <w:p w14:paraId="197EAB9D" w14:textId="77777777" w:rsidR="00C03AF4" w:rsidRPr="00DB3FF1" w:rsidRDefault="00C03AF4" w:rsidP="000F2E84">
            <w:pPr>
              <w:rPr>
                <w:rFonts w:cs="Calibri"/>
                <w:color w:val="000000"/>
                <w:sz w:val="18"/>
                <w:szCs w:val="18"/>
              </w:rPr>
            </w:pPr>
            <w:r w:rsidRPr="00DB3FF1">
              <w:rPr>
                <w:rFonts w:cs="Calibri"/>
                <w:color w:val="000000"/>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2B8A5A69" w14:textId="77777777" w:rsidR="00C03AF4" w:rsidRPr="00DB3FF1" w:rsidRDefault="00C03AF4" w:rsidP="000F2E84">
            <w:pPr>
              <w:rPr>
                <w:rFonts w:cs="Calibri"/>
                <w:color w:val="000000"/>
                <w:sz w:val="18"/>
                <w:szCs w:val="18"/>
              </w:rPr>
            </w:pPr>
            <w:r w:rsidRPr="00DB3FF1">
              <w:rPr>
                <w:rFonts w:cs="Calibri"/>
                <w:color w:val="000000"/>
                <w:sz w:val="18"/>
                <w:szCs w:val="18"/>
              </w:rPr>
              <w:t> </w:t>
            </w:r>
          </w:p>
        </w:tc>
        <w:tc>
          <w:tcPr>
            <w:tcW w:w="2506" w:type="dxa"/>
            <w:tcBorders>
              <w:top w:val="nil"/>
              <w:left w:val="nil"/>
              <w:bottom w:val="single" w:sz="4" w:space="0" w:color="auto"/>
              <w:right w:val="single" w:sz="4" w:space="0" w:color="auto"/>
            </w:tcBorders>
            <w:shd w:val="clear" w:color="auto" w:fill="auto"/>
            <w:hideMark/>
          </w:tcPr>
          <w:p w14:paraId="75BB46B5" w14:textId="77777777" w:rsidR="00C03AF4" w:rsidRPr="00DB3FF1" w:rsidRDefault="00C03AF4" w:rsidP="000F2E84">
            <w:pPr>
              <w:rPr>
                <w:rFonts w:cs="Calibri"/>
                <w:sz w:val="18"/>
                <w:szCs w:val="18"/>
              </w:rPr>
            </w:pPr>
            <w:r w:rsidRPr="00DB3FF1">
              <w:rPr>
                <w:rFonts w:cs="Calibri"/>
                <w:sz w:val="18"/>
                <w:szCs w:val="18"/>
              </w:rPr>
              <w:t>Funkcionalita HELIOS Nephrite zajišťuje propojení s platebním terminálem připojeným přes sériový port, případně lokální síť (dle poskytovatele terminálů) ke klientské stanici </w:t>
            </w:r>
            <w:r w:rsidRPr="00DB3FF1">
              <w:rPr>
                <w:rFonts w:cs="Calibri"/>
                <w:sz w:val="18"/>
                <w:szCs w:val="18"/>
              </w:rPr>
              <w:br/>
              <w:t>Podporována jsou rozhraní na platební terminály společností:</w:t>
            </w:r>
            <w:r w:rsidRPr="00DB3FF1">
              <w:rPr>
                <w:rFonts w:cs="Calibri"/>
                <w:sz w:val="18"/>
                <w:szCs w:val="18"/>
              </w:rPr>
              <w:br/>
              <w:t>Global Payments Europe (GPE) - pouze sériový port</w:t>
            </w:r>
            <w:r w:rsidRPr="00DB3FF1">
              <w:rPr>
                <w:rFonts w:cs="Calibri"/>
                <w:sz w:val="18"/>
                <w:szCs w:val="18"/>
              </w:rPr>
              <w:br/>
              <w:t>SONET - sériový port, TCP/IP</w:t>
            </w:r>
            <w:r w:rsidRPr="00DB3FF1">
              <w:rPr>
                <w:rFonts w:cs="Calibri"/>
                <w:sz w:val="18"/>
                <w:szCs w:val="18"/>
              </w:rPr>
              <w:br/>
              <w:t>ČSOB - pouze sériový port</w:t>
            </w:r>
          </w:p>
        </w:tc>
      </w:tr>
    </w:tbl>
    <w:p w14:paraId="585C15AA" w14:textId="77777777" w:rsidR="00C03AF4" w:rsidRDefault="00C03AF4" w:rsidP="00C03AF4">
      <w:pPr>
        <w:jc w:val="both"/>
        <w:rPr>
          <w:rFonts w:ascii="Verdana" w:hAnsi="Verdana" w:cs="Arial"/>
          <w:b/>
          <w:bCs/>
          <w:sz w:val="20"/>
          <w:szCs w:val="20"/>
        </w:rPr>
      </w:pPr>
    </w:p>
    <w:p w14:paraId="5FB80FF2" w14:textId="77777777" w:rsidR="00C03AF4" w:rsidRPr="007E3A9B" w:rsidRDefault="00C03AF4" w:rsidP="00C03AF4">
      <w:pPr>
        <w:pStyle w:val="Zkladntext31"/>
        <w:rPr>
          <w:rFonts w:eastAsia="Calibri"/>
          <w:b/>
        </w:rPr>
      </w:pPr>
      <w:r w:rsidRPr="007E3A9B">
        <w:rPr>
          <w:rFonts w:eastAsia="Calibri"/>
          <w:b/>
        </w:rPr>
        <w:t>Personalistika</w:t>
      </w:r>
    </w:p>
    <w:tbl>
      <w:tblPr>
        <w:tblW w:w="9493" w:type="dxa"/>
        <w:tblInd w:w="75" w:type="dxa"/>
        <w:tblCellMar>
          <w:left w:w="70" w:type="dxa"/>
          <w:right w:w="70" w:type="dxa"/>
        </w:tblCellMar>
        <w:tblLook w:val="04A0" w:firstRow="1" w:lastRow="0" w:firstColumn="1" w:lastColumn="0" w:noHBand="0" w:noVBand="1"/>
      </w:tblPr>
      <w:tblGrid>
        <w:gridCol w:w="428"/>
        <w:gridCol w:w="1187"/>
        <w:gridCol w:w="2208"/>
        <w:gridCol w:w="1134"/>
        <w:gridCol w:w="992"/>
        <w:gridCol w:w="1134"/>
        <w:gridCol w:w="2410"/>
      </w:tblGrid>
      <w:tr w:rsidR="00C03AF4" w:rsidRPr="007E3A9B" w14:paraId="74D25708" w14:textId="77777777" w:rsidTr="000F2E84">
        <w:trPr>
          <w:trHeight w:val="60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8940D"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P.Č.</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02648819"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Oblast</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14:paraId="65C5E499"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Požadavek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DFA04A"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Splněno ve standardu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153E80"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Splněno vývojem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0BAC02"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Nesplněno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9D2BE11"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Popis způsobu řešení</w:t>
            </w:r>
          </w:p>
        </w:tc>
      </w:tr>
      <w:tr w:rsidR="00C03AF4" w:rsidRPr="007E3A9B" w14:paraId="58B7EA98" w14:textId="77777777" w:rsidTr="000F2E84">
        <w:trPr>
          <w:trHeight w:val="300"/>
        </w:trPr>
        <w:tc>
          <w:tcPr>
            <w:tcW w:w="428" w:type="dxa"/>
            <w:tcBorders>
              <w:top w:val="nil"/>
              <w:left w:val="single" w:sz="4" w:space="0" w:color="auto"/>
              <w:bottom w:val="single" w:sz="4" w:space="0" w:color="auto"/>
              <w:right w:val="single" w:sz="4" w:space="0" w:color="auto"/>
            </w:tcBorders>
            <w:shd w:val="clear" w:color="auto" w:fill="auto"/>
            <w:hideMark/>
          </w:tcPr>
          <w:p w14:paraId="4461CB5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C1</w:t>
            </w:r>
          </w:p>
        </w:tc>
        <w:tc>
          <w:tcPr>
            <w:tcW w:w="1187" w:type="dxa"/>
            <w:tcBorders>
              <w:top w:val="nil"/>
              <w:left w:val="nil"/>
              <w:bottom w:val="single" w:sz="4" w:space="0" w:color="auto"/>
              <w:right w:val="single" w:sz="4" w:space="0" w:color="auto"/>
            </w:tcBorders>
            <w:shd w:val="clear" w:color="auto" w:fill="auto"/>
            <w:hideMark/>
          </w:tcPr>
          <w:p w14:paraId="76C27EC7" w14:textId="77777777" w:rsidR="00C03AF4" w:rsidRPr="007E3A9B" w:rsidRDefault="00C03AF4" w:rsidP="000F2E84">
            <w:pPr>
              <w:jc w:val="center"/>
              <w:rPr>
                <w:rFonts w:asciiTheme="minorHAnsi" w:hAnsiTheme="minorHAnsi" w:cstheme="minorHAnsi"/>
                <w:b/>
                <w:bCs/>
                <w:sz w:val="18"/>
                <w:szCs w:val="18"/>
                <w:u w:val="single"/>
              </w:rPr>
            </w:pPr>
            <w:r w:rsidRPr="007E3A9B">
              <w:rPr>
                <w:rFonts w:asciiTheme="minorHAnsi" w:hAnsiTheme="minorHAnsi" w:cstheme="minorHAnsi"/>
                <w:b/>
                <w:bCs/>
                <w:sz w:val="18"/>
                <w:szCs w:val="18"/>
                <w:u w:val="single"/>
              </w:rPr>
              <w:t>Personalistika</w:t>
            </w:r>
          </w:p>
        </w:tc>
        <w:tc>
          <w:tcPr>
            <w:tcW w:w="2208" w:type="dxa"/>
            <w:tcBorders>
              <w:top w:val="nil"/>
              <w:left w:val="nil"/>
              <w:bottom w:val="single" w:sz="4" w:space="0" w:color="auto"/>
              <w:right w:val="single" w:sz="4" w:space="0" w:color="auto"/>
            </w:tcBorders>
            <w:shd w:val="clear" w:color="auto" w:fill="auto"/>
            <w:hideMark/>
          </w:tcPr>
          <w:p w14:paraId="1E867EA6" w14:textId="77777777" w:rsidR="00C03AF4" w:rsidRPr="007E3A9B" w:rsidRDefault="00C03AF4" w:rsidP="000F2E84">
            <w:pPr>
              <w:rPr>
                <w:rFonts w:asciiTheme="minorHAnsi" w:hAnsiTheme="minorHAnsi" w:cstheme="minorHAnsi"/>
                <w:b/>
                <w:bCs/>
                <w:sz w:val="18"/>
                <w:szCs w:val="18"/>
                <w:u w:val="single"/>
              </w:rPr>
            </w:pPr>
            <w:r w:rsidRPr="007E3A9B">
              <w:rPr>
                <w:rFonts w:asciiTheme="minorHAnsi" w:hAnsiTheme="minorHAnsi" w:cstheme="minorHAnsi"/>
                <w:b/>
                <w:bCs/>
                <w:sz w:val="18"/>
                <w:szCs w:val="18"/>
                <w:u w:val="single"/>
              </w:rPr>
              <w:t> </w:t>
            </w:r>
          </w:p>
        </w:tc>
        <w:tc>
          <w:tcPr>
            <w:tcW w:w="1134" w:type="dxa"/>
            <w:tcBorders>
              <w:top w:val="nil"/>
              <w:left w:val="nil"/>
              <w:bottom w:val="single" w:sz="4" w:space="0" w:color="auto"/>
              <w:right w:val="single" w:sz="4" w:space="0" w:color="auto"/>
            </w:tcBorders>
            <w:shd w:val="clear" w:color="auto" w:fill="auto"/>
            <w:hideMark/>
          </w:tcPr>
          <w:p w14:paraId="28B55E9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50FA170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5532BE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02C8497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r>
      <w:tr w:rsidR="00C03AF4" w:rsidRPr="007E3A9B" w14:paraId="0350CEAD"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22AFAD2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C2</w:t>
            </w:r>
          </w:p>
        </w:tc>
        <w:tc>
          <w:tcPr>
            <w:tcW w:w="1187" w:type="dxa"/>
            <w:tcBorders>
              <w:top w:val="nil"/>
              <w:left w:val="nil"/>
              <w:bottom w:val="single" w:sz="4" w:space="0" w:color="auto"/>
              <w:right w:val="single" w:sz="4" w:space="0" w:color="auto"/>
            </w:tcBorders>
            <w:shd w:val="clear" w:color="auto" w:fill="auto"/>
            <w:hideMark/>
          </w:tcPr>
          <w:p w14:paraId="48936DA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Personální evidence</w:t>
            </w:r>
          </w:p>
        </w:tc>
        <w:tc>
          <w:tcPr>
            <w:tcW w:w="2208" w:type="dxa"/>
            <w:tcBorders>
              <w:top w:val="nil"/>
              <w:left w:val="nil"/>
              <w:bottom w:val="single" w:sz="4" w:space="0" w:color="auto"/>
              <w:right w:val="single" w:sz="4" w:space="0" w:color="auto"/>
            </w:tcBorders>
            <w:shd w:val="clear" w:color="auto" w:fill="auto"/>
            <w:hideMark/>
          </w:tcPr>
          <w:p w14:paraId="5AE2F63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Vedení personálních evidencí v rozsahu aktuálních standardů v dané oblasti.</w:t>
            </w:r>
          </w:p>
        </w:tc>
        <w:tc>
          <w:tcPr>
            <w:tcW w:w="1134" w:type="dxa"/>
            <w:tcBorders>
              <w:top w:val="nil"/>
              <w:left w:val="nil"/>
              <w:bottom w:val="single" w:sz="4" w:space="0" w:color="auto"/>
              <w:right w:val="single" w:sz="4" w:space="0" w:color="auto"/>
            </w:tcBorders>
            <w:shd w:val="clear" w:color="auto" w:fill="auto"/>
            <w:hideMark/>
          </w:tcPr>
          <w:p w14:paraId="500B6AB3"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6109380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9B67C8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vAlign w:val="bottom"/>
            <w:hideMark/>
          </w:tcPr>
          <w:p w14:paraId="28D4B5D7" w14:textId="77777777" w:rsidR="00C03AF4" w:rsidRPr="007E3A9B" w:rsidRDefault="00C03AF4" w:rsidP="000F2E84">
            <w:pPr>
              <w:rPr>
                <w:rFonts w:asciiTheme="minorHAnsi" w:hAnsiTheme="minorHAnsi" w:cstheme="minorHAnsi"/>
                <w:color w:val="000000"/>
                <w:sz w:val="18"/>
                <w:szCs w:val="18"/>
              </w:rPr>
            </w:pPr>
            <w:r w:rsidRPr="007E3A9B">
              <w:rPr>
                <w:rFonts w:asciiTheme="minorHAnsi" w:hAnsiTheme="minorHAnsi" w:cstheme="minorHAnsi"/>
                <w:color w:val="000000"/>
                <w:sz w:val="18"/>
                <w:szCs w:val="18"/>
              </w:rPr>
              <w:t>Oblast Personalistiky systému je provozována v rámci obvyklých požadavků a standardů. Dodavatel garantuje soulad Helios s tuzemskou legislativou.</w:t>
            </w:r>
          </w:p>
        </w:tc>
      </w:tr>
      <w:tr w:rsidR="00C03AF4" w:rsidRPr="007E3A9B" w14:paraId="3FF0B06C"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4E1586F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C3</w:t>
            </w:r>
          </w:p>
        </w:tc>
        <w:tc>
          <w:tcPr>
            <w:tcW w:w="1187" w:type="dxa"/>
            <w:tcBorders>
              <w:top w:val="nil"/>
              <w:left w:val="nil"/>
              <w:bottom w:val="single" w:sz="4" w:space="0" w:color="auto"/>
              <w:right w:val="single" w:sz="4" w:space="0" w:color="auto"/>
            </w:tcBorders>
            <w:shd w:val="clear" w:color="auto" w:fill="auto"/>
            <w:hideMark/>
          </w:tcPr>
          <w:p w14:paraId="2AE7431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08" w:type="dxa"/>
            <w:tcBorders>
              <w:top w:val="nil"/>
              <w:left w:val="nil"/>
              <w:bottom w:val="single" w:sz="4" w:space="0" w:color="auto"/>
              <w:right w:val="single" w:sz="4" w:space="0" w:color="auto"/>
            </w:tcBorders>
            <w:shd w:val="clear" w:color="auto" w:fill="auto"/>
            <w:hideMark/>
          </w:tcPr>
          <w:p w14:paraId="0506A5C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Centrální evidence kontaktních údajů pracovníků.</w:t>
            </w:r>
          </w:p>
        </w:tc>
        <w:tc>
          <w:tcPr>
            <w:tcW w:w="1134" w:type="dxa"/>
            <w:tcBorders>
              <w:top w:val="nil"/>
              <w:left w:val="nil"/>
              <w:bottom w:val="single" w:sz="4" w:space="0" w:color="auto"/>
              <w:right w:val="single" w:sz="4" w:space="0" w:color="auto"/>
            </w:tcBorders>
            <w:shd w:val="clear" w:color="auto" w:fill="auto"/>
            <w:hideMark/>
          </w:tcPr>
          <w:p w14:paraId="6B126888"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3C410DD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6BBA75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vAlign w:val="bottom"/>
            <w:hideMark/>
          </w:tcPr>
          <w:p w14:paraId="080EEEED" w14:textId="77777777" w:rsidR="00C03AF4" w:rsidRPr="007E3A9B" w:rsidRDefault="00C03AF4" w:rsidP="000F2E84">
            <w:pPr>
              <w:rPr>
                <w:rFonts w:asciiTheme="minorHAnsi" w:hAnsiTheme="minorHAnsi" w:cstheme="minorHAnsi"/>
                <w:color w:val="000000"/>
                <w:sz w:val="18"/>
                <w:szCs w:val="18"/>
              </w:rPr>
            </w:pPr>
            <w:r w:rsidRPr="007E3A9B">
              <w:rPr>
                <w:rFonts w:asciiTheme="minorHAnsi" w:hAnsiTheme="minorHAnsi" w:cstheme="minorHAnsi"/>
                <w:color w:val="000000"/>
                <w:sz w:val="18"/>
                <w:szCs w:val="18"/>
              </w:rPr>
              <w:t>Kontaktní údaje se evidují centrálně a jsou přiřazeny k jednotlivým kartám zaměstnanců.</w:t>
            </w:r>
          </w:p>
        </w:tc>
      </w:tr>
      <w:tr w:rsidR="00C03AF4" w:rsidRPr="007E3A9B" w14:paraId="0702C0EF"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0FACED2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C4</w:t>
            </w:r>
          </w:p>
        </w:tc>
        <w:tc>
          <w:tcPr>
            <w:tcW w:w="1187" w:type="dxa"/>
            <w:tcBorders>
              <w:top w:val="nil"/>
              <w:left w:val="nil"/>
              <w:bottom w:val="single" w:sz="4" w:space="0" w:color="auto"/>
              <w:right w:val="single" w:sz="4" w:space="0" w:color="auto"/>
            </w:tcBorders>
            <w:shd w:val="clear" w:color="auto" w:fill="auto"/>
            <w:hideMark/>
          </w:tcPr>
          <w:p w14:paraId="7813142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08" w:type="dxa"/>
            <w:tcBorders>
              <w:top w:val="nil"/>
              <w:left w:val="nil"/>
              <w:bottom w:val="single" w:sz="4" w:space="0" w:color="auto"/>
              <w:right w:val="single" w:sz="4" w:space="0" w:color="auto"/>
            </w:tcBorders>
            <w:shd w:val="clear" w:color="auto" w:fill="auto"/>
            <w:hideMark/>
          </w:tcPr>
          <w:p w14:paraId="0EF85F2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Přiřazení pracovníků do Středisek / Útvarů.</w:t>
            </w:r>
          </w:p>
        </w:tc>
        <w:tc>
          <w:tcPr>
            <w:tcW w:w="1134" w:type="dxa"/>
            <w:tcBorders>
              <w:top w:val="nil"/>
              <w:left w:val="nil"/>
              <w:bottom w:val="single" w:sz="4" w:space="0" w:color="auto"/>
              <w:right w:val="single" w:sz="4" w:space="0" w:color="auto"/>
            </w:tcBorders>
            <w:shd w:val="clear" w:color="auto" w:fill="auto"/>
            <w:hideMark/>
          </w:tcPr>
          <w:p w14:paraId="696820E1"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5AC2484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A5BC54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5DAB12F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Karty zaměstnanců jsou přiřazeny k útvarům organizační struktury.</w:t>
            </w:r>
          </w:p>
        </w:tc>
      </w:tr>
      <w:tr w:rsidR="00C03AF4" w:rsidRPr="007E3A9B" w14:paraId="3F47B8E0"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0FB03D5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C5</w:t>
            </w:r>
          </w:p>
        </w:tc>
        <w:tc>
          <w:tcPr>
            <w:tcW w:w="1187" w:type="dxa"/>
            <w:tcBorders>
              <w:top w:val="nil"/>
              <w:left w:val="nil"/>
              <w:bottom w:val="single" w:sz="4" w:space="0" w:color="auto"/>
              <w:right w:val="single" w:sz="4" w:space="0" w:color="auto"/>
            </w:tcBorders>
            <w:shd w:val="clear" w:color="auto" w:fill="auto"/>
            <w:hideMark/>
          </w:tcPr>
          <w:p w14:paraId="772DBBA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08" w:type="dxa"/>
            <w:tcBorders>
              <w:top w:val="nil"/>
              <w:left w:val="nil"/>
              <w:bottom w:val="single" w:sz="4" w:space="0" w:color="auto"/>
              <w:right w:val="single" w:sz="4" w:space="0" w:color="auto"/>
            </w:tcBorders>
            <w:shd w:val="clear" w:color="auto" w:fill="auto"/>
            <w:hideMark/>
          </w:tcPr>
          <w:p w14:paraId="30858E8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Vedení evidence externistů - centrální evidence personálních údajů.</w:t>
            </w:r>
          </w:p>
        </w:tc>
        <w:tc>
          <w:tcPr>
            <w:tcW w:w="1134" w:type="dxa"/>
            <w:tcBorders>
              <w:top w:val="nil"/>
              <w:left w:val="nil"/>
              <w:bottom w:val="single" w:sz="4" w:space="0" w:color="auto"/>
              <w:right w:val="single" w:sz="4" w:space="0" w:color="auto"/>
            </w:tcBorders>
            <w:shd w:val="clear" w:color="auto" w:fill="auto"/>
            <w:hideMark/>
          </w:tcPr>
          <w:p w14:paraId="0EB89640"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5A68CF3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1E36DFF"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vAlign w:val="bottom"/>
            <w:hideMark/>
          </w:tcPr>
          <w:p w14:paraId="0CFF7567" w14:textId="77777777" w:rsidR="00C03AF4" w:rsidRPr="007E3A9B" w:rsidRDefault="00C03AF4" w:rsidP="000F2E84">
            <w:pPr>
              <w:rPr>
                <w:rFonts w:asciiTheme="minorHAnsi" w:hAnsiTheme="minorHAnsi" w:cstheme="minorHAnsi"/>
                <w:color w:val="000000"/>
                <w:sz w:val="18"/>
                <w:szCs w:val="18"/>
              </w:rPr>
            </w:pPr>
            <w:r w:rsidRPr="007E3A9B">
              <w:rPr>
                <w:rFonts w:asciiTheme="minorHAnsi" w:hAnsiTheme="minorHAnsi" w:cstheme="minorHAnsi"/>
                <w:color w:val="000000"/>
                <w:sz w:val="18"/>
                <w:szCs w:val="18"/>
              </w:rPr>
              <w:t>Pomocí číselníku zaměst</w:t>
            </w:r>
            <w:r>
              <w:rPr>
                <w:rFonts w:asciiTheme="minorHAnsi" w:hAnsiTheme="minorHAnsi" w:cstheme="minorHAnsi"/>
                <w:color w:val="000000"/>
                <w:sz w:val="18"/>
                <w:szCs w:val="18"/>
              </w:rPr>
              <w:t>n</w:t>
            </w:r>
            <w:r w:rsidRPr="007E3A9B">
              <w:rPr>
                <w:rFonts w:asciiTheme="minorHAnsi" w:hAnsiTheme="minorHAnsi" w:cstheme="minorHAnsi"/>
                <w:color w:val="000000"/>
                <w:sz w:val="18"/>
                <w:szCs w:val="18"/>
              </w:rPr>
              <w:t xml:space="preserve">anců lze evidovat externí pracovníky.   </w:t>
            </w:r>
          </w:p>
        </w:tc>
      </w:tr>
      <w:tr w:rsidR="00C03AF4" w:rsidRPr="007E3A9B" w14:paraId="23DD088F"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3D8C4CA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C6</w:t>
            </w:r>
          </w:p>
        </w:tc>
        <w:tc>
          <w:tcPr>
            <w:tcW w:w="1187" w:type="dxa"/>
            <w:tcBorders>
              <w:top w:val="nil"/>
              <w:left w:val="nil"/>
              <w:bottom w:val="single" w:sz="4" w:space="0" w:color="auto"/>
              <w:right w:val="single" w:sz="4" w:space="0" w:color="auto"/>
            </w:tcBorders>
            <w:shd w:val="clear" w:color="auto" w:fill="auto"/>
            <w:hideMark/>
          </w:tcPr>
          <w:p w14:paraId="4A653A5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08" w:type="dxa"/>
            <w:tcBorders>
              <w:top w:val="nil"/>
              <w:left w:val="nil"/>
              <w:bottom w:val="single" w:sz="4" w:space="0" w:color="auto"/>
              <w:right w:val="single" w:sz="4" w:space="0" w:color="auto"/>
            </w:tcBorders>
            <w:shd w:val="clear" w:color="auto" w:fill="auto"/>
            <w:hideMark/>
          </w:tcPr>
          <w:p w14:paraId="287C2B1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Evidence dohod o hmotné odpovědnosti.</w:t>
            </w:r>
          </w:p>
        </w:tc>
        <w:tc>
          <w:tcPr>
            <w:tcW w:w="1134" w:type="dxa"/>
            <w:tcBorders>
              <w:top w:val="nil"/>
              <w:left w:val="nil"/>
              <w:bottom w:val="single" w:sz="4" w:space="0" w:color="auto"/>
              <w:right w:val="single" w:sz="4" w:space="0" w:color="auto"/>
            </w:tcBorders>
            <w:shd w:val="clear" w:color="auto" w:fill="auto"/>
            <w:hideMark/>
          </w:tcPr>
          <w:p w14:paraId="3E8E0B7D"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6A5B971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6C0680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vAlign w:val="bottom"/>
            <w:hideMark/>
          </w:tcPr>
          <w:p w14:paraId="2E62EAF8" w14:textId="77777777" w:rsidR="00C03AF4" w:rsidRPr="007E3A9B" w:rsidRDefault="00C03AF4" w:rsidP="000F2E84">
            <w:pPr>
              <w:rPr>
                <w:rFonts w:asciiTheme="minorHAnsi" w:hAnsiTheme="minorHAnsi" w:cstheme="minorHAnsi"/>
                <w:color w:val="000000"/>
                <w:sz w:val="18"/>
                <w:szCs w:val="18"/>
              </w:rPr>
            </w:pPr>
            <w:r w:rsidRPr="007E3A9B">
              <w:rPr>
                <w:rFonts w:asciiTheme="minorHAnsi" w:hAnsiTheme="minorHAnsi" w:cstheme="minorHAnsi"/>
                <w:color w:val="000000"/>
                <w:sz w:val="18"/>
                <w:szCs w:val="18"/>
              </w:rPr>
              <w:t>Standardní funkcionalitou je tisk požadovaných formulářů v</w:t>
            </w:r>
            <w:r>
              <w:rPr>
                <w:rFonts w:asciiTheme="minorHAnsi" w:hAnsiTheme="minorHAnsi" w:cstheme="minorHAnsi"/>
                <w:color w:val="000000"/>
                <w:sz w:val="18"/>
                <w:szCs w:val="18"/>
              </w:rPr>
              <w:t>e</w:t>
            </w:r>
            <w:r w:rsidRPr="007E3A9B">
              <w:rPr>
                <w:rFonts w:asciiTheme="minorHAnsi" w:hAnsiTheme="minorHAnsi" w:cstheme="minorHAnsi"/>
                <w:color w:val="000000"/>
                <w:sz w:val="18"/>
                <w:szCs w:val="18"/>
              </w:rPr>
              <w:t xml:space="preserve"> vazbě na personální evidenci.  </w:t>
            </w:r>
          </w:p>
        </w:tc>
      </w:tr>
      <w:tr w:rsidR="00C03AF4" w:rsidRPr="007E3A9B" w14:paraId="4ED792A8"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719E0EF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C7</w:t>
            </w:r>
          </w:p>
        </w:tc>
        <w:tc>
          <w:tcPr>
            <w:tcW w:w="1187" w:type="dxa"/>
            <w:tcBorders>
              <w:top w:val="nil"/>
              <w:left w:val="nil"/>
              <w:bottom w:val="single" w:sz="4" w:space="0" w:color="auto"/>
              <w:right w:val="single" w:sz="4" w:space="0" w:color="auto"/>
            </w:tcBorders>
            <w:shd w:val="clear" w:color="auto" w:fill="auto"/>
            <w:hideMark/>
          </w:tcPr>
          <w:p w14:paraId="57B122B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08" w:type="dxa"/>
            <w:tcBorders>
              <w:top w:val="nil"/>
              <w:left w:val="nil"/>
              <w:bottom w:val="single" w:sz="4" w:space="0" w:color="auto"/>
              <w:right w:val="single" w:sz="4" w:space="0" w:color="auto"/>
            </w:tcBorders>
            <w:shd w:val="clear" w:color="auto" w:fill="auto"/>
            <w:hideMark/>
          </w:tcPr>
          <w:p w14:paraId="418D085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Sledování DPP na souběžné úvazky u jednotlivých pracovníků a hlídání nepřekročení 300 hodin za rok (parametr).</w:t>
            </w:r>
          </w:p>
        </w:tc>
        <w:tc>
          <w:tcPr>
            <w:tcW w:w="1134" w:type="dxa"/>
            <w:tcBorders>
              <w:top w:val="nil"/>
              <w:left w:val="nil"/>
              <w:bottom w:val="single" w:sz="4" w:space="0" w:color="auto"/>
              <w:right w:val="single" w:sz="4" w:space="0" w:color="auto"/>
            </w:tcBorders>
            <w:shd w:val="clear" w:color="auto" w:fill="auto"/>
            <w:hideMark/>
          </w:tcPr>
          <w:p w14:paraId="5A86C1BC"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7EC31CF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E3C11F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vAlign w:val="bottom"/>
            <w:hideMark/>
          </w:tcPr>
          <w:p w14:paraId="018B0F53" w14:textId="77777777" w:rsidR="00C03AF4" w:rsidRPr="007E3A9B" w:rsidRDefault="00C03AF4" w:rsidP="000F2E84">
            <w:pPr>
              <w:rPr>
                <w:rFonts w:asciiTheme="minorHAnsi" w:hAnsiTheme="minorHAnsi" w:cstheme="minorHAnsi"/>
                <w:color w:val="000000"/>
                <w:sz w:val="18"/>
                <w:szCs w:val="18"/>
              </w:rPr>
            </w:pPr>
            <w:r w:rsidRPr="007E3A9B">
              <w:rPr>
                <w:rFonts w:asciiTheme="minorHAnsi" w:hAnsiTheme="minorHAnsi" w:cstheme="minorHAnsi"/>
                <w:color w:val="000000"/>
                <w:sz w:val="18"/>
                <w:szCs w:val="18"/>
              </w:rPr>
              <w:t>Standardní funkcionalita pro sledování úvazků pracovníků obsahuje modul mzdy Helios.</w:t>
            </w:r>
            <w:r w:rsidRPr="007E3A9B">
              <w:rPr>
                <w:rFonts w:asciiTheme="minorHAnsi" w:hAnsiTheme="minorHAnsi" w:cstheme="minorHAnsi"/>
                <w:color w:val="000000"/>
                <w:sz w:val="18"/>
                <w:szCs w:val="18"/>
              </w:rPr>
              <w:br/>
              <w:t xml:space="preserve">Požadavek lze naplnit za předpokladu, že mzdový systém zadavatele je schopen poskytnou informace o aktuálním stavu úvazku pracovníka v on line režimu.  </w:t>
            </w:r>
          </w:p>
        </w:tc>
      </w:tr>
      <w:tr w:rsidR="00C03AF4" w:rsidRPr="007E3A9B" w14:paraId="4D9A27FB"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3F22170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C8</w:t>
            </w:r>
          </w:p>
        </w:tc>
        <w:tc>
          <w:tcPr>
            <w:tcW w:w="1187" w:type="dxa"/>
            <w:tcBorders>
              <w:top w:val="nil"/>
              <w:left w:val="nil"/>
              <w:bottom w:val="single" w:sz="4" w:space="0" w:color="auto"/>
              <w:right w:val="single" w:sz="4" w:space="0" w:color="auto"/>
            </w:tcBorders>
            <w:shd w:val="clear" w:color="auto" w:fill="auto"/>
            <w:hideMark/>
          </w:tcPr>
          <w:p w14:paraId="19D9CD8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08" w:type="dxa"/>
            <w:tcBorders>
              <w:top w:val="nil"/>
              <w:left w:val="nil"/>
              <w:bottom w:val="single" w:sz="4" w:space="0" w:color="auto"/>
              <w:right w:val="single" w:sz="4" w:space="0" w:color="auto"/>
            </w:tcBorders>
            <w:shd w:val="clear" w:color="auto" w:fill="auto"/>
            <w:hideMark/>
          </w:tcPr>
          <w:p w14:paraId="53AF263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Sledování vynášecí doby ochranných pracovních pomůcek</w:t>
            </w:r>
          </w:p>
        </w:tc>
        <w:tc>
          <w:tcPr>
            <w:tcW w:w="1134" w:type="dxa"/>
            <w:tcBorders>
              <w:top w:val="nil"/>
              <w:left w:val="nil"/>
              <w:bottom w:val="single" w:sz="4" w:space="0" w:color="auto"/>
              <w:right w:val="single" w:sz="4" w:space="0" w:color="auto"/>
            </w:tcBorders>
            <w:shd w:val="clear" w:color="auto" w:fill="auto"/>
            <w:hideMark/>
          </w:tcPr>
          <w:p w14:paraId="0159C1DC"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6B6EB90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1BD7D3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2D7A72F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Vynášecí doby OPP budou nastaveny během implementace a bude spuštěno jejich sledování</w:t>
            </w:r>
          </w:p>
        </w:tc>
      </w:tr>
      <w:tr w:rsidR="00C03AF4" w:rsidRPr="007E3A9B" w14:paraId="266A7735"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2DFC9A6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lastRenderedPageBreak/>
              <w:t>C9</w:t>
            </w:r>
          </w:p>
        </w:tc>
        <w:tc>
          <w:tcPr>
            <w:tcW w:w="1187" w:type="dxa"/>
            <w:tcBorders>
              <w:top w:val="nil"/>
              <w:left w:val="nil"/>
              <w:bottom w:val="single" w:sz="4" w:space="0" w:color="auto"/>
              <w:right w:val="single" w:sz="4" w:space="0" w:color="auto"/>
            </w:tcBorders>
            <w:shd w:val="clear" w:color="auto" w:fill="auto"/>
            <w:hideMark/>
          </w:tcPr>
          <w:p w14:paraId="4EBB5F0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08" w:type="dxa"/>
            <w:tcBorders>
              <w:top w:val="nil"/>
              <w:left w:val="nil"/>
              <w:bottom w:val="single" w:sz="4" w:space="0" w:color="auto"/>
              <w:right w:val="single" w:sz="4" w:space="0" w:color="auto"/>
            </w:tcBorders>
            <w:shd w:val="clear" w:color="auto" w:fill="auto"/>
            <w:hideMark/>
          </w:tcPr>
          <w:p w14:paraId="053A00B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Sledování periodických školení, atestů pracovníků.</w:t>
            </w:r>
          </w:p>
        </w:tc>
        <w:tc>
          <w:tcPr>
            <w:tcW w:w="1134" w:type="dxa"/>
            <w:tcBorders>
              <w:top w:val="nil"/>
              <w:left w:val="nil"/>
              <w:bottom w:val="single" w:sz="4" w:space="0" w:color="auto"/>
              <w:right w:val="single" w:sz="4" w:space="0" w:color="auto"/>
            </w:tcBorders>
            <w:shd w:val="clear" w:color="auto" w:fill="auto"/>
            <w:hideMark/>
          </w:tcPr>
          <w:p w14:paraId="1D3B210A"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006F2FF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48FB41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57FD2B1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xml:space="preserve">bude nastaven evidence školení a atestů, požadavky na školení a atesty budou přiřazeny k pracovníkům, jichž se s ohledem na pracovní roli týkají, a bude </w:t>
            </w:r>
            <w:r>
              <w:rPr>
                <w:rFonts w:asciiTheme="minorHAnsi" w:hAnsiTheme="minorHAnsi" w:cstheme="minorHAnsi"/>
                <w:sz w:val="18"/>
                <w:szCs w:val="18"/>
              </w:rPr>
              <w:t>s</w:t>
            </w:r>
            <w:r w:rsidRPr="007E3A9B">
              <w:rPr>
                <w:rFonts w:asciiTheme="minorHAnsi" w:hAnsiTheme="minorHAnsi" w:cstheme="minorHAnsi"/>
                <w:sz w:val="18"/>
                <w:szCs w:val="18"/>
              </w:rPr>
              <w:t>pu</w:t>
            </w:r>
            <w:r>
              <w:rPr>
                <w:rFonts w:asciiTheme="minorHAnsi" w:hAnsiTheme="minorHAnsi" w:cstheme="minorHAnsi"/>
                <w:sz w:val="18"/>
                <w:szCs w:val="18"/>
              </w:rPr>
              <w:t>š</w:t>
            </w:r>
            <w:r w:rsidRPr="007E3A9B">
              <w:rPr>
                <w:rFonts w:asciiTheme="minorHAnsi" w:hAnsiTheme="minorHAnsi" w:cstheme="minorHAnsi"/>
                <w:sz w:val="18"/>
                <w:szCs w:val="18"/>
              </w:rPr>
              <w:t>těno sledování a hlášení blížících se termínů opakování školení nebo atestů pracovníků</w:t>
            </w:r>
          </w:p>
        </w:tc>
      </w:tr>
      <w:tr w:rsidR="00C03AF4" w:rsidRPr="007E3A9B" w14:paraId="4E5F4FD5"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5D6BF70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C10</w:t>
            </w:r>
          </w:p>
        </w:tc>
        <w:tc>
          <w:tcPr>
            <w:tcW w:w="1187" w:type="dxa"/>
            <w:tcBorders>
              <w:top w:val="nil"/>
              <w:left w:val="nil"/>
              <w:bottom w:val="single" w:sz="4" w:space="0" w:color="auto"/>
              <w:right w:val="single" w:sz="4" w:space="0" w:color="auto"/>
            </w:tcBorders>
            <w:shd w:val="clear" w:color="auto" w:fill="auto"/>
            <w:hideMark/>
          </w:tcPr>
          <w:p w14:paraId="11F0D26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Výstupy</w:t>
            </w:r>
          </w:p>
        </w:tc>
        <w:tc>
          <w:tcPr>
            <w:tcW w:w="2208" w:type="dxa"/>
            <w:tcBorders>
              <w:top w:val="nil"/>
              <w:left w:val="nil"/>
              <w:bottom w:val="single" w:sz="4" w:space="0" w:color="auto"/>
              <w:right w:val="single" w:sz="4" w:space="0" w:color="auto"/>
            </w:tcBorders>
            <w:shd w:val="clear" w:color="auto" w:fill="auto"/>
            <w:hideMark/>
          </w:tcPr>
          <w:p w14:paraId="5EC3E9B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Tvorba sestav dle zadaných kriterií (např. zaměstnanci podle věku, doby trvání pracovního poměru, vzdělání atd.).</w:t>
            </w:r>
          </w:p>
        </w:tc>
        <w:tc>
          <w:tcPr>
            <w:tcW w:w="1134" w:type="dxa"/>
            <w:tcBorders>
              <w:top w:val="nil"/>
              <w:left w:val="nil"/>
              <w:bottom w:val="single" w:sz="4" w:space="0" w:color="auto"/>
              <w:right w:val="single" w:sz="4" w:space="0" w:color="auto"/>
            </w:tcBorders>
            <w:shd w:val="clear" w:color="auto" w:fill="auto"/>
            <w:hideMark/>
          </w:tcPr>
          <w:p w14:paraId="1CE92151"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36AFD72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2DCB10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vAlign w:val="bottom"/>
            <w:hideMark/>
          </w:tcPr>
          <w:p w14:paraId="3780418B" w14:textId="1473B680" w:rsidR="00C03AF4" w:rsidRPr="007E3A9B" w:rsidRDefault="00C03AF4" w:rsidP="000F2E84">
            <w:pPr>
              <w:rPr>
                <w:rFonts w:asciiTheme="minorHAnsi" w:hAnsiTheme="minorHAnsi" w:cstheme="minorHAnsi"/>
                <w:color w:val="000000"/>
                <w:sz w:val="18"/>
                <w:szCs w:val="18"/>
              </w:rPr>
            </w:pPr>
            <w:r w:rsidRPr="007E3A9B">
              <w:rPr>
                <w:rFonts w:asciiTheme="minorHAnsi" w:hAnsiTheme="minorHAnsi" w:cstheme="minorHAnsi"/>
                <w:color w:val="000000"/>
                <w:sz w:val="18"/>
                <w:szCs w:val="18"/>
              </w:rPr>
              <w:t>Standardní fun</w:t>
            </w:r>
            <w:r>
              <w:rPr>
                <w:rFonts w:asciiTheme="minorHAnsi" w:hAnsiTheme="minorHAnsi" w:cstheme="minorHAnsi"/>
                <w:color w:val="000000"/>
                <w:sz w:val="18"/>
                <w:szCs w:val="18"/>
              </w:rPr>
              <w:t>k</w:t>
            </w:r>
            <w:r w:rsidRPr="007E3A9B">
              <w:rPr>
                <w:rFonts w:asciiTheme="minorHAnsi" w:hAnsiTheme="minorHAnsi" w:cstheme="minorHAnsi"/>
                <w:color w:val="000000"/>
                <w:sz w:val="18"/>
                <w:szCs w:val="18"/>
              </w:rPr>
              <w:t>cionalita obsahuje jednotlivé přehledy dle různých kritérií, další lze vytvořit uživatelsky.</w:t>
            </w:r>
          </w:p>
        </w:tc>
      </w:tr>
      <w:tr w:rsidR="00C03AF4" w:rsidRPr="007E3A9B" w14:paraId="70359161" w14:textId="77777777" w:rsidTr="000F2E84">
        <w:trPr>
          <w:trHeight w:val="2100"/>
        </w:trPr>
        <w:tc>
          <w:tcPr>
            <w:tcW w:w="428" w:type="dxa"/>
            <w:tcBorders>
              <w:top w:val="nil"/>
              <w:left w:val="single" w:sz="4" w:space="0" w:color="auto"/>
              <w:bottom w:val="single" w:sz="4" w:space="0" w:color="auto"/>
              <w:right w:val="single" w:sz="4" w:space="0" w:color="auto"/>
            </w:tcBorders>
            <w:shd w:val="clear" w:color="auto" w:fill="auto"/>
            <w:hideMark/>
          </w:tcPr>
          <w:p w14:paraId="39866C2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C11</w:t>
            </w:r>
          </w:p>
        </w:tc>
        <w:tc>
          <w:tcPr>
            <w:tcW w:w="1187" w:type="dxa"/>
            <w:tcBorders>
              <w:top w:val="nil"/>
              <w:left w:val="nil"/>
              <w:bottom w:val="single" w:sz="4" w:space="0" w:color="auto"/>
              <w:right w:val="single" w:sz="4" w:space="0" w:color="auto"/>
            </w:tcBorders>
            <w:shd w:val="clear" w:color="auto" w:fill="auto"/>
            <w:hideMark/>
          </w:tcPr>
          <w:p w14:paraId="74F002D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Elektronická komunikace</w:t>
            </w:r>
          </w:p>
        </w:tc>
        <w:tc>
          <w:tcPr>
            <w:tcW w:w="2208" w:type="dxa"/>
            <w:tcBorders>
              <w:top w:val="nil"/>
              <w:left w:val="nil"/>
              <w:bottom w:val="single" w:sz="4" w:space="0" w:color="auto"/>
              <w:right w:val="single" w:sz="4" w:space="0" w:color="auto"/>
            </w:tcBorders>
            <w:shd w:val="clear" w:color="auto" w:fill="auto"/>
            <w:hideMark/>
          </w:tcPr>
          <w:p w14:paraId="36A9B07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musí obsahovat převodový můstek do mzdového programu organizace a umožňovat přenos dat s tímto systémem oběma směry.</w:t>
            </w:r>
          </w:p>
        </w:tc>
        <w:tc>
          <w:tcPr>
            <w:tcW w:w="1134" w:type="dxa"/>
            <w:tcBorders>
              <w:top w:val="nil"/>
              <w:left w:val="nil"/>
              <w:bottom w:val="single" w:sz="4" w:space="0" w:color="auto"/>
              <w:right w:val="single" w:sz="4" w:space="0" w:color="auto"/>
            </w:tcBorders>
            <w:shd w:val="clear" w:color="auto" w:fill="auto"/>
            <w:hideMark/>
          </w:tcPr>
          <w:p w14:paraId="26E2E40D"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 </w:t>
            </w:r>
          </w:p>
        </w:tc>
        <w:tc>
          <w:tcPr>
            <w:tcW w:w="992" w:type="dxa"/>
            <w:tcBorders>
              <w:top w:val="nil"/>
              <w:left w:val="nil"/>
              <w:bottom w:val="single" w:sz="4" w:space="0" w:color="auto"/>
              <w:right w:val="single" w:sz="4" w:space="0" w:color="auto"/>
            </w:tcBorders>
            <w:shd w:val="clear" w:color="auto" w:fill="auto"/>
            <w:hideMark/>
          </w:tcPr>
          <w:p w14:paraId="69538A02"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1134" w:type="dxa"/>
            <w:tcBorders>
              <w:top w:val="nil"/>
              <w:left w:val="nil"/>
              <w:bottom w:val="single" w:sz="4" w:space="0" w:color="auto"/>
              <w:right w:val="single" w:sz="4" w:space="0" w:color="auto"/>
            </w:tcBorders>
            <w:shd w:val="clear" w:color="auto" w:fill="auto"/>
            <w:hideMark/>
          </w:tcPr>
          <w:p w14:paraId="44E24CE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38AD6CD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 rámci implementace bude vytvořeno rozhraní pro předávání údajů "docházky", jako podkladu pro zpracování mezd v současném systému zadavatele.</w:t>
            </w:r>
            <w:r w:rsidRPr="007E3A9B">
              <w:rPr>
                <w:rFonts w:asciiTheme="minorHAnsi" w:hAnsiTheme="minorHAnsi" w:cstheme="minorHAnsi"/>
                <w:sz w:val="18"/>
                <w:szCs w:val="18"/>
              </w:rPr>
              <w:br/>
              <w:t>Druhé datové rozhraní bude vytvořeno pro příjem zpráv se zpracovanými mzdami za měsíc, jako podklad pro zaúčtování mezd ze stávajícího mzdového systému zadavatele. Na základě zprávy bude vytvořen Interní doklad, který bude zaúčtován.</w:t>
            </w:r>
          </w:p>
        </w:tc>
      </w:tr>
      <w:tr w:rsidR="00C03AF4" w:rsidRPr="007E3A9B" w14:paraId="7D385BF9"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52171A3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C12</w:t>
            </w:r>
          </w:p>
        </w:tc>
        <w:tc>
          <w:tcPr>
            <w:tcW w:w="1187" w:type="dxa"/>
            <w:tcBorders>
              <w:top w:val="nil"/>
              <w:left w:val="nil"/>
              <w:bottom w:val="single" w:sz="4" w:space="0" w:color="auto"/>
              <w:right w:val="single" w:sz="4" w:space="0" w:color="auto"/>
            </w:tcBorders>
            <w:shd w:val="clear" w:color="auto" w:fill="auto"/>
            <w:hideMark/>
          </w:tcPr>
          <w:p w14:paraId="5B54AFA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08" w:type="dxa"/>
            <w:tcBorders>
              <w:top w:val="nil"/>
              <w:left w:val="nil"/>
              <w:bottom w:val="single" w:sz="4" w:space="0" w:color="auto"/>
              <w:right w:val="single" w:sz="4" w:space="0" w:color="auto"/>
            </w:tcBorders>
            <w:shd w:val="clear" w:color="auto" w:fill="auto"/>
            <w:hideMark/>
          </w:tcPr>
          <w:p w14:paraId="5AE2878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musí obsahovat převodový můstek do personálního programu organizace a umožňovat pravidelný přenos vybraných personálních dat z tohoto systému a jejich aktualizaci v novém systému, včetně údajů o datu nástupu a výstupu.</w:t>
            </w:r>
          </w:p>
        </w:tc>
        <w:tc>
          <w:tcPr>
            <w:tcW w:w="1134" w:type="dxa"/>
            <w:tcBorders>
              <w:top w:val="nil"/>
              <w:left w:val="nil"/>
              <w:bottom w:val="single" w:sz="4" w:space="0" w:color="auto"/>
              <w:right w:val="single" w:sz="4" w:space="0" w:color="auto"/>
            </w:tcBorders>
            <w:shd w:val="clear" w:color="auto" w:fill="auto"/>
            <w:hideMark/>
          </w:tcPr>
          <w:p w14:paraId="3F774B25"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92" w:type="dxa"/>
            <w:tcBorders>
              <w:top w:val="nil"/>
              <w:left w:val="nil"/>
              <w:bottom w:val="single" w:sz="4" w:space="0" w:color="auto"/>
              <w:right w:val="single" w:sz="4" w:space="0" w:color="auto"/>
            </w:tcBorders>
            <w:shd w:val="clear" w:color="auto" w:fill="auto"/>
            <w:hideMark/>
          </w:tcPr>
          <w:p w14:paraId="5E8AAE3F"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94B7EA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410" w:type="dxa"/>
            <w:tcBorders>
              <w:top w:val="nil"/>
              <w:left w:val="nil"/>
              <w:bottom w:val="single" w:sz="4" w:space="0" w:color="auto"/>
              <w:right w:val="single" w:sz="4" w:space="0" w:color="auto"/>
            </w:tcBorders>
            <w:shd w:val="clear" w:color="auto" w:fill="auto"/>
            <w:hideMark/>
          </w:tcPr>
          <w:p w14:paraId="3045B4D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V rámci implementace bude vytvořeno datové rozhraní pro příjem změn personálních dat ze stávajícího personálního systému zadavatele.</w:t>
            </w:r>
          </w:p>
        </w:tc>
      </w:tr>
    </w:tbl>
    <w:p w14:paraId="762D498D" w14:textId="77777777" w:rsidR="00C03AF4" w:rsidRDefault="00C03AF4" w:rsidP="00C03AF4">
      <w:pPr>
        <w:jc w:val="both"/>
        <w:rPr>
          <w:rFonts w:ascii="Verdana" w:hAnsi="Verdana" w:cs="Arial"/>
          <w:sz w:val="20"/>
          <w:szCs w:val="20"/>
        </w:rPr>
      </w:pPr>
    </w:p>
    <w:p w14:paraId="380767E5" w14:textId="77777777" w:rsidR="00C03AF4" w:rsidRPr="007E3A9B" w:rsidRDefault="00C03AF4" w:rsidP="00C03AF4">
      <w:pPr>
        <w:pStyle w:val="Zkladntext31"/>
        <w:rPr>
          <w:rFonts w:eastAsia="Calibri"/>
          <w:b/>
        </w:rPr>
      </w:pPr>
      <w:r w:rsidRPr="007E3A9B">
        <w:rPr>
          <w:rFonts w:eastAsia="Calibri"/>
          <w:b/>
        </w:rPr>
        <w:t>Sklad</w:t>
      </w:r>
    </w:p>
    <w:tbl>
      <w:tblPr>
        <w:tblW w:w="9493" w:type="dxa"/>
        <w:tblInd w:w="75" w:type="dxa"/>
        <w:tblCellMar>
          <w:left w:w="70" w:type="dxa"/>
          <w:right w:w="70" w:type="dxa"/>
        </w:tblCellMar>
        <w:tblLook w:val="04A0" w:firstRow="1" w:lastRow="0" w:firstColumn="1" w:lastColumn="0" w:noHBand="0" w:noVBand="1"/>
      </w:tblPr>
      <w:tblGrid>
        <w:gridCol w:w="434"/>
        <w:gridCol w:w="1121"/>
        <w:gridCol w:w="2268"/>
        <w:gridCol w:w="1140"/>
        <w:gridCol w:w="900"/>
        <w:gridCol w:w="1120"/>
        <w:gridCol w:w="2510"/>
      </w:tblGrid>
      <w:tr w:rsidR="00C03AF4" w:rsidRPr="007E3A9B" w14:paraId="1633F9A9" w14:textId="77777777" w:rsidTr="000F2E84">
        <w:trPr>
          <w:trHeight w:val="600"/>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AA2B5"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P.Č.</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AF0D744"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Oblast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47F198E"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Požadavek</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B042BDC"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Splněno ve standardu</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A137782"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Splněno vývojem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7DC6EDF"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Nesplněno</w:t>
            </w:r>
          </w:p>
        </w:tc>
        <w:tc>
          <w:tcPr>
            <w:tcW w:w="2510" w:type="dxa"/>
            <w:tcBorders>
              <w:top w:val="single" w:sz="4" w:space="0" w:color="auto"/>
              <w:left w:val="nil"/>
              <w:bottom w:val="single" w:sz="4" w:space="0" w:color="auto"/>
              <w:right w:val="single" w:sz="4" w:space="0" w:color="auto"/>
            </w:tcBorders>
            <w:shd w:val="clear" w:color="auto" w:fill="auto"/>
            <w:vAlign w:val="center"/>
            <w:hideMark/>
          </w:tcPr>
          <w:p w14:paraId="6E964723" w14:textId="77777777" w:rsidR="00C03AF4" w:rsidRPr="007E3A9B" w:rsidRDefault="00C03AF4" w:rsidP="000F2E84">
            <w:pPr>
              <w:jc w:val="center"/>
              <w:rPr>
                <w:rFonts w:asciiTheme="minorHAnsi" w:hAnsiTheme="minorHAnsi" w:cstheme="minorHAnsi"/>
                <w:b/>
                <w:bCs/>
                <w:sz w:val="18"/>
                <w:szCs w:val="18"/>
              </w:rPr>
            </w:pPr>
            <w:r w:rsidRPr="007E3A9B">
              <w:rPr>
                <w:rFonts w:asciiTheme="minorHAnsi" w:hAnsiTheme="minorHAnsi" w:cstheme="minorHAnsi"/>
                <w:b/>
                <w:bCs/>
                <w:sz w:val="18"/>
                <w:szCs w:val="18"/>
              </w:rPr>
              <w:t>Popis způsobu řešení</w:t>
            </w:r>
          </w:p>
        </w:tc>
      </w:tr>
      <w:tr w:rsidR="00C03AF4" w:rsidRPr="007E3A9B" w14:paraId="2436D8F0" w14:textId="77777777" w:rsidTr="000F2E84">
        <w:trPr>
          <w:trHeight w:val="300"/>
        </w:trPr>
        <w:tc>
          <w:tcPr>
            <w:tcW w:w="434" w:type="dxa"/>
            <w:tcBorders>
              <w:top w:val="nil"/>
              <w:left w:val="single" w:sz="4" w:space="0" w:color="auto"/>
              <w:bottom w:val="single" w:sz="4" w:space="0" w:color="auto"/>
              <w:right w:val="single" w:sz="4" w:space="0" w:color="auto"/>
            </w:tcBorders>
            <w:shd w:val="clear" w:color="auto" w:fill="auto"/>
            <w:hideMark/>
          </w:tcPr>
          <w:p w14:paraId="62FD8A4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D1</w:t>
            </w:r>
          </w:p>
        </w:tc>
        <w:tc>
          <w:tcPr>
            <w:tcW w:w="1121" w:type="dxa"/>
            <w:tcBorders>
              <w:top w:val="nil"/>
              <w:left w:val="nil"/>
              <w:bottom w:val="single" w:sz="4" w:space="0" w:color="auto"/>
              <w:right w:val="single" w:sz="4" w:space="0" w:color="auto"/>
            </w:tcBorders>
            <w:shd w:val="clear" w:color="auto" w:fill="auto"/>
            <w:noWrap/>
            <w:hideMark/>
          </w:tcPr>
          <w:p w14:paraId="33ADD2DB" w14:textId="77777777" w:rsidR="00C03AF4" w:rsidRPr="007E3A9B" w:rsidRDefault="00C03AF4" w:rsidP="000F2E84">
            <w:pPr>
              <w:rPr>
                <w:rFonts w:asciiTheme="minorHAnsi" w:hAnsiTheme="minorHAnsi" w:cstheme="minorHAnsi"/>
                <w:b/>
                <w:bCs/>
                <w:sz w:val="18"/>
                <w:szCs w:val="18"/>
                <w:u w:val="single"/>
              </w:rPr>
            </w:pPr>
            <w:r w:rsidRPr="007E3A9B">
              <w:rPr>
                <w:rFonts w:asciiTheme="minorHAnsi" w:hAnsiTheme="minorHAnsi" w:cstheme="minorHAnsi"/>
                <w:b/>
                <w:bCs/>
                <w:sz w:val="18"/>
                <w:szCs w:val="18"/>
                <w:u w:val="single"/>
              </w:rPr>
              <w:t>Sklad</w:t>
            </w:r>
          </w:p>
        </w:tc>
        <w:tc>
          <w:tcPr>
            <w:tcW w:w="2268" w:type="dxa"/>
            <w:tcBorders>
              <w:top w:val="nil"/>
              <w:left w:val="nil"/>
              <w:bottom w:val="single" w:sz="4" w:space="0" w:color="auto"/>
              <w:right w:val="single" w:sz="4" w:space="0" w:color="auto"/>
            </w:tcBorders>
            <w:shd w:val="clear" w:color="auto" w:fill="auto"/>
            <w:hideMark/>
          </w:tcPr>
          <w:p w14:paraId="2E7EDCF9" w14:textId="77777777" w:rsidR="00C03AF4" w:rsidRPr="007E3A9B" w:rsidRDefault="00C03AF4" w:rsidP="000F2E84">
            <w:pPr>
              <w:rPr>
                <w:rFonts w:asciiTheme="minorHAnsi" w:hAnsiTheme="minorHAnsi" w:cstheme="minorHAnsi"/>
                <w:b/>
                <w:bCs/>
                <w:sz w:val="18"/>
                <w:szCs w:val="18"/>
                <w:u w:val="single"/>
              </w:rPr>
            </w:pPr>
            <w:r w:rsidRPr="007E3A9B">
              <w:rPr>
                <w:rFonts w:asciiTheme="minorHAnsi" w:hAnsiTheme="minorHAnsi" w:cstheme="minorHAnsi"/>
                <w:b/>
                <w:bCs/>
                <w:sz w:val="18"/>
                <w:szCs w:val="18"/>
                <w:u w:val="single"/>
              </w:rPr>
              <w:t> </w:t>
            </w:r>
          </w:p>
        </w:tc>
        <w:tc>
          <w:tcPr>
            <w:tcW w:w="1140" w:type="dxa"/>
            <w:tcBorders>
              <w:top w:val="nil"/>
              <w:left w:val="nil"/>
              <w:bottom w:val="single" w:sz="4" w:space="0" w:color="auto"/>
              <w:right w:val="single" w:sz="4" w:space="0" w:color="auto"/>
            </w:tcBorders>
            <w:shd w:val="clear" w:color="auto" w:fill="auto"/>
            <w:hideMark/>
          </w:tcPr>
          <w:p w14:paraId="53F005E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900" w:type="dxa"/>
            <w:tcBorders>
              <w:top w:val="nil"/>
              <w:left w:val="nil"/>
              <w:bottom w:val="single" w:sz="4" w:space="0" w:color="auto"/>
              <w:right w:val="single" w:sz="4" w:space="0" w:color="auto"/>
            </w:tcBorders>
            <w:shd w:val="clear" w:color="auto" w:fill="auto"/>
            <w:hideMark/>
          </w:tcPr>
          <w:p w14:paraId="3A1EAF9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4643947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29A46EA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r>
      <w:tr w:rsidR="00C03AF4" w:rsidRPr="007E3A9B" w14:paraId="2DAA58E5" w14:textId="77777777" w:rsidTr="000F2E84">
        <w:trPr>
          <w:trHeight w:val="600"/>
        </w:trPr>
        <w:tc>
          <w:tcPr>
            <w:tcW w:w="434" w:type="dxa"/>
            <w:tcBorders>
              <w:top w:val="nil"/>
              <w:left w:val="single" w:sz="4" w:space="0" w:color="auto"/>
              <w:bottom w:val="single" w:sz="4" w:space="0" w:color="auto"/>
              <w:right w:val="single" w:sz="4" w:space="0" w:color="auto"/>
            </w:tcBorders>
            <w:shd w:val="clear" w:color="auto" w:fill="auto"/>
            <w:hideMark/>
          </w:tcPr>
          <w:p w14:paraId="672D2CD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D2</w:t>
            </w:r>
          </w:p>
        </w:tc>
        <w:tc>
          <w:tcPr>
            <w:tcW w:w="1121" w:type="dxa"/>
            <w:tcBorders>
              <w:top w:val="nil"/>
              <w:left w:val="nil"/>
              <w:bottom w:val="single" w:sz="4" w:space="0" w:color="auto"/>
              <w:right w:val="single" w:sz="4" w:space="0" w:color="auto"/>
            </w:tcBorders>
            <w:shd w:val="clear" w:color="auto" w:fill="auto"/>
            <w:hideMark/>
          </w:tcPr>
          <w:p w14:paraId="4B1E93D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Skaldové evidence</w:t>
            </w:r>
          </w:p>
        </w:tc>
        <w:tc>
          <w:tcPr>
            <w:tcW w:w="2268" w:type="dxa"/>
            <w:tcBorders>
              <w:top w:val="nil"/>
              <w:left w:val="nil"/>
              <w:bottom w:val="single" w:sz="4" w:space="0" w:color="auto"/>
              <w:right w:val="single" w:sz="4" w:space="0" w:color="auto"/>
            </w:tcBorders>
            <w:shd w:val="clear" w:color="auto" w:fill="auto"/>
            <w:hideMark/>
          </w:tcPr>
          <w:p w14:paraId="6F1A877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umožní obvyklé způsoby oceňování, zadavatel používá průměrné ceny.</w:t>
            </w:r>
          </w:p>
        </w:tc>
        <w:tc>
          <w:tcPr>
            <w:tcW w:w="1140" w:type="dxa"/>
            <w:tcBorders>
              <w:top w:val="nil"/>
              <w:left w:val="nil"/>
              <w:bottom w:val="single" w:sz="4" w:space="0" w:color="auto"/>
              <w:right w:val="single" w:sz="4" w:space="0" w:color="auto"/>
            </w:tcBorders>
            <w:shd w:val="clear" w:color="auto" w:fill="auto"/>
            <w:hideMark/>
          </w:tcPr>
          <w:p w14:paraId="67CC547F"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24D26BA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37796FA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48BD9FD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umožňuje oba způsoby vedení skladové evidence = FIFO a průměrné ceny.</w:t>
            </w:r>
          </w:p>
        </w:tc>
      </w:tr>
      <w:tr w:rsidR="00C03AF4" w:rsidRPr="007E3A9B" w14:paraId="761B888D" w14:textId="77777777" w:rsidTr="000F2E84">
        <w:trPr>
          <w:trHeight w:val="1500"/>
        </w:trPr>
        <w:tc>
          <w:tcPr>
            <w:tcW w:w="434" w:type="dxa"/>
            <w:tcBorders>
              <w:top w:val="nil"/>
              <w:left w:val="single" w:sz="4" w:space="0" w:color="auto"/>
              <w:bottom w:val="single" w:sz="4" w:space="0" w:color="auto"/>
              <w:right w:val="single" w:sz="4" w:space="0" w:color="auto"/>
            </w:tcBorders>
            <w:shd w:val="clear" w:color="auto" w:fill="auto"/>
            <w:hideMark/>
          </w:tcPr>
          <w:p w14:paraId="7B2115D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D3</w:t>
            </w:r>
          </w:p>
        </w:tc>
        <w:tc>
          <w:tcPr>
            <w:tcW w:w="1121" w:type="dxa"/>
            <w:tcBorders>
              <w:top w:val="nil"/>
              <w:left w:val="nil"/>
              <w:bottom w:val="single" w:sz="4" w:space="0" w:color="auto"/>
              <w:right w:val="single" w:sz="4" w:space="0" w:color="auto"/>
            </w:tcBorders>
            <w:shd w:val="clear" w:color="auto" w:fill="auto"/>
            <w:hideMark/>
          </w:tcPr>
          <w:p w14:paraId="3F4FD25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445298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umožní automaticky účtovat skladové pohyby podle předdefinovaných kontací. Skladové doklady mají vazbu na účetnictví, jsou vybaveny provozními dimenzemi.</w:t>
            </w:r>
          </w:p>
        </w:tc>
        <w:tc>
          <w:tcPr>
            <w:tcW w:w="1140" w:type="dxa"/>
            <w:tcBorders>
              <w:top w:val="nil"/>
              <w:left w:val="nil"/>
              <w:bottom w:val="single" w:sz="4" w:space="0" w:color="auto"/>
              <w:right w:val="single" w:sz="4" w:space="0" w:color="auto"/>
            </w:tcBorders>
            <w:shd w:val="clear" w:color="auto" w:fill="auto"/>
            <w:hideMark/>
          </w:tcPr>
          <w:p w14:paraId="1C57C6D0"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6E72E33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4883A40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7D385B8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Helios umožňuje tvorbu skladových pohybů a vazbou na kontace.</w:t>
            </w:r>
            <w:r w:rsidRPr="007E3A9B">
              <w:rPr>
                <w:rFonts w:asciiTheme="minorHAnsi" w:hAnsiTheme="minorHAnsi" w:cstheme="minorHAnsi"/>
                <w:sz w:val="18"/>
                <w:szCs w:val="18"/>
              </w:rPr>
              <w:br/>
              <w:t>Skladové doklady jsou vybaveny provozními i účetními dimenzemi, které se při zaúčtování přenášejí do Účetního deníku.</w:t>
            </w:r>
          </w:p>
        </w:tc>
      </w:tr>
      <w:tr w:rsidR="00C03AF4" w:rsidRPr="007E3A9B" w14:paraId="17D59CDD" w14:textId="77777777" w:rsidTr="000F2E84">
        <w:trPr>
          <w:trHeight w:val="900"/>
        </w:trPr>
        <w:tc>
          <w:tcPr>
            <w:tcW w:w="434" w:type="dxa"/>
            <w:tcBorders>
              <w:top w:val="nil"/>
              <w:left w:val="single" w:sz="4" w:space="0" w:color="auto"/>
              <w:bottom w:val="single" w:sz="4" w:space="0" w:color="auto"/>
              <w:right w:val="single" w:sz="4" w:space="0" w:color="auto"/>
            </w:tcBorders>
            <w:shd w:val="clear" w:color="auto" w:fill="auto"/>
            <w:hideMark/>
          </w:tcPr>
          <w:p w14:paraId="1952930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1" w:type="dxa"/>
            <w:tcBorders>
              <w:top w:val="nil"/>
              <w:left w:val="nil"/>
              <w:bottom w:val="single" w:sz="4" w:space="0" w:color="auto"/>
              <w:right w:val="single" w:sz="4" w:space="0" w:color="auto"/>
            </w:tcBorders>
            <w:shd w:val="clear" w:color="auto" w:fill="auto"/>
            <w:hideMark/>
          </w:tcPr>
          <w:p w14:paraId="0FDEDBC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3A2BE5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Plná integrace s účetní evidencí</w:t>
            </w:r>
          </w:p>
        </w:tc>
        <w:tc>
          <w:tcPr>
            <w:tcW w:w="1140" w:type="dxa"/>
            <w:tcBorders>
              <w:top w:val="nil"/>
              <w:left w:val="nil"/>
              <w:bottom w:val="single" w:sz="4" w:space="0" w:color="auto"/>
              <w:right w:val="single" w:sz="4" w:space="0" w:color="auto"/>
            </w:tcBorders>
            <w:shd w:val="clear" w:color="auto" w:fill="auto"/>
            <w:hideMark/>
          </w:tcPr>
          <w:p w14:paraId="456C9693"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71D95B31"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3A8C662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3738C47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xml:space="preserve">Modul Sklad je integrální součástí sytému je plně integrován s Účetnictvím. Skladové pohyby se účtují přímo </w:t>
            </w:r>
            <w:r w:rsidRPr="007E3A9B">
              <w:rPr>
                <w:rFonts w:asciiTheme="minorHAnsi" w:hAnsiTheme="minorHAnsi" w:cstheme="minorHAnsi"/>
                <w:sz w:val="18"/>
                <w:szCs w:val="18"/>
              </w:rPr>
              <w:lastRenderedPageBreak/>
              <w:t>z prvotních dokladů skladových evidencí.</w:t>
            </w:r>
          </w:p>
        </w:tc>
      </w:tr>
      <w:tr w:rsidR="00C03AF4" w:rsidRPr="007E3A9B" w14:paraId="44ABF3F1" w14:textId="77777777" w:rsidTr="000F2E84">
        <w:trPr>
          <w:trHeight w:val="600"/>
        </w:trPr>
        <w:tc>
          <w:tcPr>
            <w:tcW w:w="434" w:type="dxa"/>
            <w:tcBorders>
              <w:top w:val="nil"/>
              <w:left w:val="single" w:sz="4" w:space="0" w:color="auto"/>
              <w:bottom w:val="single" w:sz="4" w:space="0" w:color="auto"/>
              <w:right w:val="single" w:sz="4" w:space="0" w:color="auto"/>
            </w:tcBorders>
            <w:shd w:val="clear" w:color="auto" w:fill="auto"/>
            <w:hideMark/>
          </w:tcPr>
          <w:p w14:paraId="78EF946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lastRenderedPageBreak/>
              <w:t>D4</w:t>
            </w:r>
          </w:p>
        </w:tc>
        <w:tc>
          <w:tcPr>
            <w:tcW w:w="1121" w:type="dxa"/>
            <w:tcBorders>
              <w:top w:val="nil"/>
              <w:left w:val="nil"/>
              <w:bottom w:val="single" w:sz="4" w:space="0" w:color="auto"/>
              <w:right w:val="single" w:sz="4" w:space="0" w:color="auto"/>
            </w:tcBorders>
            <w:shd w:val="clear" w:color="auto" w:fill="auto"/>
            <w:hideMark/>
          </w:tcPr>
          <w:p w14:paraId="1A1C8C7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4452CF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umožní vedení několika skladů, počet skladů bude možné měnit prostřednictvím nastavení.</w:t>
            </w:r>
          </w:p>
        </w:tc>
        <w:tc>
          <w:tcPr>
            <w:tcW w:w="1140" w:type="dxa"/>
            <w:tcBorders>
              <w:top w:val="nil"/>
              <w:left w:val="nil"/>
              <w:bottom w:val="single" w:sz="4" w:space="0" w:color="auto"/>
              <w:right w:val="single" w:sz="4" w:space="0" w:color="auto"/>
            </w:tcBorders>
            <w:shd w:val="clear" w:color="auto" w:fill="auto"/>
            <w:hideMark/>
          </w:tcPr>
          <w:p w14:paraId="7CDAA5A4"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6B11815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199B845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7E314EE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umožňuje definovat neomezené množství skladů, které je možné libovolně konfigurovat.</w:t>
            </w:r>
          </w:p>
        </w:tc>
      </w:tr>
      <w:tr w:rsidR="00C03AF4" w:rsidRPr="007E3A9B" w14:paraId="4BE06525" w14:textId="77777777" w:rsidTr="000F2E84">
        <w:trPr>
          <w:trHeight w:val="1200"/>
        </w:trPr>
        <w:tc>
          <w:tcPr>
            <w:tcW w:w="434" w:type="dxa"/>
            <w:tcBorders>
              <w:top w:val="nil"/>
              <w:left w:val="single" w:sz="4" w:space="0" w:color="auto"/>
              <w:bottom w:val="single" w:sz="4" w:space="0" w:color="auto"/>
              <w:right w:val="single" w:sz="4" w:space="0" w:color="auto"/>
            </w:tcBorders>
            <w:shd w:val="clear" w:color="auto" w:fill="auto"/>
            <w:hideMark/>
          </w:tcPr>
          <w:p w14:paraId="13BA351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D5</w:t>
            </w:r>
          </w:p>
        </w:tc>
        <w:tc>
          <w:tcPr>
            <w:tcW w:w="1121" w:type="dxa"/>
            <w:tcBorders>
              <w:top w:val="nil"/>
              <w:left w:val="nil"/>
              <w:bottom w:val="single" w:sz="4" w:space="0" w:color="auto"/>
              <w:right w:val="single" w:sz="4" w:space="0" w:color="auto"/>
            </w:tcBorders>
            <w:shd w:val="clear" w:color="auto" w:fill="auto"/>
            <w:hideMark/>
          </w:tcPr>
          <w:p w14:paraId="6993E40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69A012F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Aktuální zásobu skladové karty bude možné sledovat po jednotlivých skladech a podle potřeby ji podrobněji členit. Kritérii pro členění mohou být například exspirace, varianty zboží, jakosti, šarže, výrobního čísla a dalších.</w:t>
            </w:r>
          </w:p>
        </w:tc>
        <w:tc>
          <w:tcPr>
            <w:tcW w:w="1140" w:type="dxa"/>
            <w:tcBorders>
              <w:top w:val="nil"/>
              <w:left w:val="nil"/>
              <w:bottom w:val="single" w:sz="4" w:space="0" w:color="auto"/>
              <w:right w:val="single" w:sz="4" w:space="0" w:color="auto"/>
            </w:tcBorders>
            <w:shd w:val="clear" w:color="auto" w:fill="auto"/>
            <w:hideMark/>
          </w:tcPr>
          <w:p w14:paraId="3D03BA69"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5313289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2108BF3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679B4CD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Stav zásob na kmenové kartě je možné sledovat dle tzv. rozpadů které odpovídají požadavkům, to znamená dle expirace, variant, šarže, v</w:t>
            </w:r>
            <w:r>
              <w:rPr>
                <w:rFonts w:asciiTheme="minorHAnsi" w:hAnsiTheme="minorHAnsi" w:cstheme="minorHAnsi"/>
                <w:sz w:val="18"/>
                <w:szCs w:val="18"/>
              </w:rPr>
              <w:t>ý</w:t>
            </w:r>
            <w:r w:rsidRPr="007E3A9B">
              <w:rPr>
                <w:rFonts w:asciiTheme="minorHAnsi" w:hAnsiTheme="minorHAnsi" w:cstheme="minorHAnsi"/>
                <w:sz w:val="18"/>
                <w:szCs w:val="18"/>
              </w:rPr>
              <w:t>robních čísel, dále dle umístění na skladě atp.</w:t>
            </w:r>
          </w:p>
        </w:tc>
      </w:tr>
      <w:tr w:rsidR="00C03AF4" w:rsidRPr="007E3A9B" w14:paraId="67A89F1F" w14:textId="77777777" w:rsidTr="000F2E84">
        <w:trPr>
          <w:trHeight w:val="600"/>
        </w:trPr>
        <w:tc>
          <w:tcPr>
            <w:tcW w:w="434" w:type="dxa"/>
            <w:tcBorders>
              <w:top w:val="nil"/>
              <w:left w:val="single" w:sz="4" w:space="0" w:color="auto"/>
              <w:bottom w:val="single" w:sz="4" w:space="0" w:color="auto"/>
              <w:right w:val="single" w:sz="4" w:space="0" w:color="auto"/>
            </w:tcBorders>
            <w:shd w:val="clear" w:color="auto" w:fill="auto"/>
            <w:hideMark/>
          </w:tcPr>
          <w:p w14:paraId="7A95126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D6</w:t>
            </w:r>
          </w:p>
        </w:tc>
        <w:tc>
          <w:tcPr>
            <w:tcW w:w="1121" w:type="dxa"/>
            <w:tcBorders>
              <w:top w:val="nil"/>
              <w:left w:val="nil"/>
              <w:bottom w:val="single" w:sz="4" w:space="0" w:color="auto"/>
              <w:right w:val="single" w:sz="4" w:space="0" w:color="auto"/>
            </w:tcBorders>
            <w:shd w:val="clear" w:color="auto" w:fill="auto"/>
            <w:hideMark/>
          </w:tcPr>
          <w:p w14:paraId="43EF208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47C0B13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Skladové doklady budou vzájemně provázané a bude možné se mezi nimi jednoduše pohybovat.</w:t>
            </w:r>
          </w:p>
        </w:tc>
        <w:tc>
          <w:tcPr>
            <w:tcW w:w="1140" w:type="dxa"/>
            <w:tcBorders>
              <w:top w:val="nil"/>
              <w:left w:val="nil"/>
              <w:bottom w:val="single" w:sz="4" w:space="0" w:color="auto"/>
              <w:right w:val="single" w:sz="4" w:space="0" w:color="auto"/>
            </w:tcBorders>
            <w:shd w:val="clear" w:color="auto" w:fill="auto"/>
            <w:hideMark/>
          </w:tcPr>
          <w:p w14:paraId="465C6034"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60E38C1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14817EEF"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46EF5BF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Skladové doklady jsou provázané tzv. dynamickými vztahy, které umožňují rychlý pohyb mezi jednotlivými doklady.</w:t>
            </w:r>
          </w:p>
        </w:tc>
      </w:tr>
      <w:tr w:rsidR="00C03AF4" w:rsidRPr="007E3A9B" w14:paraId="03C2D479" w14:textId="77777777" w:rsidTr="000F2E84">
        <w:trPr>
          <w:trHeight w:val="600"/>
        </w:trPr>
        <w:tc>
          <w:tcPr>
            <w:tcW w:w="434" w:type="dxa"/>
            <w:tcBorders>
              <w:top w:val="nil"/>
              <w:left w:val="single" w:sz="4" w:space="0" w:color="auto"/>
              <w:bottom w:val="single" w:sz="4" w:space="0" w:color="auto"/>
              <w:right w:val="single" w:sz="4" w:space="0" w:color="auto"/>
            </w:tcBorders>
            <w:shd w:val="clear" w:color="auto" w:fill="auto"/>
            <w:hideMark/>
          </w:tcPr>
          <w:p w14:paraId="4AED5A8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D7</w:t>
            </w:r>
          </w:p>
        </w:tc>
        <w:tc>
          <w:tcPr>
            <w:tcW w:w="1121" w:type="dxa"/>
            <w:tcBorders>
              <w:top w:val="nil"/>
              <w:left w:val="nil"/>
              <w:bottom w:val="single" w:sz="4" w:space="0" w:color="auto"/>
              <w:right w:val="single" w:sz="4" w:space="0" w:color="auto"/>
            </w:tcBorders>
            <w:shd w:val="clear" w:color="auto" w:fill="auto"/>
            <w:hideMark/>
          </w:tcPr>
          <w:p w14:paraId="0EB6C6F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4FB7DA6"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Skladové karty bude možné hierarchicky členit a zařazovat je do určených skupin. Skupinám karet bude možné přiřazovat shodné vlastnosti.</w:t>
            </w:r>
          </w:p>
        </w:tc>
        <w:tc>
          <w:tcPr>
            <w:tcW w:w="1140" w:type="dxa"/>
            <w:tcBorders>
              <w:top w:val="nil"/>
              <w:left w:val="nil"/>
              <w:bottom w:val="single" w:sz="4" w:space="0" w:color="auto"/>
              <w:right w:val="single" w:sz="4" w:space="0" w:color="auto"/>
            </w:tcBorders>
            <w:shd w:val="clear" w:color="auto" w:fill="auto"/>
            <w:hideMark/>
          </w:tcPr>
          <w:p w14:paraId="0F0FF837"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72B1FE37"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3172729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0EA24F2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Skladové karty je možné hierarchicky členit dle prefixů a umožňuje definovat vlastnosti jednotlivých skupin.</w:t>
            </w:r>
          </w:p>
        </w:tc>
      </w:tr>
      <w:tr w:rsidR="00C03AF4" w:rsidRPr="007E3A9B" w14:paraId="656078DD" w14:textId="77777777" w:rsidTr="000F2E84">
        <w:trPr>
          <w:trHeight w:val="600"/>
        </w:trPr>
        <w:tc>
          <w:tcPr>
            <w:tcW w:w="434" w:type="dxa"/>
            <w:tcBorders>
              <w:top w:val="nil"/>
              <w:left w:val="single" w:sz="4" w:space="0" w:color="auto"/>
              <w:bottom w:val="single" w:sz="4" w:space="0" w:color="auto"/>
              <w:right w:val="single" w:sz="4" w:space="0" w:color="auto"/>
            </w:tcBorders>
            <w:shd w:val="clear" w:color="auto" w:fill="auto"/>
            <w:hideMark/>
          </w:tcPr>
          <w:p w14:paraId="645DE8D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D8</w:t>
            </w:r>
          </w:p>
        </w:tc>
        <w:tc>
          <w:tcPr>
            <w:tcW w:w="1121" w:type="dxa"/>
            <w:tcBorders>
              <w:top w:val="nil"/>
              <w:left w:val="nil"/>
              <w:bottom w:val="single" w:sz="4" w:space="0" w:color="auto"/>
              <w:right w:val="single" w:sz="4" w:space="0" w:color="auto"/>
            </w:tcBorders>
            <w:shd w:val="clear" w:color="auto" w:fill="auto"/>
            <w:hideMark/>
          </w:tcPr>
          <w:p w14:paraId="01BB6E5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E856D82"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umožní přepočítávání mezi měrnými jednotkami.</w:t>
            </w:r>
          </w:p>
        </w:tc>
        <w:tc>
          <w:tcPr>
            <w:tcW w:w="1140" w:type="dxa"/>
            <w:tcBorders>
              <w:top w:val="nil"/>
              <w:left w:val="nil"/>
              <w:bottom w:val="single" w:sz="4" w:space="0" w:color="auto"/>
              <w:right w:val="single" w:sz="4" w:space="0" w:color="auto"/>
            </w:tcBorders>
            <w:shd w:val="clear" w:color="auto" w:fill="auto"/>
            <w:hideMark/>
          </w:tcPr>
          <w:p w14:paraId="2FC6BC8B"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763BE05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721A13CA"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6D76106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umožňuje definovat převody mezi jednotlivými měrnými jednotkami.</w:t>
            </w:r>
          </w:p>
        </w:tc>
      </w:tr>
      <w:tr w:rsidR="00C03AF4" w:rsidRPr="007E3A9B" w14:paraId="44D569E2" w14:textId="77777777" w:rsidTr="000F2E84">
        <w:trPr>
          <w:trHeight w:val="600"/>
        </w:trPr>
        <w:tc>
          <w:tcPr>
            <w:tcW w:w="434" w:type="dxa"/>
            <w:tcBorders>
              <w:top w:val="nil"/>
              <w:left w:val="single" w:sz="4" w:space="0" w:color="auto"/>
              <w:bottom w:val="single" w:sz="4" w:space="0" w:color="auto"/>
              <w:right w:val="single" w:sz="4" w:space="0" w:color="auto"/>
            </w:tcBorders>
            <w:shd w:val="clear" w:color="auto" w:fill="auto"/>
            <w:hideMark/>
          </w:tcPr>
          <w:p w14:paraId="4109A5B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D9</w:t>
            </w:r>
          </w:p>
        </w:tc>
        <w:tc>
          <w:tcPr>
            <w:tcW w:w="1121" w:type="dxa"/>
            <w:tcBorders>
              <w:top w:val="nil"/>
              <w:left w:val="nil"/>
              <w:bottom w:val="single" w:sz="4" w:space="0" w:color="auto"/>
              <w:right w:val="single" w:sz="4" w:space="0" w:color="auto"/>
            </w:tcBorders>
            <w:shd w:val="clear" w:color="auto" w:fill="auto"/>
            <w:hideMark/>
          </w:tcPr>
          <w:p w14:paraId="2A26C80D"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2CD5768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xml:space="preserve">Z příjemek bude možné generovat faktury došlé a zároveň je na sebe spárovat. </w:t>
            </w:r>
          </w:p>
        </w:tc>
        <w:tc>
          <w:tcPr>
            <w:tcW w:w="1140" w:type="dxa"/>
            <w:tcBorders>
              <w:top w:val="nil"/>
              <w:left w:val="nil"/>
              <w:bottom w:val="single" w:sz="4" w:space="0" w:color="auto"/>
              <w:right w:val="single" w:sz="4" w:space="0" w:color="auto"/>
            </w:tcBorders>
            <w:shd w:val="clear" w:color="auto" w:fill="auto"/>
            <w:hideMark/>
          </w:tcPr>
          <w:p w14:paraId="143046A0"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1B122319"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21D927B0"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22D447D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umožňuje automatické párování vygenerovaných dokladů příjemek a faktur došlých.</w:t>
            </w:r>
          </w:p>
        </w:tc>
      </w:tr>
      <w:tr w:rsidR="00C03AF4" w:rsidRPr="007E3A9B" w14:paraId="6155AC18" w14:textId="77777777" w:rsidTr="000F2E84">
        <w:trPr>
          <w:trHeight w:val="900"/>
        </w:trPr>
        <w:tc>
          <w:tcPr>
            <w:tcW w:w="434" w:type="dxa"/>
            <w:tcBorders>
              <w:top w:val="nil"/>
              <w:left w:val="single" w:sz="4" w:space="0" w:color="auto"/>
              <w:bottom w:val="single" w:sz="4" w:space="0" w:color="auto"/>
              <w:right w:val="single" w:sz="4" w:space="0" w:color="auto"/>
            </w:tcBorders>
            <w:shd w:val="clear" w:color="auto" w:fill="auto"/>
            <w:hideMark/>
          </w:tcPr>
          <w:p w14:paraId="4A4BEE53"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D10</w:t>
            </w:r>
          </w:p>
        </w:tc>
        <w:tc>
          <w:tcPr>
            <w:tcW w:w="1121" w:type="dxa"/>
            <w:tcBorders>
              <w:top w:val="nil"/>
              <w:left w:val="nil"/>
              <w:bottom w:val="single" w:sz="4" w:space="0" w:color="auto"/>
              <w:right w:val="single" w:sz="4" w:space="0" w:color="auto"/>
            </w:tcBorders>
            <w:shd w:val="clear" w:color="auto" w:fill="auto"/>
            <w:hideMark/>
          </w:tcPr>
          <w:p w14:paraId="5E02BD38"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Inventury</w:t>
            </w:r>
          </w:p>
        </w:tc>
        <w:tc>
          <w:tcPr>
            <w:tcW w:w="2268" w:type="dxa"/>
            <w:tcBorders>
              <w:top w:val="nil"/>
              <w:left w:val="nil"/>
              <w:bottom w:val="single" w:sz="4" w:space="0" w:color="auto"/>
              <w:right w:val="single" w:sz="4" w:space="0" w:color="auto"/>
            </w:tcBorders>
            <w:shd w:val="clear" w:color="auto" w:fill="auto"/>
            <w:hideMark/>
          </w:tcPr>
          <w:p w14:paraId="2A21E9BB"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Inventura bude sloužit pro odsouhlasení fyzického množství ve skladech proti evidenci v systému. Systém umožní dělat inventuru dílčí skladové karty, lokace, průběžnou inventuru, či inventuru celého skladu.</w:t>
            </w:r>
          </w:p>
        </w:tc>
        <w:tc>
          <w:tcPr>
            <w:tcW w:w="1140" w:type="dxa"/>
            <w:tcBorders>
              <w:top w:val="nil"/>
              <w:left w:val="nil"/>
              <w:bottom w:val="single" w:sz="4" w:space="0" w:color="auto"/>
              <w:right w:val="single" w:sz="4" w:space="0" w:color="auto"/>
            </w:tcBorders>
            <w:shd w:val="clear" w:color="auto" w:fill="auto"/>
            <w:hideMark/>
          </w:tcPr>
          <w:p w14:paraId="72108359"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7E8BD40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55531E7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70C56F8F"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Systém umožňuje generování inventury dle rozpadu skladové, agregované inventury, i inventury pro vybrané kmenové karty, či jednotlivé sklady.</w:t>
            </w:r>
          </w:p>
        </w:tc>
      </w:tr>
      <w:tr w:rsidR="00C03AF4" w:rsidRPr="007E3A9B" w14:paraId="1FBD8BE2" w14:textId="77777777" w:rsidTr="000F2E84">
        <w:trPr>
          <w:trHeight w:val="900"/>
        </w:trPr>
        <w:tc>
          <w:tcPr>
            <w:tcW w:w="434" w:type="dxa"/>
            <w:tcBorders>
              <w:top w:val="nil"/>
              <w:left w:val="single" w:sz="4" w:space="0" w:color="auto"/>
              <w:bottom w:val="single" w:sz="4" w:space="0" w:color="auto"/>
              <w:right w:val="single" w:sz="4" w:space="0" w:color="auto"/>
            </w:tcBorders>
            <w:shd w:val="clear" w:color="auto" w:fill="auto"/>
            <w:hideMark/>
          </w:tcPr>
          <w:p w14:paraId="2EB80B5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D11</w:t>
            </w:r>
          </w:p>
        </w:tc>
        <w:tc>
          <w:tcPr>
            <w:tcW w:w="1121" w:type="dxa"/>
            <w:tcBorders>
              <w:top w:val="nil"/>
              <w:left w:val="nil"/>
              <w:bottom w:val="single" w:sz="4" w:space="0" w:color="auto"/>
              <w:right w:val="single" w:sz="4" w:space="0" w:color="auto"/>
            </w:tcBorders>
            <w:shd w:val="clear" w:color="auto" w:fill="auto"/>
            <w:hideMark/>
          </w:tcPr>
          <w:p w14:paraId="659783F5"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0AE442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Ke zjištění množstevní a finanční hodnoty k určitému datu sytém použije uzávěrky skladu. Pomocí uzávěrky se zamknou skladové pohyby v uzavřeném období.</w:t>
            </w:r>
          </w:p>
        </w:tc>
        <w:tc>
          <w:tcPr>
            <w:tcW w:w="1140" w:type="dxa"/>
            <w:tcBorders>
              <w:top w:val="nil"/>
              <w:left w:val="nil"/>
              <w:bottom w:val="single" w:sz="4" w:space="0" w:color="auto"/>
              <w:right w:val="single" w:sz="4" w:space="0" w:color="auto"/>
            </w:tcBorders>
            <w:shd w:val="clear" w:color="auto" w:fill="auto"/>
            <w:hideMark/>
          </w:tcPr>
          <w:p w14:paraId="3879EA42" w14:textId="77777777" w:rsidR="00C03AF4" w:rsidRPr="007E3A9B" w:rsidRDefault="00C03AF4" w:rsidP="000F2E84">
            <w:pPr>
              <w:jc w:val="center"/>
              <w:rPr>
                <w:rFonts w:asciiTheme="minorHAnsi" w:hAnsiTheme="minorHAnsi" w:cstheme="minorHAnsi"/>
                <w:sz w:val="18"/>
                <w:szCs w:val="18"/>
              </w:rPr>
            </w:pPr>
            <w:r w:rsidRPr="007E3A9B">
              <w:rPr>
                <w:rFonts w:asciiTheme="minorHAnsi" w:hAnsiTheme="minorHAnsi" w:cstheme="minorHAnsi"/>
                <w:sz w:val="18"/>
                <w:szCs w:val="18"/>
              </w:rPr>
              <w:t>ANO</w:t>
            </w:r>
          </w:p>
        </w:tc>
        <w:tc>
          <w:tcPr>
            <w:tcW w:w="900" w:type="dxa"/>
            <w:tcBorders>
              <w:top w:val="nil"/>
              <w:left w:val="nil"/>
              <w:bottom w:val="single" w:sz="4" w:space="0" w:color="auto"/>
              <w:right w:val="single" w:sz="4" w:space="0" w:color="auto"/>
            </w:tcBorders>
            <w:shd w:val="clear" w:color="auto" w:fill="auto"/>
            <w:hideMark/>
          </w:tcPr>
          <w:p w14:paraId="381CA824"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hideMark/>
          </w:tcPr>
          <w:p w14:paraId="3E6B3AEE"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 </w:t>
            </w:r>
          </w:p>
        </w:tc>
        <w:tc>
          <w:tcPr>
            <w:tcW w:w="2510" w:type="dxa"/>
            <w:tcBorders>
              <w:top w:val="nil"/>
              <w:left w:val="nil"/>
              <w:bottom w:val="single" w:sz="4" w:space="0" w:color="auto"/>
              <w:right w:val="single" w:sz="4" w:space="0" w:color="auto"/>
            </w:tcBorders>
            <w:shd w:val="clear" w:color="auto" w:fill="auto"/>
            <w:hideMark/>
          </w:tcPr>
          <w:p w14:paraId="32C08BBC" w14:textId="77777777" w:rsidR="00C03AF4" w:rsidRPr="007E3A9B" w:rsidRDefault="00C03AF4" w:rsidP="000F2E84">
            <w:pPr>
              <w:rPr>
                <w:rFonts w:asciiTheme="minorHAnsi" w:hAnsiTheme="minorHAnsi" w:cstheme="minorHAnsi"/>
                <w:sz w:val="18"/>
                <w:szCs w:val="18"/>
              </w:rPr>
            </w:pPr>
            <w:r w:rsidRPr="007E3A9B">
              <w:rPr>
                <w:rFonts w:asciiTheme="minorHAnsi" w:hAnsiTheme="minorHAnsi" w:cstheme="minorHAnsi"/>
                <w:sz w:val="18"/>
                <w:szCs w:val="18"/>
              </w:rPr>
              <w:t>Skladová závěrka umožňuje uzavření skladových dokladů, umožňuje sledovat stav skladu i zpětně, za definované období periodicita závěrek je libovolná.</w:t>
            </w:r>
          </w:p>
        </w:tc>
      </w:tr>
    </w:tbl>
    <w:p w14:paraId="75CB2683" w14:textId="77777777" w:rsidR="00C03AF4" w:rsidRDefault="00C03AF4" w:rsidP="00C03AF4">
      <w:pPr>
        <w:jc w:val="both"/>
        <w:rPr>
          <w:rFonts w:ascii="Verdana" w:hAnsi="Verdana" w:cs="Arial"/>
          <w:sz w:val="20"/>
          <w:szCs w:val="20"/>
        </w:rPr>
      </w:pPr>
    </w:p>
    <w:p w14:paraId="0D915F89" w14:textId="77777777" w:rsidR="00C03AF4" w:rsidRPr="00DB3FF1" w:rsidRDefault="00C03AF4" w:rsidP="00C03AF4">
      <w:pPr>
        <w:pStyle w:val="Zkladntext31"/>
        <w:rPr>
          <w:rFonts w:eastAsia="Calibri"/>
          <w:b/>
        </w:rPr>
      </w:pPr>
      <w:r w:rsidRPr="00DB3FF1">
        <w:rPr>
          <w:rFonts w:eastAsia="Calibri"/>
          <w:b/>
        </w:rPr>
        <w:t>Provoz</w:t>
      </w:r>
    </w:p>
    <w:tbl>
      <w:tblPr>
        <w:tblW w:w="9493" w:type="dxa"/>
        <w:tblInd w:w="75" w:type="dxa"/>
        <w:tblCellMar>
          <w:left w:w="70" w:type="dxa"/>
          <w:right w:w="70" w:type="dxa"/>
        </w:tblCellMar>
        <w:tblLook w:val="04A0" w:firstRow="1" w:lastRow="0" w:firstColumn="1" w:lastColumn="0" w:noHBand="0" w:noVBand="1"/>
      </w:tblPr>
      <w:tblGrid>
        <w:gridCol w:w="428"/>
        <w:gridCol w:w="1127"/>
        <w:gridCol w:w="2268"/>
        <w:gridCol w:w="1134"/>
        <w:gridCol w:w="850"/>
        <w:gridCol w:w="1134"/>
        <w:gridCol w:w="2552"/>
      </w:tblGrid>
      <w:tr w:rsidR="00C03AF4" w:rsidRPr="00DB3FF1" w14:paraId="0ECEAA8E" w14:textId="77777777" w:rsidTr="000F2E84">
        <w:trPr>
          <w:trHeight w:val="600"/>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ACCA2" w14:textId="77777777" w:rsidR="00C03AF4" w:rsidRPr="00DB3FF1" w:rsidRDefault="00C03AF4" w:rsidP="000F2E84">
            <w:pPr>
              <w:jc w:val="center"/>
              <w:rPr>
                <w:rFonts w:asciiTheme="minorHAnsi" w:hAnsiTheme="minorHAnsi" w:cstheme="minorHAnsi"/>
                <w:b/>
                <w:bCs/>
                <w:sz w:val="18"/>
                <w:szCs w:val="18"/>
              </w:rPr>
            </w:pPr>
            <w:r w:rsidRPr="00DB3FF1">
              <w:rPr>
                <w:rFonts w:asciiTheme="minorHAnsi" w:hAnsiTheme="minorHAnsi" w:cstheme="minorHAnsi"/>
                <w:b/>
                <w:bCs/>
                <w:sz w:val="18"/>
                <w:szCs w:val="18"/>
              </w:rPr>
              <w:t>P.Č.</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42592FBA" w14:textId="77777777" w:rsidR="00C03AF4" w:rsidRPr="00DB3FF1" w:rsidRDefault="00C03AF4" w:rsidP="000F2E84">
            <w:pPr>
              <w:jc w:val="center"/>
              <w:rPr>
                <w:rFonts w:asciiTheme="minorHAnsi" w:hAnsiTheme="minorHAnsi" w:cstheme="minorHAnsi"/>
                <w:b/>
                <w:bCs/>
                <w:sz w:val="18"/>
                <w:szCs w:val="18"/>
              </w:rPr>
            </w:pPr>
            <w:r w:rsidRPr="00DB3FF1">
              <w:rPr>
                <w:rFonts w:asciiTheme="minorHAnsi" w:hAnsiTheme="minorHAnsi" w:cstheme="minorHAnsi"/>
                <w:b/>
                <w:bCs/>
                <w:sz w:val="18"/>
                <w:szCs w:val="18"/>
              </w:rPr>
              <w:t>Oblast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288DA58" w14:textId="77777777" w:rsidR="00C03AF4" w:rsidRPr="00DB3FF1" w:rsidRDefault="00C03AF4" w:rsidP="000F2E84">
            <w:pPr>
              <w:jc w:val="center"/>
              <w:rPr>
                <w:rFonts w:asciiTheme="minorHAnsi" w:hAnsiTheme="minorHAnsi" w:cstheme="minorHAnsi"/>
                <w:b/>
                <w:bCs/>
                <w:sz w:val="18"/>
                <w:szCs w:val="18"/>
              </w:rPr>
            </w:pPr>
            <w:r w:rsidRPr="00DB3FF1">
              <w:rPr>
                <w:rFonts w:asciiTheme="minorHAnsi" w:hAnsiTheme="minorHAnsi" w:cstheme="minorHAnsi"/>
                <w:b/>
                <w:bCs/>
                <w:sz w:val="18"/>
                <w:szCs w:val="18"/>
              </w:rPr>
              <w:t>Požadavek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D51C4" w14:textId="77777777" w:rsidR="00C03AF4" w:rsidRPr="00DB3FF1" w:rsidRDefault="00C03AF4" w:rsidP="000F2E84">
            <w:pPr>
              <w:jc w:val="center"/>
              <w:rPr>
                <w:rFonts w:asciiTheme="minorHAnsi" w:hAnsiTheme="minorHAnsi" w:cstheme="minorHAnsi"/>
                <w:b/>
                <w:bCs/>
                <w:sz w:val="18"/>
                <w:szCs w:val="18"/>
              </w:rPr>
            </w:pPr>
            <w:r w:rsidRPr="00DB3FF1">
              <w:rPr>
                <w:rFonts w:asciiTheme="minorHAnsi" w:hAnsiTheme="minorHAnsi" w:cstheme="minorHAnsi"/>
                <w:b/>
                <w:bCs/>
                <w:sz w:val="18"/>
                <w:szCs w:val="18"/>
              </w:rPr>
              <w:t>Splněno ve standardu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A67FFA" w14:textId="77777777" w:rsidR="00C03AF4" w:rsidRPr="00DB3FF1" w:rsidRDefault="00C03AF4" w:rsidP="000F2E84">
            <w:pPr>
              <w:jc w:val="center"/>
              <w:rPr>
                <w:rFonts w:asciiTheme="minorHAnsi" w:hAnsiTheme="minorHAnsi" w:cstheme="minorHAnsi"/>
                <w:b/>
                <w:bCs/>
                <w:sz w:val="18"/>
                <w:szCs w:val="18"/>
              </w:rPr>
            </w:pPr>
            <w:r w:rsidRPr="00DB3FF1">
              <w:rPr>
                <w:rFonts w:asciiTheme="minorHAnsi" w:hAnsiTheme="minorHAnsi" w:cstheme="minorHAnsi"/>
                <w:b/>
                <w:bCs/>
                <w:sz w:val="18"/>
                <w:szCs w:val="18"/>
              </w:rPr>
              <w:t>Splněno vývojem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8875E" w14:textId="77777777" w:rsidR="00C03AF4" w:rsidRPr="00DB3FF1" w:rsidRDefault="00C03AF4" w:rsidP="000F2E84">
            <w:pPr>
              <w:jc w:val="center"/>
              <w:rPr>
                <w:rFonts w:asciiTheme="minorHAnsi" w:hAnsiTheme="minorHAnsi" w:cstheme="minorHAnsi"/>
                <w:b/>
                <w:bCs/>
                <w:sz w:val="18"/>
                <w:szCs w:val="18"/>
              </w:rPr>
            </w:pPr>
            <w:r w:rsidRPr="00DB3FF1">
              <w:rPr>
                <w:rFonts w:asciiTheme="minorHAnsi" w:hAnsiTheme="minorHAnsi" w:cstheme="minorHAnsi"/>
                <w:b/>
                <w:bCs/>
                <w:sz w:val="18"/>
                <w:szCs w:val="18"/>
              </w:rPr>
              <w:t>Nesplněno</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BDEA35" w14:textId="77777777" w:rsidR="00C03AF4" w:rsidRPr="00DB3FF1" w:rsidRDefault="00C03AF4" w:rsidP="000F2E84">
            <w:pPr>
              <w:jc w:val="center"/>
              <w:rPr>
                <w:rFonts w:asciiTheme="minorHAnsi" w:hAnsiTheme="minorHAnsi" w:cstheme="minorHAnsi"/>
                <w:b/>
                <w:bCs/>
                <w:sz w:val="18"/>
                <w:szCs w:val="18"/>
              </w:rPr>
            </w:pPr>
            <w:r w:rsidRPr="00DB3FF1">
              <w:rPr>
                <w:rFonts w:asciiTheme="minorHAnsi" w:hAnsiTheme="minorHAnsi" w:cstheme="minorHAnsi"/>
                <w:b/>
                <w:bCs/>
                <w:sz w:val="18"/>
                <w:szCs w:val="18"/>
              </w:rPr>
              <w:t>Popis způsobu řešení</w:t>
            </w:r>
          </w:p>
        </w:tc>
      </w:tr>
      <w:tr w:rsidR="00C03AF4" w:rsidRPr="00DB3FF1" w14:paraId="06133A05" w14:textId="77777777" w:rsidTr="000F2E84">
        <w:trPr>
          <w:trHeight w:val="300"/>
        </w:trPr>
        <w:tc>
          <w:tcPr>
            <w:tcW w:w="428" w:type="dxa"/>
            <w:tcBorders>
              <w:top w:val="nil"/>
              <w:left w:val="single" w:sz="4" w:space="0" w:color="auto"/>
              <w:bottom w:val="single" w:sz="4" w:space="0" w:color="auto"/>
              <w:right w:val="single" w:sz="4" w:space="0" w:color="auto"/>
            </w:tcBorders>
            <w:shd w:val="clear" w:color="auto" w:fill="auto"/>
            <w:hideMark/>
          </w:tcPr>
          <w:p w14:paraId="2971BF0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w:t>
            </w:r>
          </w:p>
        </w:tc>
        <w:tc>
          <w:tcPr>
            <w:tcW w:w="1127" w:type="dxa"/>
            <w:tcBorders>
              <w:top w:val="nil"/>
              <w:left w:val="nil"/>
              <w:bottom w:val="single" w:sz="4" w:space="0" w:color="auto"/>
              <w:right w:val="single" w:sz="4" w:space="0" w:color="auto"/>
            </w:tcBorders>
            <w:shd w:val="clear" w:color="auto" w:fill="auto"/>
            <w:noWrap/>
            <w:hideMark/>
          </w:tcPr>
          <w:p w14:paraId="0BB99D20" w14:textId="77777777" w:rsidR="00C03AF4" w:rsidRPr="00DB3FF1" w:rsidRDefault="00C03AF4" w:rsidP="000F2E84">
            <w:pPr>
              <w:rPr>
                <w:rFonts w:asciiTheme="minorHAnsi" w:hAnsiTheme="minorHAnsi" w:cstheme="minorHAnsi"/>
                <w:b/>
                <w:bCs/>
                <w:sz w:val="18"/>
                <w:szCs w:val="18"/>
                <w:u w:val="single"/>
              </w:rPr>
            </w:pPr>
            <w:r w:rsidRPr="00DB3FF1">
              <w:rPr>
                <w:rFonts w:asciiTheme="minorHAnsi" w:hAnsiTheme="minorHAnsi" w:cstheme="minorHAnsi"/>
                <w:b/>
                <w:bCs/>
                <w:sz w:val="18"/>
                <w:szCs w:val="18"/>
                <w:u w:val="single"/>
              </w:rPr>
              <w:t>Provozní procesy</w:t>
            </w:r>
          </w:p>
        </w:tc>
        <w:tc>
          <w:tcPr>
            <w:tcW w:w="2268" w:type="dxa"/>
            <w:tcBorders>
              <w:top w:val="nil"/>
              <w:left w:val="nil"/>
              <w:bottom w:val="single" w:sz="4" w:space="0" w:color="auto"/>
              <w:right w:val="single" w:sz="4" w:space="0" w:color="auto"/>
            </w:tcBorders>
            <w:shd w:val="clear" w:color="auto" w:fill="auto"/>
            <w:hideMark/>
          </w:tcPr>
          <w:p w14:paraId="6ACD8F97" w14:textId="77777777" w:rsidR="00C03AF4" w:rsidRPr="00DB3FF1" w:rsidRDefault="00C03AF4" w:rsidP="000F2E84">
            <w:pPr>
              <w:rPr>
                <w:rFonts w:asciiTheme="minorHAnsi" w:hAnsiTheme="minorHAnsi" w:cstheme="minorHAnsi"/>
                <w:b/>
                <w:bCs/>
                <w:sz w:val="18"/>
                <w:szCs w:val="18"/>
                <w:u w:val="single"/>
              </w:rPr>
            </w:pPr>
            <w:r w:rsidRPr="00DB3FF1">
              <w:rPr>
                <w:rFonts w:asciiTheme="minorHAnsi" w:hAnsiTheme="minorHAnsi" w:cstheme="minorHAnsi"/>
                <w:b/>
                <w:bCs/>
                <w:sz w:val="18"/>
                <w:szCs w:val="18"/>
                <w:u w:val="single"/>
              </w:rPr>
              <w:t> </w:t>
            </w:r>
          </w:p>
        </w:tc>
        <w:tc>
          <w:tcPr>
            <w:tcW w:w="1134" w:type="dxa"/>
            <w:tcBorders>
              <w:top w:val="nil"/>
              <w:left w:val="nil"/>
              <w:bottom w:val="single" w:sz="4" w:space="0" w:color="auto"/>
              <w:right w:val="single" w:sz="4" w:space="0" w:color="auto"/>
            </w:tcBorders>
            <w:shd w:val="clear" w:color="auto" w:fill="auto"/>
            <w:hideMark/>
          </w:tcPr>
          <w:p w14:paraId="6B0A922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hideMark/>
          </w:tcPr>
          <w:p w14:paraId="0F96F88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DC8483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7786B67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r>
      <w:tr w:rsidR="00C03AF4" w:rsidRPr="00DB3FF1" w14:paraId="40D7C7B6"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2AA5813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w:t>
            </w:r>
          </w:p>
        </w:tc>
        <w:tc>
          <w:tcPr>
            <w:tcW w:w="1127" w:type="dxa"/>
            <w:tcBorders>
              <w:top w:val="nil"/>
              <w:left w:val="nil"/>
              <w:bottom w:val="single" w:sz="4" w:space="0" w:color="auto"/>
              <w:right w:val="single" w:sz="4" w:space="0" w:color="auto"/>
            </w:tcBorders>
            <w:shd w:val="clear" w:color="auto" w:fill="auto"/>
            <w:hideMark/>
          </w:tcPr>
          <w:p w14:paraId="2A5C26E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Společné vlastnosti</w:t>
            </w:r>
          </w:p>
        </w:tc>
        <w:tc>
          <w:tcPr>
            <w:tcW w:w="2268" w:type="dxa"/>
            <w:tcBorders>
              <w:top w:val="nil"/>
              <w:left w:val="nil"/>
              <w:bottom w:val="single" w:sz="4" w:space="0" w:color="auto"/>
              <w:right w:val="single" w:sz="4" w:space="0" w:color="auto"/>
            </w:tcBorders>
            <w:shd w:val="clear" w:color="auto" w:fill="auto"/>
            <w:hideMark/>
          </w:tcPr>
          <w:p w14:paraId="2C4D3DA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xml:space="preserve">Podpora pro provozní procesy musí být součástí systému. Bude tak zajištěna společná správa systému, jednotný model dimenzí a číselníků a provázanost na </w:t>
            </w:r>
            <w:r w:rsidRPr="00DB3FF1">
              <w:rPr>
                <w:rFonts w:asciiTheme="minorHAnsi" w:hAnsiTheme="minorHAnsi" w:cstheme="minorHAnsi"/>
                <w:sz w:val="18"/>
                <w:szCs w:val="18"/>
              </w:rPr>
              <w:lastRenderedPageBreak/>
              <w:t>funkčnostmi z ekonomické oblasti.</w:t>
            </w:r>
          </w:p>
        </w:tc>
        <w:tc>
          <w:tcPr>
            <w:tcW w:w="1134" w:type="dxa"/>
            <w:tcBorders>
              <w:top w:val="nil"/>
              <w:left w:val="nil"/>
              <w:bottom w:val="single" w:sz="4" w:space="0" w:color="auto"/>
              <w:right w:val="single" w:sz="4" w:space="0" w:color="auto"/>
            </w:tcBorders>
            <w:shd w:val="clear" w:color="auto" w:fill="auto"/>
            <w:hideMark/>
          </w:tcPr>
          <w:p w14:paraId="2A43831E"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lastRenderedPageBreak/>
              <w:t>ANO</w:t>
            </w:r>
          </w:p>
        </w:tc>
        <w:tc>
          <w:tcPr>
            <w:tcW w:w="850" w:type="dxa"/>
            <w:tcBorders>
              <w:top w:val="nil"/>
              <w:left w:val="nil"/>
              <w:bottom w:val="single" w:sz="4" w:space="0" w:color="auto"/>
              <w:right w:val="single" w:sz="4" w:space="0" w:color="auto"/>
            </w:tcBorders>
            <w:shd w:val="clear" w:color="auto" w:fill="auto"/>
            <w:hideMark/>
          </w:tcPr>
          <w:p w14:paraId="7B09E00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4E3527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5FE0743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xml:space="preserve">Provozní modul je integrální součástí Helios a je pod centrální správou celého systému. Provozní modul je postaven na jednotném modelu provozních a účetních dimenzí a dalších </w:t>
            </w:r>
            <w:r w:rsidRPr="00DB3FF1">
              <w:rPr>
                <w:rFonts w:asciiTheme="minorHAnsi" w:hAnsiTheme="minorHAnsi" w:cstheme="minorHAnsi"/>
                <w:sz w:val="18"/>
                <w:szCs w:val="18"/>
              </w:rPr>
              <w:lastRenderedPageBreak/>
              <w:t>číselníků a využívá vybrané funkčnosti z ekonomické oblasti.</w:t>
            </w:r>
          </w:p>
        </w:tc>
      </w:tr>
      <w:tr w:rsidR="00C03AF4" w:rsidRPr="00DB3FF1" w14:paraId="3E00DC43"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3115678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E3</w:t>
            </w:r>
          </w:p>
        </w:tc>
        <w:tc>
          <w:tcPr>
            <w:tcW w:w="1127" w:type="dxa"/>
            <w:tcBorders>
              <w:top w:val="nil"/>
              <w:left w:val="nil"/>
              <w:bottom w:val="single" w:sz="4" w:space="0" w:color="auto"/>
              <w:right w:val="single" w:sz="4" w:space="0" w:color="auto"/>
            </w:tcBorders>
            <w:shd w:val="clear" w:color="auto" w:fill="auto"/>
            <w:hideMark/>
          </w:tcPr>
          <w:p w14:paraId="1D30D0A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Provozní dimenze</w:t>
            </w:r>
          </w:p>
        </w:tc>
        <w:tc>
          <w:tcPr>
            <w:tcW w:w="2268" w:type="dxa"/>
            <w:tcBorders>
              <w:top w:val="nil"/>
              <w:left w:val="nil"/>
              <w:bottom w:val="single" w:sz="4" w:space="0" w:color="auto"/>
              <w:right w:val="single" w:sz="4" w:space="0" w:color="auto"/>
            </w:tcBorders>
            <w:shd w:val="clear" w:color="auto" w:fill="auto"/>
            <w:hideMark/>
          </w:tcPr>
          <w:p w14:paraId="74C0614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Hlavní provozní dimenze, které procházejí celým systémem, jsou:</w:t>
            </w:r>
            <w:r w:rsidRPr="00DB3FF1">
              <w:rPr>
                <w:rFonts w:asciiTheme="minorHAnsi" w:hAnsiTheme="minorHAnsi" w:cstheme="minorHAnsi"/>
                <w:sz w:val="18"/>
                <w:szCs w:val="18"/>
              </w:rPr>
              <w:br/>
              <w:t>• Nákladové středisko (NS) = základní dimenze, která prochází celým systémem.</w:t>
            </w:r>
            <w:r w:rsidRPr="00DB3FF1">
              <w:rPr>
                <w:rFonts w:asciiTheme="minorHAnsi" w:hAnsiTheme="minorHAnsi" w:cstheme="minorHAnsi"/>
                <w:sz w:val="18"/>
                <w:szCs w:val="18"/>
              </w:rPr>
              <w:br/>
              <w:t>• Jmenovitý úkol (JU) = dílčí členění NS.</w:t>
            </w:r>
          </w:p>
        </w:tc>
        <w:tc>
          <w:tcPr>
            <w:tcW w:w="1134" w:type="dxa"/>
            <w:tcBorders>
              <w:top w:val="nil"/>
              <w:left w:val="nil"/>
              <w:bottom w:val="single" w:sz="4" w:space="0" w:color="auto"/>
              <w:right w:val="single" w:sz="4" w:space="0" w:color="auto"/>
            </w:tcBorders>
            <w:shd w:val="clear" w:color="auto" w:fill="auto"/>
            <w:hideMark/>
          </w:tcPr>
          <w:p w14:paraId="13605110"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11280E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DE79FD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69ECD6F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Počet dimenzí je ve standardu Helios de facto neomezený. V Helios lze nastavit i hierarchickou strukturu dimenze.</w:t>
            </w:r>
            <w:r w:rsidRPr="00DB3FF1">
              <w:rPr>
                <w:rFonts w:asciiTheme="minorHAnsi" w:hAnsiTheme="minorHAnsi" w:cstheme="minorHAnsi"/>
                <w:sz w:val="18"/>
                <w:szCs w:val="18"/>
              </w:rPr>
              <w:br/>
              <w:t>Klíčové provozní dimenze budou pojmenovány p</w:t>
            </w:r>
            <w:r>
              <w:rPr>
                <w:rFonts w:asciiTheme="minorHAnsi" w:hAnsiTheme="minorHAnsi" w:cstheme="minorHAnsi"/>
                <w:sz w:val="18"/>
                <w:szCs w:val="18"/>
              </w:rPr>
              <w:t>o</w:t>
            </w:r>
            <w:r w:rsidRPr="00DB3FF1">
              <w:rPr>
                <w:rFonts w:asciiTheme="minorHAnsi" w:hAnsiTheme="minorHAnsi" w:cstheme="minorHAnsi"/>
                <w:sz w:val="18"/>
                <w:szCs w:val="18"/>
              </w:rPr>
              <w:t>dle požadavku</w:t>
            </w:r>
            <w:r>
              <w:rPr>
                <w:rFonts w:asciiTheme="minorHAnsi" w:hAnsiTheme="minorHAnsi" w:cstheme="minorHAnsi"/>
                <w:sz w:val="18"/>
                <w:szCs w:val="18"/>
              </w:rPr>
              <w:t xml:space="preserve"> </w:t>
            </w:r>
            <w:r w:rsidRPr="00DB3FF1">
              <w:rPr>
                <w:rFonts w:asciiTheme="minorHAnsi" w:hAnsiTheme="minorHAnsi" w:cstheme="minorHAnsi"/>
                <w:sz w:val="18"/>
                <w:szCs w:val="18"/>
              </w:rPr>
              <w:t>zadavatele = NS a JU. Pojmenování dimenzí lze kdykoliv změnit.</w:t>
            </w:r>
          </w:p>
        </w:tc>
      </w:tr>
      <w:tr w:rsidR="00C03AF4" w:rsidRPr="00DB3FF1" w14:paraId="2F3F0A28" w14:textId="77777777" w:rsidTr="000F2E84">
        <w:trPr>
          <w:trHeight w:val="2700"/>
        </w:trPr>
        <w:tc>
          <w:tcPr>
            <w:tcW w:w="428" w:type="dxa"/>
            <w:tcBorders>
              <w:top w:val="nil"/>
              <w:left w:val="single" w:sz="4" w:space="0" w:color="auto"/>
              <w:bottom w:val="single" w:sz="4" w:space="0" w:color="auto"/>
              <w:right w:val="single" w:sz="4" w:space="0" w:color="auto"/>
            </w:tcBorders>
            <w:shd w:val="clear" w:color="auto" w:fill="auto"/>
            <w:hideMark/>
          </w:tcPr>
          <w:p w14:paraId="420ED83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w:t>
            </w:r>
          </w:p>
        </w:tc>
        <w:tc>
          <w:tcPr>
            <w:tcW w:w="1127" w:type="dxa"/>
            <w:tcBorders>
              <w:top w:val="nil"/>
              <w:left w:val="nil"/>
              <w:bottom w:val="single" w:sz="4" w:space="0" w:color="auto"/>
              <w:right w:val="single" w:sz="4" w:space="0" w:color="auto"/>
            </w:tcBorders>
            <w:shd w:val="clear" w:color="auto" w:fill="auto"/>
            <w:hideMark/>
          </w:tcPr>
          <w:p w14:paraId="4E88D88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2E8394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Číselník NS obsahuje nejvyšší úroveň členění provozních evidencí. NS je svěřeno do správy / přiřazeno vybranému středisku.</w:t>
            </w:r>
            <w:r w:rsidRPr="00DB3FF1">
              <w:rPr>
                <w:rFonts w:asciiTheme="minorHAnsi" w:hAnsiTheme="minorHAnsi" w:cstheme="minorHAnsi"/>
                <w:sz w:val="18"/>
                <w:szCs w:val="18"/>
              </w:rPr>
              <w:br/>
              <w:t>Zadavatel požaduje umožnit vyčlenit / označit záznam NS výhradně pro Vedlejší činnost a v souvislosti s tímto označením umožnot nastavit související kontrolní pravidla při vedení provozních, ale i účetních evidencí.</w:t>
            </w:r>
          </w:p>
        </w:tc>
        <w:tc>
          <w:tcPr>
            <w:tcW w:w="1134" w:type="dxa"/>
            <w:tcBorders>
              <w:top w:val="nil"/>
              <w:left w:val="nil"/>
              <w:bottom w:val="single" w:sz="4" w:space="0" w:color="auto"/>
              <w:right w:val="single" w:sz="4" w:space="0" w:color="auto"/>
            </w:tcBorders>
            <w:shd w:val="clear" w:color="auto" w:fill="auto"/>
            <w:hideMark/>
          </w:tcPr>
          <w:p w14:paraId="51EAC232"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628CAD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5F94E7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5843772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Provozní dimenz</w:t>
            </w:r>
            <w:r>
              <w:rPr>
                <w:rFonts w:asciiTheme="minorHAnsi" w:hAnsiTheme="minorHAnsi" w:cstheme="minorHAnsi"/>
                <w:sz w:val="18"/>
                <w:szCs w:val="18"/>
              </w:rPr>
              <w:t>e</w:t>
            </w:r>
            <w:r w:rsidRPr="00DB3FF1">
              <w:rPr>
                <w:rFonts w:asciiTheme="minorHAnsi" w:hAnsiTheme="minorHAnsi" w:cstheme="minorHAnsi"/>
                <w:sz w:val="18"/>
                <w:szCs w:val="18"/>
              </w:rPr>
              <w:t xml:space="preserve"> NS a JU jsou součástí mod</w:t>
            </w:r>
            <w:r>
              <w:rPr>
                <w:rFonts w:asciiTheme="minorHAnsi" w:hAnsiTheme="minorHAnsi" w:cstheme="minorHAnsi"/>
                <w:sz w:val="18"/>
                <w:szCs w:val="18"/>
              </w:rPr>
              <w:t>e</w:t>
            </w:r>
            <w:r w:rsidRPr="00DB3FF1">
              <w:rPr>
                <w:rFonts w:asciiTheme="minorHAnsi" w:hAnsiTheme="minorHAnsi" w:cstheme="minorHAnsi"/>
                <w:sz w:val="18"/>
                <w:szCs w:val="18"/>
              </w:rPr>
              <w:t>lu provozních a účetních dimenzí, který je proložen přes celý systém Helios pro TS.</w:t>
            </w:r>
            <w:r w:rsidRPr="00DB3FF1">
              <w:rPr>
                <w:rFonts w:asciiTheme="minorHAnsi" w:hAnsiTheme="minorHAnsi" w:cstheme="minorHAnsi"/>
                <w:sz w:val="18"/>
                <w:szCs w:val="18"/>
              </w:rPr>
              <w:br/>
              <w:t>Každý záznam NS bude přiřazen právě k jednomu Středisku (útvaru) do "správy" pomocí vztahu.</w:t>
            </w:r>
            <w:r w:rsidRPr="00DB3FF1">
              <w:rPr>
                <w:rFonts w:asciiTheme="minorHAnsi" w:hAnsiTheme="minorHAnsi" w:cstheme="minorHAnsi"/>
                <w:sz w:val="18"/>
                <w:szCs w:val="18"/>
              </w:rPr>
              <w:br/>
              <w:t>NS, na který se provádí výhradně Hlavní činnost, budou označena na záznamu NS. Součástí dodávky jsou integritní omezení, která zajistí, že na takto označená NS nelze navazovat doklady označené pro Vedlejší činnost.</w:t>
            </w:r>
          </w:p>
        </w:tc>
      </w:tr>
      <w:tr w:rsidR="00C03AF4" w:rsidRPr="00DB3FF1" w14:paraId="657871C7" w14:textId="77777777" w:rsidTr="000F2E84">
        <w:trPr>
          <w:trHeight w:val="3300"/>
        </w:trPr>
        <w:tc>
          <w:tcPr>
            <w:tcW w:w="428" w:type="dxa"/>
            <w:tcBorders>
              <w:top w:val="nil"/>
              <w:left w:val="single" w:sz="4" w:space="0" w:color="auto"/>
              <w:bottom w:val="single" w:sz="4" w:space="0" w:color="auto"/>
              <w:right w:val="single" w:sz="4" w:space="0" w:color="auto"/>
            </w:tcBorders>
            <w:shd w:val="clear" w:color="auto" w:fill="auto"/>
            <w:hideMark/>
          </w:tcPr>
          <w:p w14:paraId="2075651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w:t>
            </w:r>
          </w:p>
        </w:tc>
        <w:tc>
          <w:tcPr>
            <w:tcW w:w="1127" w:type="dxa"/>
            <w:tcBorders>
              <w:top w:val="nil"/>
              <w:left w:val="nil"/>
              <w:bottom w:val="single" w:sz="4" w:space="0" w:color="auto"/>
              <w:right w:val="single" w:sz="4" w:space="0" w:color="auto"/>
            </w:tcBorders>
            <w:shd w:val="clear" w:color="auto" w:fill="auto"/>
            <w:hideMark/>
          </w:tcPr>
          <w:p w14:paraId="52B404E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F2D4B8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Číselník JU obsahuje nižší úroven členění provozních evidencí. JU je realizován vybraným střediskem / útvarem. JU tak může realizovat jiné středisko, než které spravuje NS.</w:t>
            </w:r>
            <w:r w:rsidRPr="00DB3FF1">
              <w:rPr>
                <w:rFonts w:asciiTheme="minorHAnsi" w:hAnsiTheme="minorHAnsi" w:cstheme="minorHAnsi"/>
                <w:sz w:val="18"/>
                <w:szCs w:val="18"/>
              </w:rPr>
              <w:br/>
              <w:t>JU je zpravidla primární nositelem provozních evidencí a souvisejících nákladů a výnosů.</w:t>
            </w:r>
            <w:r w:rsidRPr="00DB3FF1">
              <w:rPr>
                <w:rFonts w:asciiTheme="minorHAnsi" w:hAnsiTheme="minorHAnsi" w:cstheme="minorHAnsi"/>
                <w:sz w:val="18"/>
                <w:szCs w:val="18"/>
              </w:rPr>
              <w:br/>
              <w:t>Mohou existovat NS, která se nečlení na JU. Nositelem provozních evidencí a také nákladů a výnosů je v takovém přípedě NS.</w:t>
            </w:r>
          </w:p>
        </w:tc>
        <w:tc>
          <w:tcPr>
            <w:tcW w:w="1134" w:type="dxa"/>
            <w:tcBorders>
              <w:top w:val="nil"/>
              <w:left w:val="nil"/>
              <w:bottom w:val="single" w:sz="4" w:space="0" w:color="auto"/>
              <w:right w:val="single" w:sz="4" w:space="0" w:color="auto"/>
            </w:tcBorders>
            <w:shd w:val="clear" w:color="auto" w:fill="auto"/>
            <w:hideMark/>
          </w:tcPr>
          <w:p w14:paraId="67B6DDDE"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D6A827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A1BC98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70EFFD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Záznamy číselníku JU jsou v modelu dimenzí podřízeny NS. Ke každému záznamu JU bude přiřazeno středisko, které plánované činnosti JU realizuje. Středisko realizující JU tak může být jiné, než středisko, které spravuje nadřízené NS.</w:t>
            </w:r>
            <w:r w:rsidRPr="00DB3FF1">
              <w:rPr>
                <w:rFonts w:asciiTheme="minorHAnsi" w:hAnsiTheme="minorHAnsi" w:cstheme="minorHAnsi"/>
                <w:sz w:val="18"/>
                <w:szCs w:val="18"/>
              </w:rPr>
              <w:br/>
              <w:t>K záznamu číselníku JU se v provozním modulu přivazují provozní evidence a náklady nebo i výnosy, prostřednictvím prvotních dokladů.</w:t>
            </w:r>
            <w:r w:rsidRPr="00DB3FF1">
              <w:rPr>
                <w:rFonts w:asciiTheme="minorHAnsi" w:hAnsiTheme="minorHAnsi" w:cstheme="minorHAnsi"/>
                <w:sz w:val="18"/>
                <w:szCs w:val="18"/>
              </w:rPr>
              <w:br/>
              <w:t>Model dimenzí bude možné upravit tak, aby bylo možné použít jen dimenzi NS, bez jejího členění na JU, a provoní evidence i související náklady a výnosy tak bude možné navázat přímo na NS..</w:t>
            </w:r>
          </w:p>
        </w:tc>
      </w:tr>
      <w:tr w:rsidR="00C03AF4" w:rsidRPr="00DB3FF1" w14:paraId="31483296" w14:textId="77777777" w:rsidTr="000F2E84">
        <w:trPr>
          <w:trHeight w:val="3300"/>
        </w:trPr>
        <w:tc>
          <w:tcPr>
            <w:tcW w:w="428" w:type="dxa"/>
            <w:tcBorders>
              <w:top w:val="nil"/>
              <w:left w:val="single" w:sz="4" w:space="0" w:color="auto"/>
              <w:bottom w:val="single" w:sz="4" w:space="0" w:color="auto"/>
              <w:right w:val="single" w:sz="4" w:space="0" w:color="auto"/>
            </w:tcBorders>
            <w:shd w:val="clear" w:color="auto" w:fill="auto"/>
            <w:hideMark/>
          </w:tcPr>
          <w:p w14:paraId="58B1C75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E6</w:t>
            </w:r>
          </w:p>
        </w:tc>
        <w:tc>
          <w:tcPr>
            <w:tcW w:w="1127" w:type="dxa"/>
            <w:tcBorders>
              <w:top w:val="nil"/>
              <w:left w:val="nil"/>
              <w:bottom w:val="single" w:sz="4" w:space="0" w:color="auto"/>
              <w:right w:val="single" w:sz="4" w:space="0" w:color="auto"/>
            </w:tcBorders>
            <w:shd w:val="clear" w:color="auto" w:fill="auto"/>
            <w:hideMark/>
          </w:tcPr>
          <w:p w14:paraId="373A467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1AD99C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Dalšími dimenzemi, které slouží k identifikaci provozních (i ekonomických) aktivit, jsou Stroje a mechanismy, Pracovníci, Střediska / Útvary. Tyto dimenze slouží k plánování a evidenci provedených prací a také k identifikaci přímo vynaložených nákladů na tyto objekty.</w:t>
            </w:r>
          </w:p>
        </w:tc>
        <w:tc>
          <w:tcPr>
            <w:tcW w:w="1134" w:type="dxa"/>
            <w:tcBorders>
              <w:top w:val="nil"/>
              <w:left w:val="nil"/>
              <w:bottom w:val="single" w:sz="4" w:space="0" w:color="auto"/>
              <w:right w:val="single" w:sz="4" w:space="0" w:color="auto"/>
            </w:tcBorders>
            <w:shd w:val="clear" w:color="auto" w:fill="auto"/>
            <w:hideMark/>
          </w:tcPr>
          <w:p w14:paraId="0BF1EFCB"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B88F99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0DAF9B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5BAA59E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Pro stroje a mechanismy se v Provozním modulu Helios používá třída Dopravní prostředek. Tato třída je účetní dimenzí Helios pro TS.</w:t>
            </w:r>
            <w:r w:rsidRPr="00DB3FF1">
              <w:rPr>
                <w:rFonts w:asciiTheme="minorHAnsi" w:hAnsiTheme="minorHAnsi" w:cstheme="minorHAnsi"/>
                <w:sz w:val="18"/>
                <w:szCs w:val="18"/>
              </w:rPr>
              <w:br/>
              <w:t>Pracovníci se spravují v třídě Zaměstnanci, včetně údajů o nástupu a výstupu. Třída Zaměstnanci je účetní dimenzí Helios.</w:t>
            </w:r>
            <w:r w:rsidRPr="00DB3FF1">
              <w:rPr>
                <w:rFonts w:asciiTheme="minorHAnsi" w:hAnsiTheme="minorHAnsi" w:cstheme="minorHAnsi"/>
                <w:sz w:val="18"/>
                <w:szCs w:val="18"/>
              </w:rPr>
              <w:br/>
              <w:t>Střediska se spravují ve třídě Útvary. tato třída je účetní dimenzí Helios.</w:t>
            </w:r>
            <w:r w:rsidRPr="00DB3FF1">
              <w:rPr>
                <w:rFonts w:asciiTheme="minorHAnsi" w:hAnsiTheme="minorHAnsi" w:cstheme="minorHAnsi"/>
                <w:sz w:val="18"/>
                <w:szCs w:val="18"/>
              </w:rPr>
              <w:br/>
              <w:t>Tyto dimenze slouží v provozním modulu k plánování a evidenci prací a k identifikaci vynaložených nákladů na tyto "dimenze".</w:t>
            </w:r>
          </w:p>
        </w:tc>
      </w:tr>
      <w:tr w:rsidR="00C03AF4" w:rsidRPr="00DB3FF1" w14:paraId="0A33D8ED"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39C9706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E7</w:t>
            </w:r>
          </w:p>
        </w:tc>
        <w:tc>
          <w:tcPr>
            <w:tcW w:w="1127" w:type="dxa"/>
            <w:tcBorders>
              <w:top w:val="nil"/>
              <w:left w:val="nil"/>
              <w:bottom w:val="single" w:sz="4" w:space="0" w:color="auto"/>
              <w:right w:val="single" w:sz="4" w:space="0" w:color="auto"/>
            </w:tcBorders>
            <w:shd w:val="clear" w:color="auto" w:fill="auto"/>
            <w:hideMark/>
          </w:tcPr>
          <w:p w14:paraId="7FE9AC9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428F8EF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Zadavatel požaduje, aby systém v budoucnu formou nastavení umožnil doplnit do provozních evidencí další dimenze ve formě číselníků, např. Lokalita, Obvod, Rajon nebo objekty zvláštního významu (např. školy a školky).</w:t>
            </w:r>
          </w:p>
        </w:tc>
        <w:tc>
          <w:tcPr>
            <w:tcW w:w="1134" w:type="dxa"/>
            <w:tcBorders>
              <w:top w:val="nil"/>
              <w:left w:val="nil"/>
              <w:bottom w:val="single" w:sz="4" w:space="0" w:color="auto"/>
              <w:right w:val="single" w:sz="4" w:space="0" w:color="auto"/>
            </w:tcBorders>
            <w:shd w:val="clear" w:color="auto" w:fill="auto"/>
            <w:hideMark/>
          </w:tcPr>
          <w:p w14:paraId="186BD5A0"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BEF0A5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C6C22F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7B87221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Helios lze vytvořit prakticky libovolné množství dalších dimenzí. Dimenze Lokalita, Obvod, Rajon nebo další objekty zvláštního významu mohou být doplněny v rámci implementace nebo v budoucnosti podle požadavků zadavatele.</w:t>
            </w:r>
          </w:p>
        </w:tc>
      </w:tr>
      <w:tr w:rsidR="00C03AF4" w:rsidRPr="00DB3FF1" w14:paraId="25FCC57C" w14:textId="77777777" w:rsidTr="000F2E84">
        <w:trPr>
          <w:trHeight w:val="300"/>
        </w:trPr>
        <w:tc>
          <w:tcPr>
            <w:tcW w:w="428" w:type="dxa"/>
            <w:tcBorders>
              <w:top w:val="nil"/>
              <w:left w:val="single" w:sz="4" w:space="0" w:color="auto"/>
              <w:bottom w:val="single" w:sz="4" w:space="0" w:color="auto"/>
              <w:right w:val="single" w:sz="4" w:space="0" w:color="auto"/>
            </w:tcBorders>
            <w:shd w:val="clear" w:color="auto" w:fill="auto"/>
            <w:hideMark/>
          </w:tcPr>
          <w:p w14:paraId="0215A64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E8</w:t>
            </w:r>
          </w:p>
        </w:tc>
        <w:tc>
          <w:tcPr>
            <w:tcW w:w="1127" w:type="dxa"/>
            <w:tcBorders>
              <w:top w:val="nil"/>
              <w:left w:val="nil"/>
              <w:bottom w:val="single" w:sz="4" w:space="0" w:color="auto"/>
              <w:right w:val="single" w:sz="4" w:space="0" w:color="auto"/>
            </w:tcBorders>
            <w:shd w:val="clear" w:color="auto" w:fill="auto"/>
            <w:hideMark/>
          </w:tcPr>
          <w:p w14:paraId="1398FC1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6F0CA3D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odlišit NS pro hlavní činnost a NS pro vedlejší činnost.</w:t>
            </w:r>
          </w:p>
        </w:tc>
        <w:tc>
          <w:tcPr>
            <w:tcW w:w="1134" w:type="dxa"/>
            <w:tcBorders>
              <w:top w:val="nil"/>
              <w:left w:val="nil"/>
              <w:bottom w:val="single" w:sz="4" w:space="0" w:color="auto"/>
              <w:right w:val="single" w:sz="4" w:space="0" w:color="auto"/>
            </w:tcBorders>
            <w:shd w:val="clear" w:color="auto" w:fill="auto"/>
            <w:hideMark/>
          </w:tcPr>
          <w:p w14:paraId="52F6BF5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F16F15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E34E80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EB5229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Hlavní nebo vedlejší činnost je vlastností záznamu NS.</w:t>
            </w:r>
          </w:p>
        </w:tc>
      </w:tr>
      <w:tr w:rsidR="00C03AF4" w:rsidRPr="00DB3FF1" w14:paraId="64870539"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6D30FC9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E9</w:t>
            </w:r>
          </w:p>
        </w:tc>
        <w:tc>
          <w:tcPr>
            <w:tcW w:w="1127" w:type="dxa"/>
            <w:tcBorders>
              <w:top w:val="nil"/>
              <w:left w:val="nil"/>
              <w:bottom w:val="single" w:sz="4" w:space="0" w:color="auto"/>
              <w:right w:val="single" w:sz="4" w:space="0" w:color="auto"/>
            </w:tcBorders>
            <w:shd w:val="clear" w:color="auto" w:fill="auto"/>
            <w:hideMark/>
          </w:tcPr>
          <w:p w14:paraId="0B56FED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Druhy prací</w:t>
            </w:r>
          </w:p>
        </w:tc>
        <w:tc>
          <w:tcPr>
            <w:tcW w:w="2268" w:type="dxa"/>
            <w:tcBorders>
              <w:top w:val="nil"/>
              <w:left w:val="nil"/>
              <w:bottom w:val="single" w:sz="4" w:space="0" w:color="auto"/>
              <w:right w:val="single" w:sz="4" w:space="0" w:color="auto"/>
            </w:tcBorders>
            <w:shd w:val="clear" w:color="auto" w:fill="auto"/>
            <w:hideMark/>
          </w:tcPr>
          <w:p w14:paraId="237ADA1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Číselník činností umožní na jednom místě spravovat druhy prováděných prací.</w:t>
            </w:r>
            <w:r w:rsidRPr="00DB3FF1">
              <w:rPr>
                <w:rFonts w:asciiTheme="minorHAnsi" w:hAnsiTheme="minorHAnsi" w:cstheme="minorHAnsi"/>
                <w:sz w:val="18"/>
                <w:szCs w:val="18"/>
              </w:rPr>
              <w:br/>
              <w:t>Číselník činností je společný pro celou organizaci. Číselník činností bude možné nastavit jako hierarchický a umožnit tak agregaci provedených prací podle jednotlivých úrovní jeho hierarchie.</w:t>
            </w:r>
          </w:p>
        </w:tc>
        <w:tc>
          <w:tcPr>
            <w:tcW w:w="1134" w:type="dxa"/>
            <w:tcBorders>
              <w:top w:val="nil"/>
              <w:left w:val="nil"/>
              <w:bottom w:val="single" w:sz="4" w:space="0" w:color="auto"/>
              <w:right w:val="single" w:sz="4" w:space="0" w:color="auto"/>
            </w:tcBorders>
            <w:shd w:val="clear" w:color="auto" w:fill="auto"/>
            <w:hideMark/>
          </w:tcPr>
          <w:p w14:paraId="3B0C89DB"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B115B9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3F2AEA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60241D5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Číselník činností je jedním z klíčových číselníků Provozního modulu Helios pro TS a je společný pro celý systém, respektive pro celou organizaci. Záznamy číselníku činností lze organizovat jako hierarchický číselník a toto nastavení lze realizovat v etapě implementace.</w:t>
            </w:r>
          </w:p>
        </w:tc>
      </w:tr>
      <w:tr w:rsidR="00C03AF4" w:rsidRPr="00DB3FF1" w14:paraId="26452D22" w14:textId="77777777" w:rsidTr="000F2E84">
        <w:trPr>
          <w:trHeight w:val="1800"/>
        </w:trPr>
        <w:tc>
          <w:tcPr>
            <w:tcW w:w="428" w:type="dxa"/>
            <w:tcBorders>
              <w:top w:val="nil"/>
              <w:left w:val="single" w:sz="4" w:space="0" w:color="auto"/>
              <w:bottom w:val="single" w:sz="4" w:space="0" w:color="auto"/>
              <w:right w:val="single" w:sz="4" w:space="0" w:color="auto"/>
            </w:tcBorders>
            <w:shd w:val="clear" w:color="auto" w:fill="auto"/>
            <w:hideMark/>
          </w:tcPr>
          <w:p w14:paraId="2AE03B6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E10</w:t>
            </w:r>
          </w:p>
        </w:tc>
        <w:tc>
          <w:tcPr>
            <w:tcW w:w="1127" w:type="dxa"/>
            <w:tcBorders>
              <w:top w:val="nil"/>
              <w:left w:val="nil"/>
              <w:bottom w:val="single" w:sz="4" w:space="0" w:color="auto"/>
              <w:right w:val="single" w:sz="4" w:space="0" w:color="auto"/>
            </w:tcBorders>
            <w:shd w:val="clear" w:color="auto" w:fill="auto"/>
            <w:hideMark/>
          </w:tcPr>
          <w:p w14:paraId="7753437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04F374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Položky Číselníku činností bude možné přiřadit ke střediskům / Útvarům a zajistit tak, aby se při plánování směn útvaru nabízely jen činnosti, které daný útvar vykonává.</w:t>
            </w:r>
          </w:p>
        </w:tc>
        <w:tc>
          <w:tcPr>
            <w:tcW w:w="1134" w:type="dxa"/>
            <w:tcBorders>
              <w:top w:val="nil"/>
              <w:left w:val="nil"/>
              <w:bottom w:val="single" w:sz="4" w:space="0" w:color="auto"/>
              <w:right w:val="single" w:sz="4" w:space="0" w:color="auto"/>
            </w:tcBorders>
            <w:shd w:val="clear" w:color="auto" w:fill="auto"/>
            <w:hideMark/>
          </w:tcPr>
          <w:p w14:paraId="0A08173B"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36FD8A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4D7243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6C94DF3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Provozním m</w:t>
            </w:r>
            <w:r>
              <w:rPr>
                <w:rFonts w:asciiTheme="minorHAnsi" w:hAnsiTheme="minorHAnsi" w:cstheme="minorHAnsi"/>
                <w:sz w:val="18"/>
                <w:szCs w:val="18"/>
              </w:rPr>
              <w:t>o</w:t>
            </w:r>
            <w:r w:rsidRPr="00DB3FF1">
              <w:rPr>
                <w:rFonts w:asciiTheme="minorHAnsi" w:hAnsiTheme="minorHAnsi" w:cstheme="minorHAnsi"/>
                <w:sz w:val="18"/>
                <w:szCs w:val="18"/>
              </w:rPr>
              <w:t>dulu Helios je nastav</w:t>
            </w:r>
            <w:r>
              <w:rPr>
                <w:rFonts w:asciiTheme="minorHAnsi" w:hAnsiTheme="minorHAnsi" w:cstheme="minorHAnsi"/>
                <w:sz w:val="18"/>
                <w:szCs w:val="18"/>
              </w:rPr>
              <w:t>e</w:t>
            </w:r>
            <w:r w:rsidRPr="00DB3FF1">
              <w:rPr>
                <w:rFonts w:asciiTheme="minorHAnsi" w:hAnsiTheme="minorHAnsi" w:cstheme="minorHAnsi"/>
                <w:sz w:val="18"/>
                <w:szCs w:val="18"/>
              </w:rPr>
              <w:t>no předfiltrování záznamů Číselníku činností jednotlivým Střediskům / Útvarům.</w:t>
            </w:r>
            <w:r w:rsidRPr="00DB3FF1">
              <w:rPr>
                <w:rFonts w:asciiTheme="minorHAnsi" w:hAnsiTheme="minorHAnsi" w:cstheme="minorHAnsi"/>
                <w:sz w:val="18"/>
                <w:szCs w:val="18"/>
              </w:rPr>
              <w:br/>
              <w:t>Je tak zajištěno, že se při přípravě plánu směny konkrétního útvaru nabízejí jen činnosti, které tento útvar vykonává.</w:t>
            </w:r>
          </w:p>
        </w:tc>
      </w:tr>
      <w:tr w:rsidR="00C03AF4" w:rsidRPr="00DB3FF1" w14:paraId="227794A5"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46E1428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E11</w:t>
            </w:r>
          </w:p>
        </w:tc>
        <w:tc>
          <w:tcPr>
            <w:tcW w:w="1127" w:type="dxa"/>
            <w:tcBorders>
              <w:top w:val="nil"/>
              <w:left w:val="nil"/>
              <w:bottom w:val="single" w:sz="4" w:space="0" w:color="auto"/>
              <w:right w:val="single" w:sz="4" w:space="0" w:color="auto"/>
            </w:tcBorders>
            <w:shd w:val="clear" w:color="auto" w:fill="auto"/>
            <w:hideMark/>
          </w:tcPr>
          <w:p w14:paraId="4AC0F77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Plánování prací</w:t>
            </w:r>
          </w:p>
        </w:tc>
        <w:tc>
          <w:tcPr>
            <w:tcW w:w="2268" w:type="dxa"/>
            <w:tcBorders>
              <w:top w:val="nil"/>
              <w:left w:val="nil"/>
              <w:bottom w:val="single" w:sz="4" w:space="0" w:color="auto"/>
              <w:right w:val="single" w:sz="4" w:space="0" w:color="auto"/>
            </w:tcBorders>
            <w:shd w:val="clear" w:color="auto" w:fill="auto"/>
            <w:hideMark/>
          </w:tcPr>
          <w:p w14:paraId="67E2C80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Pro JU, případně pro NS systém umožní připavit plán práce na den a vytisknout formulář pro evidenci práce pracovníků, strojů, materiálu, (mistr nebo předák tak připraví podklad pro provedení prací zadáním do systému).</w:t>
            </w:r>
          </w:p>
        </w:tc>
        <w:tc>
          <w:tcPr>
            <w:tcW w:w="1134" w:type="dxa"/>
            <w:tcBorders>
              <w:top w:val="nil"/>
              <w:left w:val="nil"/>
              <w:bottom w:val="single" w:sz="4" w:space="0" w:color="auto"/>
              <w:right w:val="single" w:sz="4" w:space="0" w:color="auto"/>
            </w:tcBorders>
            <w:shd w:val="clear" w:color="auto" w:fill="auto"/>
            <w:hideMark/>
          </w:tcPr>
          <w:p w14:paraId="0220A40A"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941D1E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D1E3C3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7BF9351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Helios na základě připravených kalendářů umožní mistrovi nebo předákovi připravit denní plán práce střediska a vytisknout formulář pro evidenci práce pracovníků, strojů, materiálu.</w:t>
            </w:r>
          </w:p>
        </w:tc>
      </w:tr>
      <w:tr w:rsidR="00C03AF4" w:rsidRPr="00DB3FF1" w14:paraId="1B57F8DA"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608E423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E12</w:t>
            </w:r>
          </w:p>
        </w:tc>
        <w:tc>
          <w:tcPr>
            <w:tcW w:w="1127" w:type="dxa"/>
            <w:tcBorders>
              <w:top w:val="nil"/>
              <w:left w:val="nil"/>
              <w:bottom w:val="single" w:sz="4" w:space="0" w:color="auto"/>
              <w:right w:val="single" w:sz="4" w:space="0" w:color="auto"/>
            </w:tcBorders>
            <w:shd w:val="clear" w:color="auto" w:fill="auto"/>
            <w:hideMark/>
          </w:tcPr>
          <w:p w14:paraId="4C8E8A9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367006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na seznamu JU nebo NS přehledně sledovat termíny jejich realizace.</w:t>
            </w:r>
          </w:p>
        </w:tc>
        <w:tc>
          <w:tcPr>
            <w:tcW w:w="1134" w:type="dxa"/>
            <w:tcBorders>
              <w:top w:val="nil"/>
              <w:left w:val="nil"/>
              <w:bottom w:val="single" w:sz="4" w:space="0" w:color="auto"/>
              <w:right w:val="single" w:sz="4" w:space="0" w:color="auto"/>
            </w:tcBorders>
            <w:shd w:val="clear" w:color="auto" w:fill="auto"/>
            <w:hideMark/>
          </w:tcPr>
          <w:p w14:paraId="7186F81B"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1E926B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87ED42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49ECE2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pořadači NS a / nebo JU je k dispozici přehledová šablona, která poskytuje informace o termínech realizace NS nebo JU.</w:t>
            </w:r>
          </w:p>
        </w:tc>
      </w:tr>
      <w:tr w:rsidR="00C03AF4" w:rsidRPr="00DB3FF1" w14:paraId="540AD936"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18F283A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E13</w:t>
            </w:r>
          </w:p>
        </w:tc>
        <w:tc>
          <w:tcPr>
            <w:tcW w:w="1127" w:type="dxa"/>
            <w:tcBorders>
              <w:top w:val="nil"/>
              <w:left w:val="nil"/>
              <w:bottom w:val="single" w:sz="4" w:space="0" w:color="auto"/>
              <w:right w:val="single" w:sz="4" w:space="0" w:color="auto"/>
            </w:tcBorders>
            <w:shd w:val="clear" w:color="auto" w:fill="auto"/>
            <w:hideMark/>
          </w:tcPr>
          <w:p w14:paraId="2AB0BFC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9BA450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k JU a NS vystavovat objednávky na subdodavatele.</w:t>
            </w:r>
          </w:p>
        </w:tc>
        <w:tc>
          <w:tcPr>
            <w:tcW w:w="1134" w:type="dxa"/>
            <w:tcBorders>
              <w:top w:val="nil"/>
              <w:left w:val="nil"/>
              <w:bottom w:val="single" w:sz="4" w:space="0" w:color="auto"/>
              <w:right w:val="single" w:sz="4" w:space="0" w:color="auto"/>
            </w:tcBorders>
            <w:shd w:val="clear" w:color="auto" w:fill="auto"/>
            <w:hideMark/>
          </w:tcPr>
          <w:p w14:paraId="59F62009"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237EFF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6FD590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04E39C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Obecné objednávky na subdodavatele se v provozním modulu vystavují s vazbou na NS nebo JU.</w:t>
            </w:r>
          </w:p>
        </w:tc>
      </w:tr>
      <w:tr w:rsidR="00C03AF4" w:rsidRPr="00DB3FF1" w14:paraId="5D13D5B8" w14:textId="77777777" w:rsidTr="000F2E84">
        <w:trPr>
          <w:trHeight w:val="1800"/>
        </w:trPr>
        <w:tc>
          <w:tcPr>
            <w:tcW w:w="428" w:type="dxa"/>
            <w:tcBorders>
              <w:top w:val="nil"/>
              <w:left w:val="single" w:sz="4" w:space="0" w:color="auto"/>
              <w:bottom w:val="single" w:sz="4" w:space="0" w:color="auto"/>
              <w:right w:val="single" w:sz="4" w:space="0" w:color="auto"/>
            </w:tcBorders>
            <w:shd w:val="clear" w:color="auto" w:fill="auto"/>
            <w:hideMark/>
          </w:tcPr>
          <w:p w14:paraId="3F3BD19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E14</w:t>
            </w:r>
          </w:p>
        </w:tc>
        <w:tc>
          <w:tcPr>
            <w:tcW w:w="1127" w:type="dxa"/>
            <w:tcBorders>
              <w:top w:val="nil"/>
              <w:left w:val="nil"/>
              <w:bottom w:val="single" w:sz="4" w:space="0" w:color="auto"/>
              <w:right w:val="single" w:sz="4" w:space="0" w:color="auto"/>
            </w:tcBorders>
            <w:shd w:val="clear" w:color="auto" w:fill="auto"/>
            <w:hideMark/>
          </w:tcPr>
          <w:p w14:paraId="74E5A34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Plánování směn</w:t>
            </w:r>
          </w:p>
        </w:tc>
        <w:tc>
          <w:tcPr>
            <w:tcW w:w="2268" w:type="dxa"/>
            <w:tcBorders>
              <w:top w:val="nil"/>
              <w:left w:val="nil"/>
              <w:bottom w:val="single" w:sz="4" w:space="0" w:color="auto"/>
              <w:right w:val="single" w:sz="4" w:space="0" w:color="auto"/>
            </w:tcBorders>
            <w:shd w:val="clear" w:color="auto" w:fill="auto"/>
            <w:hideMark/>
          </w:tcPr>
          <w:p w14:paraId="28B6489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provádět plánování směn s využitím kalendářů pracovní doby pracovníků. Systém bude nabízet pracovníky daného Útvaru, na kterém se plán směny připravuje.</w:t>
            </w:r>
          </w:p>
        </w:tc>
        <w:tc>
          <w:tcPr>
            <w:tcW w:w="1134" w:type="dxa"/>
            <w:tcBorders>
              <w:top w:val="nil"/>
              <w:left w:val="nil"/>
              <w:bottom w:val="single" w:sz="4" w:space="0" w:color="auto"/>
              <w:right w:val="single" w:sz="4" w:space="0" w:color="auto"/>
            </w:tcBorders>
            <w:shd w:val="clear" w:color="auto" w:fill="auto"/>
            <w:hideMark/>
          </w:tcPr>
          <w:p w14:paraId="740C9D40"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2F9A7D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EA9E72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3715DED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Helios jsou standardně k dispozici kalendáře pracovní doby, které lze nastavit buď jednomu konkrétnímu pracovníkovi, nebo k celé množině pracovníků.</w:t>
            </w:r>
            <w:r w:rsidRPr="00DB3FF1">
              <w:rPr>
                <w:rFonts w:asciiTheme="minorHAnsi" w:hAnsiTheme="minorHAnsi" w:cstheme="minorHAnsi"/>
                <w:sz w:val="18"/>
                <w:szCs w:val="18"/>
              </w:rPr>
              <w:br/>
              <w:t>Provozní modul tak na základě vazby pracovníka k útvaru a podle nastavených kalendářů nabízí pracovníky, které lze zařadit do konkrétního plánu směny.</w:t>
            </w:r>
          </w:p>
        </w:tc>
      </w:tr>
      <w:tr w:rsidR="00C03AF4" w:rsidRPr="00DB3FF1" w14:paraId="7B2E4489"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5CFAE35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E15</w:t>
            </w:r>
          </w:p>
        </w:tc>
        <w:tc>
          <w:tcPr>
            <w:tcW w:w="1127" w:type="dxa"/>
            <w:tcBorders>
              <w:top w:val="nil"/>
              <w:left w:val="nil"/>
              <w:bottom w:val="single" w:sz="4" w:space="0" w:color="auto"/>
              <w:right w:val="single" w:sz="4" w:space="0" w:color="auto"/>
            </w:tcBorders>
            <w:shd w:val="clear" w:color="auto" w:fill="auto"/>
            <w:hideMark/>
          </w:tcPr>
          <w:p w14:paraId="1FF03EE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EA8C8A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vytvořit plán směny nebo JU na jednom místě, vyberou se pracovníci, stroje a zadají se činnosti.</w:t>
            </w:r>
          </w:p>
        </w:tc>
        <w:tc>
          <w:tcPr>
            <w:tcW w:w="1134" w:type="dxa"/>
            <w:tcBorders>
              <w:top w:val="nil"/>
              <w:left w:val="nil"/>
              <w:bottom w:val="single" w:sz="4" w:space="0" w:color="auto"/>
              <w:right w:val="single" w:sz="4" w:space="0" w:color="auto"/>
            </w:tcBorders>
            <w:shd w:val="clear" w:color="auto" w:fill="auto"/>
            <w:hideMark/>
          </w:tcPr>
          <w:p w14:paraId="0C27829F"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2CAC53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7FC6BF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9C73AF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Plány směn nebo plán</w:t>
            </w:r>
            <w:r>
              <w:rPr>
                <w:rFonts w:asciiTheme="minorHAnsi" w:hAnsiTheme="minorHAnsi" w:cstheme="minorHAnsi"/>
                <w:sz w:val="18"/>
                <w:szCs w:val="18"/>
              </w:rPr>
              <w:t xml:space="preserve"> </w:t>
            </w:r>
            <w:r w:rsidRPr="00DB3FF1">
              <w:rPr>
                <w:rFonts w:asciiTheme="minorHAnsi" w:hAnsiTheme="minorHAnsi" w:cstheme="minorHAnsi"/>
                <w:sz w:val="18"/>
                <w:szCs w:val="18"/>
              </w:rPr>
              <w:t>prací na JU se vytvářejí v Provozním modulu Helios. Při sestavování plánu práce Helios primárně nabízí k výběru pracovníky útvaru podle kalendářů, dopravní prostředky daného útvaru a činnosti, které daný útvar realizuje.</w:t>
            </w:r>
          </w:p>
        </w:tc>
      </w:tr>
      <w:tr w:rsidR="00C03AF4" w:rsidRPr="00DB3FF1" w14:paraId="0B558DFC"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3908330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E16</w:t>
            </w:r>
          </w:p>
        </w:tc>
        <w:tc>
          <w:tcPr>
            <w:tcW w:w="1127" w:type="dxa"/>
            <w:tcBorders>
              <w:top w:val="nil"/>
              <w:left w:val="nil"/>
              <w:bottom w:val="single" w:sz="4" w:space="0" w:color="auto"/>
              <w:right w:val="single" w:sz="4" w:space="0" w:color="auto"/>
            </w:tcBorders>
            <w:shd w:val="clear" w:color="auto" w:fill="auto"/>
            <w:hideMark/>
          </w:tcPr>
          <w:p w14:paraId="0A9B808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A9E3F6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Zaměstnance bude možné dočasně přidělit na jiné Středisko / Útvar, než na kterém je pracovník evidován. Přesun je termínově vymezen. Přesunutý pracovník se pak nabízí na středisku, na které byl dočasně přesunut.</w:t>
            </w:r>
          </w:p>
        </w:tc>
        <w:tc>
          <w:tcPr>
            <w:tcW w:w="1134" w:type="dxa"/>
            <w:tcBorders>
              <w:top w:val="nil"/>
              <w:left w:val="nil"/>
              <w:bottom w:val="single" w:sz="4" w:space="0" w:color="auto"/>
              <w:right w:val="single" w:sz="4" w:space="0" w:color="auto"/>
            </w:tcBorders>
            <w:shd w:val="clear" w:color="auto" w:fill="auto"/>
            <w:hideMark/>
          </w:tcPr>
          <w:p w14:paraId="73F2A75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F0A571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ABB3CA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C12E12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xml:space="preserve">V Provozním modulu </w:t>
            </w:r>
            <w:r>
              <w:rPr>
                <w:rFonts w:asciiTheme="minorHAnsi" w:hAnsiTheme="minorHAnsi" w:cstheme="minorHAnsi"/>
                <w:sz w:val="18"/>
                <w:szCs w:val="18"/>
              </w:rPr>
              <w:t>H</w:t>
            </w:r>
            <w:r w:rsidRPr="00DB3FF1">
              <w:rPr>
                <w:rFonts w:asciiTheme="minorHAnsi" w:hAnsiTheme="minorHAnsi" w:cstheme="minorHAnsi"/>
                <w:sz w:val="18"/>
                <w:szCs w:val="18"/>
              </w:rPr>
              <w:t>elios je k dispozici funkce, která umožní dočasně převést pracovníka nebo několik pracovníků na jiné středisko na definovanou dobu. Takto přenesení pracovníci se pak nabízejí na novém středisku do doby vyp</w:t>
            </w:r>
            <w:r>
              <w:rPr>
                <w:rFonts w:asciiTheme="minorHAnsi" w:hAnsiTheme="minorHAnsi" w:cstheme="minorHAnsi"/>
                <w:sz w:val="18"/>
                <w:szCs w:val="18"/>
              </w:rPr>
              <w:t>r</w:t>
            </w:r>
            <w:r w:rsidRPr="00DB3FF1">
              <w:rPr>
                <w:rFonts w:asciiTheme="minorHAnsi" w:hAnsiTheme="minorHAnsi" w:cstheme="minorHAnsi"/>
                <w:sz w:val="18"/>
                <w:szCs w:val="18"/>
              </w:rPr>
              <w:t>šení doby přesunu.</w:t>
            </w:r>
          </w:p>
        </w:tc>
      </w:tr>
      <w:tr w:rsidR="00C03AF4" w:rsidRPr="00DB3FF1" w14:paraId="6E5525AD"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6C34C21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E17</w:t>
            </w:r>
          </w:p>
        </w:tc>
        <w:tc>
          <w:tcPr>
            <w:tcW w:w="1127" w:type="dxa"/>
            <w:tcBorders>
              <w:top w:val="nil"/>
              <w:left w:val="nil"/>
              <w:bottom w:val="single" w:sz="4" w:space="0" w:color="auto"/>
              <w:right w:val="single" w:sz="4" w:space="0" w:color="auto"/>
            </w:tcBorders>
            <w:shd w:val="clear" w:color="auto" w:fill="auto"/>
            <w:hideMark/>
          </w:tcPr>
          <w:p w14:paraId="3F0668A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3EADF4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evidovat a přiřazovat také brigádníky.</w:t>
            </w:r>
          </w:p>
        </w:tc>
        <w:tc>
          <w:tcPr>
            <w:tcW w:w="1134" w:type="dxa"/>
            <w:tcBorders>
              <w:top w:val="nil"/>
              <w:left w:val="nil"/>
              <w:bottom w:val="single" w:sz="4" w:space="0" w:color="auto"/>
              <w:right w:val="single" w:sz="4" w:space="0" w:color="auto"/>
            </w:tcBorders>
            <w:shd w:val="clear" w:color="auto" w:fill="auto"/>
            <w:hideMark/>
          </w:tcPr>
          <w:p w14:paraId="1485BC7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99B979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1125EF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8D1A93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Helios je k dispozici funkčnost pro evidenci brigádníků a pro jejich přiřazování do plánů směn a evidence prací.</w:t>
            </w:r>
          </w:p>
        </w:tc>
      </w:tr>
      <w:tr w:rsidR="00C03AF4" w:rsidRPr="00DB3FF1" w14:paraId="132E3DED"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53934C5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E18</w:t>
            </w:r>
          </w:p>
        </w:tc>
        <w:tc>
          <w:tcPr>
            <w:tcW w:w="1127" w:type="dxa"/>
            <w:tcBorders>
              <w:top w:val="nil"/>
              <w:left w:val="nil"/>
              <w:bottom w:val="single" w:sz="4" w:space="0" w:color="auto"/>
              <w:right w:val="single" w:sz="4" w:space="0" w:color="auto"/>
            </w:tcBorders>
            <w:shd w:val="clear" w:color="auto" w:fill="auto"/>
            <w:hideMark/>
          </w:tcPr>
          <w:p w14:paraId="54E588F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4C53FC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získat přehled o vytížení jednotlivých pracovníků na základě jejich přiřazení v plánu směn.</w:t>
            </w:r>
          </w:p>
        </w:tc>
        <w:tc>
          <w:tcPr>
            <w:tcW w:w="1134" w:type="dxa"/>
            <w:tcBorders>
              <w:top w:val="nil"/>
              <w:left w:val="nil"/>
              <w:bottom w:val="single" w:sz="4" w:space="0" w:color="auto"/>
              <w:right w:val="single" w:sz="4" w:space="0" w:color="auto"/>
            </w:tcBorders>
            <w:shd w:val="clear" w:color="auto" w:fill="auto"/>
            <w:hideMark/>
          </w:tcPr>
          <w:p w14:paraId="1E2BB3E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DA1176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780CBC7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BA7E5F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Nad evidencí NS a JU je k dispozici vyhodnocovací nástroj pro sledování vytížení jednotlivých zdrojů (pracovníků, mechanizace, …).</w:t>
            </w:r>
          </w:p>
        </w:tc>
      </w:tr>
      <w:tr w:rsidR="00C03AF4" w:rsidRPr="00DB3FF1" w14:paraId="75131B44" w14:textId="77777777" w:rsidTr="000F2E84">
        <w:trPr>
          <w:trHeight w:val="3600"/>
        </w:trPr>
        <w:tc>
          <w:tcPr>
            <w:tcW w:w="428" w:type="dxa"/>
            <w:tcBorders>
              <w:top w:val="nil"/>
              <w:left w:val="single" w:sz="4" w:space="0" w:color="auto"/>
              <w:bottom w:val="single" w:sz="4" w:space="0" w:color="auto"/>
              <w:right w:val="single" w:sz="4" w:space="0" w:color="auto"/>
            </w:tcBorders>
            <w:shd w:val="clear" w:color="auto" w:fill="auto"/>
            <w:hideMark/>
          </w:tcPr>
          <w:p w14:paraId="700A76F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E19</w:t>
            </w:r>
          </w:p>
        </w:tc>
        <w:tc>
          <w:tcPr>
            <w:tcW w:w="1127" w:type="dxa"/>
            <w:tcBorders>
              <w:top w:val="nil"/>
              <w:left w:val="nil"/>
              <w:bottom w:val="single" w:sz="4" w:space="0" w:color="auto"/>
              <w:right w:val="single" w:sz="4" w:space="0" w:color="auto"/>
            </w:tcBorders>
            <w:shd w:val="clear" w:color="auto" w:fill="auto"/>
            <w:hideMark/>
          </w:tcPr>
          <w:p w14:paraId="5C83326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Evidence prací</w:t>
            </w:r>
          </w:p>
        </w:tc>
        <w:tc>
          <w:tcPr>
            <w:tcW w:w="2268" w:type="dxa"/>
            <w:tcBorders>
              <w:top w:val="nil"/>
              <w:left w:val="nil"/>
              <w:bottom w:val="single" w:sz="4" w:space="0" w:color="auto"/>
              <w:right w:val="single" w:sz="4" w:space="0" w:color="auto"/>
            </w:tcBorders>
            <w:shd w:val="clear" w:color="auto" w:fill="auto"/>
            <w:hideMark/>
          </w:tcPr>
          <w:p w14:paraId="303194A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Veškeré provádění práce, výkony strojů a pracovníků musí být přiřazeny k vybranému JU nebo přímo k NS.</w:t>
            </w:r>
            <w:r w:rsidRPr="00DB3FF1">
              <w:rPr>
                <w:rFonts w:asciiTheme="minorHAnsi" w:hAnsiTheme="minorHAnsi" w:cstheme="minorHAnsi"/>
                <w:sz w:val="18"/>
                <w:szCs w:val="18"/>
              </w:rPr>
              <w:br/>
              <w:t>Evidence NS a JU musí obsahovat také vazby na skladové doklady, na prvotní doklady z účetnictví a na účetní Deník, a musí tak umožňovat provádět rozbory a analýzy na základě kombinace provozních a účetních dat podle Středisek, Strojů, NS a JU.</w:t>
            </w:r>
          </w:p>
        </w:tc>
        <w:tc>
          <w:tcPr>
            <w:tcW w:w="1134" w:type="dxa"/>
            <w:tcBorders>
              <w:top w:val="nil"/>
              <w:left w:val="nil"/>
              <w:bottom w:val="single" w:sz="4" w:space="0" w:color="auto"/>
              <w:right w:val="single" w:sz="4" w:space="0" w:color="auto"/>
            </w:tcBorders>
            <w:shd w:val="clear" w:color="auto" w:fill="auto"/>
            <w:hideMark/>
          </w:tcPr>
          <w:p w14:paraId="792182F7"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5AA40E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F89C66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238D0C0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Výkony pracovníků a strojů se v Provozním modulu zadávají výhradně nad NS nebo JU, tyto dimenze nelze v provozní evidenci vynechat.</w:t>
            </w:r>
            <w:r w:rsidRPr="00DB3FF1">
              <w:rPr>
                <w:rFonts w:asciiTheme="minorHAnsi" w:hAnsiTheme="minorHAnsi" w:cstheme="minorHAnsi"/>
                <w:sz w:val="18"/>
                <w:szCs w:val="18"/>
              </w:rPr>
              <w:br/>
              <w:t xml:space="preserve">Skladové doklady se vystavují pro NS, JU, Dopravní prostředek, Pracovníka nebo na Středisko. Povinnost zadat provozní a účetní dimenze se nastaví v Integritních omezeních účtů a bez předepsaných dimenzí nelze skladový doklad </w:t>
            </w:r>
            <w:r>
              <w:rPr>
                <w:rFonts w:asciiTheme="minorHAnsi" w:hAnsiTheme="minorHAnsi" w:cstheme="minorHAnsi"/>
                <w:sz w:val="18"/>
                <w:szCs w:val="18"/>
              </w:rPr>
              <w:t>z</w:t>
            </w:r>
            <w:r w:rsidRPr="00DB3FF1">
              <w:rPr>
                <w:rFonts w:asciiTheme="minorHAnsi" w:hAnsiTheme="minorHAnsi" w:cstheme="minorHAnsi"/>
                <w:sz w:val="18"/>
                <w:szCs w:val="18"/>
              </w:rPr>
              <w:t>aúčtovat. Při zaúčtování se dimenze p</w:t>
            </w:r>
            <w:r>
              <w:rPr>
                <w:rFonts w:asciiTheme="minorHAnsi" w:hAnsiTheme="minorHAnsi" w:cstheme="minorHAnsi"/>
                <w:sz w:val="18"/>
                <w:szCs w:val="18"/>
              </w:rPr>
              <w:t>ř</w:t>
            </w:r>
            <w:r w:rsidRPr="00DB3FF1">
              <w:rPr>
                <w:rFonts w:asciiTheme="minorHAnsi" w:hAnsiTheme="minorHAnsi" w:cstheme="minorHAnsi"/>
                <w:sz w:val="18"/>
                <w:szCs w:val="18"/>
              </w:rPr>
              <w:t>enesou</w:t>
            </w:r>
            <w:r>
              <w:rPr>
                <w:rFonts w:asciiTheme="minorHAnsi" w:hAnsiTheme="minorHAnsi" w:cstheme="minorHAnsi"/>
                <w:sz w:val="18"/>
                <w:szCs w:val="18"/>
              </w:rPr>
              <w:t xml:space="preserve"> </w:t>
            </w:r>
            <w:r w:rsidRPr="00DB3FF1">
              <w:rPr>
                <w:rFonts w:asciiTheme="minorHAnsi" w:hAnsiTheme="minorHAnsi" w:cstheme="minorHAnsi"/>
                <w:sz w:val="18"/>
                <w:szCs w:val="18"/>
              </w:rPr>
              <w:t>do Účetního deníku.</w:t>
            </w:r>
            <w:r w:rsidRPr="00DB3FF1">
              <w:rPr>
                <w:rFonts w:asciiTheme="minorHAnsi" w:hAnsiTheme="minorHAnsi" w:cstheme="minorHAnsi"/>
                <w:sz w:val="18"/>
                <w:szCs w:val="18"/>
              </w:rPr>
              <w:br/>
              <w:t>Na základě zadaných dimenzí lez následně provádět analýzy nad účetním deníkem nebo v kombinaci s provozními evidencemi.</w:t>
            </w:r>
          </w:p>
        </w:tc>
      </w:tr>
      <w:tr w:rsidR="00C03AF4" w:rsidRPr="00DB3FF1" w14:paraId="5C35E47F" w14:textId="77777777" w:rsidTr="000F2E84">
        <w:trPr>
          <w:trHeight w:val="426"/>
        </w:trPr>
        <w:tc>
          <w:tcPr>
            <w:tcW w:w="428" w:type="dxa"/>
            <w:tcBorders>
              <w:top w:val="nil"/>
              <w:left w:val="single" w:sz="4" w:space="0" w:color="auto"/>
              <w:bottom w:val="single" w:sz="4" w:space="0" w:color="auto"/>
              <w:right w:val="single" w:sz="4" w:space="0" w:color="auto"/>
            </w:tcBorders>
            <w:shd w:val="clear" w:color="auto" w:fill="auto"/>
            <w:hideMark/>
          </w:tcPr>
          <w:p w14:paraId="7909FEC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E20</w:t>
            </w:r>
          </w:p>
        </w:tc>
        <w:tc>
          <w:tcPr>
            <w:tcW w:w="1127" w:type="dxa"/>
            <w:tcBorders>
              <w:top w:val="nil"/>
              <w:left w:val="nil"/>
              <w:bottom w:val="single" w:sz="4" w:space="0" w:color="auto"/>
              <w:right w:val="single" w:sz="4" w:space="0" w:color="auto"/>
            </w:tcBorders>
            <w:shd w:val="clear" w:color="auto" w:fill="auto"/>
            <w:hideMark/>
          </w:tcPr>
          <w:p w14:paraId="0F801AE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40948DB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Ke JU bude v systému možné přiřadit zejména:</w:t>
            </w:r>
            <w:r w:rsidRPr="00DB3FF1">
              <w:rPr>
                <w:rFonts w:asciiTheme="minorHAnsi" w:hAnsiTheme="minorHAnsi" w:cstheme="minorHAnsi"/>
                <w:sz w:val="18"/>
                <w:szCs w:val="18"/>
              </w:rPr>
              <w:br/>
              <w:t>• Práce / činnosti podle číselníku prací = sleduje se spotřebovaný čas.</w:t>
            </w:r>
            <w:r w:rsidRPr="00DB3FF1">
              <w:rPr>
                <w:rFonts w:asciiTheme="minorHAnsi" w:hAnsiTheme="minorHAnsi" w:cstheme="minorHAnsi"/>
                <w:sz w:val="18"/>
                <w:szCs w:val="18"/>
              </w:rPr>
              <w:br/>
              <w:t>• Pracovníky = sleduje se spotřebovaný čas.</w:t>
            </w:r>
            <w:r w:rsidRPr="00DB3FF1">
              <w:rPr>
                <w:rFonts w:asciiTheme="minorHAnsi" w:hAnsiTheme="minorHAnsi" w:cstheme="minorHAnsi"/>
                <w:sz w:val="18"/>
                <w:szCs w:val="18"/>
              </w:rPr>
              <w:br/>
              <w:t>• Stroje a mechanismy = sledují se ujeté km, případně výkon v dalších jednotkách (hodiny, m</w:t>
            </w:r>
            <w:r w:rsidRPr="00DB3FF1">
              <w:rPr>
                <w:rFonts w:asciiTheme="minorHAnsi" w:hAnsiTheme="minorHAnsi" w:cstheme="minorHAnsi"/>
                <w:sz w:val="18"/>
                <w:szCs w:val="18"/>
                <w:vertAlign w:val="superscript"/>
              </w:rPr>
              <w:t>2</w:t>
            </w:r>
            <w:r w:rsidRPr="00DB3FF1">
              <w:rPr>
                <w:rFonts w:asciiTheme="minorHAnsi" w:hAnsiTheme="minorHAnsi" w:cstheme="minorHAnsi"/>
                <w:sz w:val="18"/>
                <w:szCs w:val="18"/>
              </w:rPr>
              <w:t>, tuny, ...). Pro mechanismy bez pohonu se sledují odpracované hodiny.</w:t>
            </w:r>
            <w:r w:rsidRPr="00DB3FF1">
              <w:rPr>
                <w:rFonts w:asciiTheme="minorHAnsi" w:hAnsiTheme="minorHAnsi" w:cstheme="minorHAnsi"/>
                <w:sz w:val="18"/>
                <w:szCs w:val="18"/>
              </w:rPr>
              <w:br/>
              <w:t>• Materiál = sleduje se spotřebované množství, jak ze skladu, tak z externích dodávek.</w:t>
            </w:r>
            <w:r w:rsidRPr="00DB3FF1">
              <w:rPr>
                <w:rFonts w:asciiTheme="minorHAnsi" w:hAnsiTheme="minorHAnsi" w:cstheme="minorHAnsi"/>
                <w:sz w:val="18"/>
                <w:szCs w:val="18"/>
              </w:rPr>
              <w:br/>
              <w:t>• Odpady = sleduje se druh a množství odpadu.</w:t>
            </w:r>
            <w:r w:rsidRPr="00DB3FF1">
              <w:rPr>
                <w:rFonts w:asciiTheme="minorHAnsi" w:hAnsiTheme="minorHAnsi" w:cstheme="minorHAnsi"/>
                <w:sz w:val="18"/>
                <w:szCs w:val="18"/>
              </w:rPr>
              <w:br/>
              <w:t>• Externí služby = sleduje se spotřebované množství.</w:t>
            </w:r>
            <w:r w:rsidRPr="00DB3FF1">
              <w:rPr>
                <w:rFonts w:asciiTheme="minorHAnsi" w:hAnsiTheme="minorHAnsi" w:cstheme="minorHAnsi"/>
                <w:sz w:val="18"/>
                <w:szCs w:val="18"/>
              </w:rPr>
              <w:br/>
              <w:t>• Subdodávky = sleduje se ve finanční hodnotě.</w:t>
            </w:r>
          </w:p>
        </w:tc>
        <w:tc>
          <w:tcPr>
            <w:tcW w:w="1134" w:type="dxa"/>
            <w:tcBorders>
              <w:top w:val="nil"/>
              <w:left w:val="nil"/>
              <w:bottom w:val="single" w:sz="4" w:space="0" w:color="auto"/>
              <w:right w:val="single" w:sz="4" w:space="0" w:color="auto"/>
            </w:tcBorders>
            <w:shd w:val="clear" w:color="auto" w:fill="auto"/>
            <w:hideMark/>
          </w:tcPr>
          <w:p w14:paraId="1E0EA7F7"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34E5E7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08AA36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1AB1AF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 NS nebo JU jdou standardně zadat 2 základní množiny dat (plánované údaje a realita).</w:t>
            </w:r>
            <w:r w:rsidRPr="00DB3FF1">
              <w:rPr>
                <w:rFonts w:asciiTheme="minorHAnsi" w:hAnsiTheme="minorHAnsi" w:cstheme="minorHAnsi"/>
                <w:sz w:val="18"/>
                <w:szCs w:val="18"/>
              </w:rPr>
              <w:br/>
              <w:t>Jedná se především o údaje týkající se datumu a použitých zdrojů na NS nebo JU (práce / činnosti a spotřebovaný čas, pracovníci a jimi spotřebovaný čas, pro dopravní prostředky, stroje a mechanismy se sledují ujeté km nebo čas pro mechanismy bez tachometru a výkony v dalších objemových jednotkách, dále množství materiálu, odpadů, a externí dodávky nebo subdodávky).</w:t>
            </w:r>
            <w:r w:rsidRPr="00DB3FF1">
              <w:rPr>
                <w:rFonts w:asciiTheme="minorHAnsi" w:hAnsiTheme="minorHAnsi" w:cstheme="minorHAnsi"/>
                <w:sz w:val="18"/>
                <w:szCs w:val="18"/>
              </w:rPr>
              <w:br/>
              <w:t>Pro použitý zdroj lze (dle jeho charakteru) nadefinovat libovolnou výkonovou jednotku (tuna, km, m2, m3, litr, ...).</w:t>
            </w:r>
          </w:p>
        </w:tc>
      </w:tr>
      <w:tr w:rsidR="00C03AF4" w:rsidRPr="00DB3FF1" w14:paraId="1F2A1985"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1A8BBE8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E21</w:t>
            </w:r>
          </w:p>
        </w:tc>
        <w:tc>
          <w:tcPr>
            <w:tcW w:w="1127" w:type="dxa"/>
            <w:tcBorders>
              <w:top w:val="nil"/>
              <w:left w:val="nil"/>
              <w:bottom w:val="single" w:sz="4" w:space="0" w:color="auto"/>
              <w:right w:val="single" w:sz="4" w:space="0" w:color="auto"/>
            </w:tcBorders>
            <w:shd w:val="clear" w:color="auto" w:fill="auto"/>
            <w:hideMark/>
          </w:tcPr>
          <w:p w14:paraId="7E18BAB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5C127B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xml:space="preserve">Systém umožní zadat výkony pracovníků a strojů na jednom místě </w:t>
            </w:r>
          </w:p>
        </w:tc>
        <w:tc>
          <w:tcPr>
            <w:tcW w:w="1134" w:type="dxa"/>
            <w:tcBorders>
              <w:top w:val="nil"/>
              <w:left w:val="nil"/>
              <w:bottom w:val="single" w:sz="4" w:space="0" w:color="auto"/>
              <w:right w:val="single" w:sz="4" w:space="0" w:color="auto"/>
            </w:tcBorders>
            <w:shd w:val="clear" w:color="auto" w:fill="auto"/>
            <w:hideMark/>
          </w:tcPr>
          <w:p w14:paraId="2E1CD0AD"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27E3DB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0133AA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5CBECF7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Výkony pracovníků a strojů se zadávají v Provozním modulu Helios TS, výhradně nad NS nebo JU.</w:t>
            </w:r>
          </w:p>
        </w:tc>
      </w:tr>
      <w:tr w:rsidR="00C03AF4" w:rsidRPr="00DB3FF1" w14:paraId="056F9264"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2D21BE8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E22</w:t>
            </w:r>
          </w:p>
        </w:tc>
        <w:tc>
          <w:tcPr>
            <w:tcW w:w="1127" w:type="dxa"/>
            <w:tcBorders>
              <w:top w:val="nil"/>
              <w:left w:val="nil"/>
              <w:bottom w:val="single" w:sz="4" w:space="0" w:color="auto"/>
              <w:right w:val="single" w:sz="4" w:space="0" w:color="auto"/>
            </w:tcBorders>
            <w:shd w:val="clear" w:color="auto" w:fill="auto"/>
            <w:hideMark/>
          </w:tcPr>
          <w:p w14:paraId="02966E1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600A8BF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Za stroje a mechanismy, pro které se nesledují stazky, se odpracované výkony sledují na výkaze práce. Pro ostatní dopravní prostředky a stroje se použijí stazky.</w:t>
            </w:r>
          </w:p>
        </w:tc>
        <w:tc>
          <w:tcPr>
            <w:tcW w:w="1134" w:type="dxa"/>
            <w:tcBorders>
              <w:top w:val="nil"/>
              <w:left w:val="nil"/>
              <w:bottom w:val="single" w:sz="4" w:space="0" w:color="auto"/>
              <w:right w:val="single" w:sz="4" w:space="0" w:color="auto"/>
            </w:tcBorders>
            <w:shd w:val="clear" w:color="auto" w:fill="auto"/>
            <w:hideMark/>
          </w:tcPr>
          <w:p w14:paraId="0FA9AA7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AFCF56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560A69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77E41E6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Výkony strojů a mechanismů, pro které se nesledují Stazky se v Provozním modulu evidují přímo na Výkaze práce. Pro ostatní stroje a mechanismy se používají Stazky.</w:t>
            </w:r>
          </w:p>
        </w:tc>
      </w:tr>
      <w:tr w:rsidR="00C03AF4" w:rsidRPr="00DB3FF1" w14:paraId="13001D4F"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244FBDB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E23</w:t>
            </w:r>
          </w:p>
        </w:tc>
        <w:tc>
          <w:tcPr>
            <w:tcW w:w="1127" w:type="dxa"/>
            <w:tcBorders>
              <w:top w:val="nil"/>
              <w:left w:val="nil"/>
              <w:bottom w:val="single" w:sz="4" w:space="0" w:color="auto"/>
              <w:right w:val="single" w:sz="4" w:space="0" w:color="auto"/>
            </w:tcBorders>
            <w:shd w:val="clear" w:color="auto" w:fill="auto"/>
            <w:hideMark/>
          </w:tcPr>
          <w:p w14:paraId="222D5EC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419A07E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Odpracované hodiny se zadávají ručně, systém umožní zadání údajů o množství odvedené práce.</w:t>
            </w:r>
          </w:p>
        </w:tc>
        <w:tc>
          <w:tcPr>
            <w:tcW w:w="1134" w:type="dxa"/>
            <w:tcBorders>
              <w:top w:val="nil"/>
              <w:left w:val="nil"/>
              <w:bottom w:val="single" w:sz="4" w:space="0" w:color="auto"/>
              <w:right w:val="single" w:sz="4" w:space="0" w:color="auto"/>
            </w:tcBorders>
            <w:shd w:val="clear" w:color="auto" w:fill="auto"/>
            <w:hideMark/>
          </w:tcPr>
          <w:p w14:paraId="4D2F172B"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298A11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467D7D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2ED0956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Odpracované hodiny pracovníky se zadávají na Výkaze práce, Helios umožní také zrychlené zadání odpracovaných dob. Současně s hodinami lze v</w:t>
            </w:r>
            <w:r>
              <w:rPr>
                <w:rFonts w:asciiTheme="minorHAnsi" w:hAnsiTheme="minorHAnsi" w:cstheme="minorHAnsi"/>
                <w:sz w:val="18"/>
                <w:szCs w:val="18"/>
              </w:rPr>
              <w:t>e</w:t>
            </w:r>
            <w:r w:rsidRPr="00DB3FF1">
              <w:rPr>
                <w:rFonts w:asciiTheme="minorHAnsi" w:hAnsiTheme="minorHAnsi" w:cstheme="minorHAnsi"/>
                <w:sz w:val="18"/>
                <w:szCs w:val="18"/>
              </w:rPr>
              <w:t xml:space="preserve"> Výkaze práce zadat množství odvedené práce.</w:t>
            </w:r>
          </w:p>
        </w:tc>
      </w:tr>
      <w:tr w:rsidR="00C03AF4" w:rsidRPr="00DB3FF1" w14:paraId="6D39658F"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06711C7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E24</w:t>
            </w:r>
          </w:p>
        </w:tc>
        <w:tc>
          <w:tcPr>
            <w:tcW w:w="1127" w:type="dxa"/>
            <w:tcBorders>
              <w:top w:val="nil"/>
              <w:left w:val="nil"/>
              <w:bottom w:val="single" w:sz="4" w:space="0" w:color="auto"/>
              <w:right w:val="single" w:sz="4" w:space="0" w:color="auto"/>
            </w:tcBorders>
            <w:shd w:val="clear" w:color="auto" w:fill="auto"/>
            <w:hideMark/>
          </w:tcPr>
          <w:p w14:paraId="3C5DE6F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9731EA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sledovat také „pohotovost“ (např. v zimním období pro řidiče) – na základě příslušných položek z Číselníku činností.</w:t>
            </w:r>
          </w:p>
        </w:tc>
        <w:tc>
          <w:tcPr>
            <w:tcW w:w="1134" w:type="dxa"/>
            <w:tcBorders>
              <w:top w:val="nil"/>
              <w:left w:val="nil"/>
              <w:bottom w:val="single" w:sz="4" w:space="0" w:color="auto"/>
              <w:right w:val="single" w:sz="4" w:space="0" w:color="auto"/>
            </w:tcBorders>
            <w:shd w:val="clear" w:color="auto" w:fill="auto"/>
            <w:hideMark/>
          </w:tcPr>
          <w:p w14:paraId="506B9C9F"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B64633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53E2A1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CE08AC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Na Výkaze práce pro zimní údržbu komunikací lze evidovat také hotovost prostřednictvím k tomu vyčleněných položek Číselníku činností.</w:t>
            </w:r>
          </w:p>
        </w:tc>
      </w:tr>
      <w:tr w:rsidR="00C03AF4" w:rsidRPr="00DB3FF1" w14:paraId="24FA1461"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4DFA1AA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E25</w:t>
            </w:r>
          </w:p>
        </w:tc>
        <w:tc>
          <w:tcPr>
            <w:tcW w:w="1127" w:type="dxa"/>
            <w:tcBorders>
              <w:top w:val="nil"/>
              <w:left w:val="nil"/>
              <w:bottom w:val="single" w:sz="4" w:space="0" w:color="auto"/>
              <w:right w:val="single" w:sz="4" w:space="0" w:color="auto"/>
            </w:tcBorders>
            <w:shd w:val="clear" w:color="auto" w:fill="auto"/>
            <w:hideMark/>
          </w:tcPr>
          <w:p w14:paraId="0EDD74A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60D1DBE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Výkaz práce bude možné uzamknout a od toho okamžiku nelze evidenci prací měnit. Funkce zpětného odemčení bude vázána na práva.</w:t>
            </w:r>
          </w:p>
        </w:tc>
        <w:tc>
          <w:tcPr>
            <w:tcW w:w="1134" w:type="dxa"/>
            <w:tcBorders>
              <w:top w:val="nil"/>
              <w:left w:val="nil"/>
              <w:bottom w:val="single" w:sz="4" w:space="0" w:color="auto"/>
              <w:right w:val="single" w:sz="4" w:space="0" w:color="auto"/>
            </w:tcBorders>
            <w:shd w:val="clear" w:color="auto" w:fill="auto"/>
            <w:hideMark/>
          </w:tcPr>
          <w:p w14:paraId="6DEEED16"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20A449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EF6991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355BFCB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Výkaz práce lze po doplnění všech evidencí uzamknout a od toho okamžiku nelze provozní evid</w:t>
            </w:r>
            <w:r>
              <w:rPr>
                <w:rFonts w:asciiTheme="minorHAnsi" w:hAnsiTheme="minorHAnsi" w:cstheme="minorHAnsi"/>
                <w:sz w:val="18"/>
                <w:szCs w:val="18"/>
              </w:rPr>
              <w:t>e</w:t>
            </w:r>
            <w:r w:rsidRPr="00DB3FF1">
              <w:rPr>
                <w:rFonts w:asciiTheme="minorHAnsi" w:hAnsiTheme="minorHAnsi" w:cstheme="minorHAnsi"/>
                <w:sz w:val="18"/>
                <w:szCs w:val="18"/>
              </w:rPr>
              <w:t>nci na daném výkaze změnit. Je k dispozici funkce pro zpětné odemčení výkazu k provedení úprav evidence. Na tyto funkce stejně, jako na další funkce Helios, lze nastavit uživatelská práva.</w:t>
            </w:r>
          </w:p>
        </w:tc>
      </w:tr>
      <w:tr w:rsidR="00C03AF4" w:rsidRPr="00DB3FF1" w14:paraId="1DD8B080"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28EC8D4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E26</w:t>
            </w:r>
          </w:p>
        </w:tc>
        <w:tc>
          <w:tcPr>
            <w:tcW w:w="1127" w:type="dxa"/>
            <w:tcBorders>
              <w:top w:val="nil"/>
              <w:left w:val="nil"/>
              <w:bottom w:val="single" w:sz="4" w:space="0" w:color="auto"/>
              <w:right w:val="single" w:sz="4" w:space="0" w:color="auto"/>
            </w:tcBorders>
            <w:shd w:val="clear" w:color="auto" w:fill="auto"/>
            <w:hideMark/>
          </w:tcPr>
          <w:p w14:paraId="15F5A86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Docházka</w:t>
            </w:r>
          </w:p>
        </w:tc>
        <w:tc>
          <w:tcPr>
            <w:tcW w:w="2268" w:type="dxa"/>
            <w:tcBorders>
              <w:top w:val="nil"/>
              <w:left w:val="nil"/>
              <w:bottom w:val="single" w:sz="4" w:space="0" w:color="auto"/>
              <w:right w:val="single" w:sz="4" w:space="0" w:color="auto"/>
            </w:tcBorders>
            <w:shd w:val="clear" w:color="auto" w:fill="auto"/>
            <w:hideMark/>
          </w:tcPr>
          <w:p w14:paraId="0C4B353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evidenci docházky, jakožto podklad pro zpracování mezd (odpracované hodiny, dovolená, DPN, přesčasová práce atd.) a s identifikací odpracovaných hodin k NS, JU a Střediskům.</w:t>
            </w:r>
          </w:p>
        </w:tc>
        <w:tc>
          <w:tcPr>
            <w:tcW w:w="1134" w:type="dxa"/>
            <w:tcBorders>
              <w:top w:val="nil"/>
              <w:left w:val="nil"/>
              <w:bottom w:val="single" w:sz="4" w:space="0" w:color="auto"/>
              <w:right w:val="single" w:sz="4" w:space="0" w:color="auto"/>
            </w:tcBorders>
            <w:shd w:val="clear" w:color="auto" w:fill="auto"/>
            <w:hideMark/>
          </w:tcPr>
          <w:p w14:paraId="3C44593D"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5205B18"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5536AB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C31641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Odpracované hodiny dělníků budou evidovány v pracovních výkazech či stazkách (řidiči, ev. závozníci). Docházka THP půjde zadat zjednodušeným způsobem na jednom formuláři za celý měsíc. Podobným způsobem půjde pořídit dovolené, nemoci, …</w:t>
            </w:r>
          </w:p>
        </w:tc>
      </w:tr>
      <w:tr w:rsidR="00C03AF4" w:rsidRPr="00DB3FF1" w14:paraId="2839F7FD"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1CF7ED8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E27</w:t>
            </w:r>
          </w:p>
        </w:tc>
        <w:tc>
          <w:tcPr>
            <w:tcW w:w="1127" w:type="dxa"/>
            <w:tcBorders>
              <w:top w:val="nil"/>
              <w:left w:val="nil"/>
              <w:bottom w:val="single" w:sz="4" w:space="0" w:color="auto"/>
              <w:right w:val="single" w:sz="4" w:space="0" w:color="auto"/>
            </w:tcBorders>
            <w:shd w:val="clear" w:color="auto" w:fill="auto"/>
            <w:hideMark/>
          </w:tcPr>
          <w:p w14:paraId="6E6105E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B2C33E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Zadavatel požaduje, aby systém byl v budoucnosti schopen propojení s elektronickým docházkovým systémem.</w:t>
            </w:r>
          </w:p>
        </w:tc>
        <w:tc>
          <w:tcPr>
            <w:tcW w:w="1134" w:type="dxa"/>
            <w:tcBorders>
              <w:top w:val="nil"/>
              <w:left w:val="nil"/>
              <w:bottom w:val="single" w:sz="4" w:space="0" w:color="auto"/>
              <w:right w:val="single" w:sz="4" w:space="0" w:color="auto"/>
            </w:tcBorders>
            <w:shd w:val="clear" w:color="auto" w:fill="auto"/>
            <w:hideMark/>
          </w:tcPr>
          <w:p w14:paraId="09D0F02E"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F9AC976"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02F88E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AA432B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Helios je otevřený systém a lze tak jeho vybrané třídy napojit na zdroje dat z externích systémů. Této vlastnosti se využívá také při napojení na externí doch</w:t>
            </w:r>
            <w:r>
              <w:rPr>
                <w:rFonts w:asciiTheme="minorHAnsi" w:hAnsiTheme="minorHAnsi" w:cstheme="minorHAnsi"/>
                <w:sz w:val="18"/>
                <w:szCs w:val="18"/>
              </w:rPr>
              <w:t>á</w:t>
            </w:r>
            <w:r w:rsidRPr="00DB3FF1">
              <w:rPr>
                <w:rFonts w:asciiTheme="minorHAnsi" w:hAnsiTheme="minorHAnsi" w:cstheme="minorHAnsi"/>
                <w:sz w:val="18"/>
                <w:szCs w:val="18"/>
              </w:rPr>
              <w:t>zkové systémy.</w:t>
            </w:r>
          </w:p>
        </w:tc>
      </w:tr>
      <w:tr w:rsidR="00C03AF4" w:rsidRPr="00DB3FF1" w14:paraId="6BBFB4DB"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52EB5B2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E28</w:t>
            </w:r>
          </w:p>
        </w:tc>
        <w:tc>
          <w:tcPr>
            <w:tcW w:w="1127" w:type="dxa"/>
            <w:tcBorders>
              <w:top w:val="nil"/>
              <w:left w:val="nil"/>
              <w:bottom w:val="single" w:sz="4" w:space="0" w:color="auto"/>
              <w:right w:val="single" w:sz="4" w:space="0" w:color="auto"/>
            </w:tcBorders>
            <w:shd w:val="clear" w:color="auto" w:fill="auto"/>
            <w:hideMark/>
          </w:tcPr>
          <w:p w14:paraId="2A14FAD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1E8579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Odpracovaná doba nad rámec kalendáře pracovní doby se podle nastavených pravidel bude automaticky členit na Přesčas a Souběžný pracovní poměr. V systému půjde nastavit maximální limit pro přesčas za rok.</w:t>
            </w:r>
          </w:p>
        </w:tc>
        <w:tc>
          <w:tcPr>
            <w:tcW w:w="1134" w:type="dxa"/>
            <w:tcBorders>
              <w:top w:val="nil"/>
              <w:left w:val="nil"/>
              <w:bottom w:val="single" w:sz="4" w:space="0" w:color="auto"/>
              <w:right w:val="single" w:sz="4" w:space="0" w:color="auto"/>
            </w:tcBorders>
            <w:shd w:val="clear" w:color="auto" w:fill="auto"/>
            <w:hideMark/>
          </w:tcPr>
          <w:p w14:paraId="4973E509"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E266D2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3373F3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980581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Součástí Provozního modulu Helios pro TS jsou nastavitelná pravidla pro automatické vytváření evidence přesčasů a při překročení nastaveného ročního limitu pro vytvoření přehledu hodin do souběžného pracovního poměru.</w:t>
            </w:r>
          </w:p>
        </w:tc>
      </w:tr>
      <w:tr w:rsidR="00C03AF4" w:rsidRPr="00DB3FF1" w14:paraId="1BC564C8"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348A1B3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E29</w:t>
            </w:r>
          </w:p>
        </w:tc>
        <w:tc>
          <w:tcPr>
            <w:tcW w:w="1127" w:type="dxa"/>
            <w:tcBorders>
              <w:top w:val="nil"/>
              <w:left w:val="nil"/>
              <w:bottom w:val="single" w:sz="4" w:space="0" w:color="auto"/>
              <w:right w:val="single" w:sz="4" w:space="0" w:color="auto"/>
            </w:tcBorders>
            <w:shd w:val="clear" w:color="auto" w:fill="auto"/>
            <w:hideMark/>
          </w:tcPr>
          <w:p w14:paraId="3143B95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E2B2C8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Docházku THP pracovníků bude možné zadat zjednodušeným způsobem.</w:t>
            </w:r>
          </w:p>
        </w:tc>
        <w:tc>
          <w:tcPr>
            <w:tcW w:w="1134" w:type="dxa"/>
            <w:tcBorders>
              <w:top w:val="nil"/>
              <w:left w:val="nil"/>
              <w:bottom w:val="single" w:sz="4" w:space="0" w:color="auto"/>
              <w:right w:val="single" w:sz="4" w:space="0" w:color="auto"/>
            </w:tcBorders>
            <w:shd w:val="clear" w:color="auto" w:fill="auto"/>
            <w:hideMark/>
          </w:tcPr>
          <w:p w14:paraId="29592286"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B8E277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778D410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104448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Docházka THP může být zjednodušeně zadávána např. kopírováním předchozího dne, nebo automaticky generována na základě definovaných pravidel.</w:t>
            </w:r>
            <w:r w:rsidRPr="00DB3FF1">
              <w:rPr>
                <w:rFonts w:asciiTheme="minorHAnsi" w:hAnsiTheme="minorHAnsi" w:cstheme="minorHAnsi"/>
                <w:sz w:val="18"/>
                <w:szCs w:val="18"/>
              </w:rPr>
              <w:br/>
              <w:t>Nástroje pro zjednodušené zadávání docházky THP pracovníků jsou k dispozici pro všechna střediska.</w:t>
            </w:r>
          </w:p>
        </w:tc>
      </w:tr>
      <w:tr w:rsidR="00C03AF4" w:rsidRPr="00DB3FF1" w14:paraId="16DAFC19"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7EB8048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E30</w:t>
            </w:r>
          </w:p>
        </w:tc>
        <w:tc>
          <w:tcPr>
            <w:tcW w:w="1127" w:type="dxa"/>
            <w:tcBorders>
              <w:top w:val="nil"/>
              <w:left w:val="nil"/>
              <w:bottom w:val="single" w:sz="4" w:space="0" w:color="auto"/>
              <w:right w:val="single" w:sz="4" w:space="0" w:color="auto"/>
            </w:tcBorders>
            <w:shd w:val="clear" w:color="auto" w:fill="auto"/>
            <w:hideMark/>
          </w:tcPr>
          <w:p w14:paraId="74938DE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BB7656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Výstupem z Docházky bude přehled odpracované doby pracovníků, včetně přestávek v práci.</w:t>
            </w:r>
          </w:p>
        </w:tc>
        <w:tc>
          <w:tcPr>
            <w:tcW w:w="1134" w:type="dxa"/>
            <w:tcBorders>
              <w:top w:val="nil"/>
              <w:left w:val="nil"/>
              <w:bottom w:val="single" w:sz="4" w:space="0" w:color="auto"/>
              <w:right w:val="single" w:sz="4" w:space="0" w:color="auto"/>
            </w:tcBorders>
            <w:shd w:val="clear" w:color="auto" w:fill="auto"/>
            <w:hideMark/>
          </w:tcPr>
          <w:p w14:paraId="25B91654"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89A510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3247D4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9E7A61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Výstupní šablona z Docházky obsahuje přehled odpracované doby pracovníků, včetně přestávek v práci. Šablona slouží zejména k odsouhlasení odpracovaných dob před přenosem docházek do zpracování mezd.</w:t>
            </w:r>
          </w:p>
        </w:tc>
      </w:tr>
      <w:tr w:rsidR="00C03AF4" w:rsidRPr="00DB3FF1" w14:paraId="73F4E473" w14:textId="77777777" w:rsidTr="000F2E84">
        <w:trPr>
          <w:trHeight w:val="2700"/>
        </w:trPr>
        <w:tc>
          <w:tcPr>
            <w:tcW w:w="428" w:type="dxa"/>
            <w:tcBorders>
              <w:top w:val="nil"/>
              <w:left w:val="single" w:sz="4" w:space="0" w:color="auto"/>
              <w:bottom w:val="single" w:sz="4" w:space="0" w:color="auto"/>
              <w:right w:val="single" w:sz="4" w:space="0" w:color="auto"/>
            </w:tcBorders>
            <w:shd w:val="clear" w:color="auto" w:fill="auto"/>
            <w:hideMark/>
          </w:tcPr>
          <w:p w14:paraId="6A0612B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E31</w:t>
            </w:r>
          </w:p>
        </w:tc>
        <w:tc>
          <w:tcPr>
            <w:tcW w:w="1127" w:type="dxa"/>
            <w:tcBorders>
              <w:top w:val="nil"/>
              <w:left w:val="nil"/>
              <w:bottom w:val="single" w:sz="4" w:space="0" w:color="auto"/>
              <w:right w:val="single" w:sz="4" w:space="0" w:color="auto"/>
            </w:tcBorders>
            <w:shd w:val="clear" w:color="auto" w:fill="auto"/>
            <w:hideMark/>
          </w:tcPr>
          <w:p w14:paraId="0608C2D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Rozhraní na mzdy</w:t>
            </w:r>
          </w:p>
        </w:tc>
        <w:tc>
          <w:tcPr>
            <w:tcW w:w="2268" w:type="dxa"/>
            <w:tcBorders>
              <w:top w:val="nil"/>
              <w:left w:val="nil"/>
              <w:bottom w:val="single" w:sz="4" w:space="0" w:color="auto"/>
              <w:right w:val="single" w:sz="4" w:space="0" w:color="auto"/>
            </w:tcBorders>
            <w:shd w:val="clear" w:color="auto" w:fill="auto"/>
            <w:hideMark/>
          </w:tcPr>
          <w:p w14:paraId="192742B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Součástí dodávky bude vytvoření datového rozhraní na stávající mzdový systém. Rozhraní bude obousměrné = do Mezd se předá odpracovaná doba jako podklad pro výčet mezd, z Mezd se převezme zpráva pro vytvoření ID pro zaúčtování mezd v Účetnictví.</w:t>
            </w:r>
          </w:p>
        </w:tc>
        <w:tc>
          <w:tcPr>
            <w:tcW w:w="1134" w:type="dxa"/>
            <w:tcBorders>
              <w:top w:val="nil"/>
              <w:left w:val="nil"/>
              <w:bottom w:val="single" w:sz="4" w:space="0" w:color="auto"/>
              <w:right w:val="single" w:sz="4" w:space="0" w:color="auto"/>
            </w:tcBorders>
            <w:shd w:val="clear" w:color="auto" w:fill="auto"/>
            <w:hideMark/>
          </w:tcPr>
          <w:p w14:paraId="123832F1"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hideMark/>
          </w:tcPr>
          <w:p w14:paraId="1106F8B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1134" w:type="dxa"/>
            <w:tcBorders>
              <w:top w:val="nil"/>
              <w:left w:val="nil"/>
              <w:bottom w:val="single" w:sz="4" w:space="0" w:color="auto"/>
              <w:right w:val="single" w:sz="4" w:space="0" w:color="auto"/>
            </w:tcBorders>
            <w:shd w:val="clear" w:color="auto" w:fill="auto"/>
            <w:hideMark/>
          </w:tcPr>
          <w:p w14:paraId="537FF13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6E55FDC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rámci implementace systému bude vytvořeno obousměrné datové rozhraní na stávající mzdový systém v dohodnutém formátu.</w:t>
            </w:r>
            <w:r w:rsidRPr="00DB3FF1">
              <w:rPr>
                <w:rFonts w:asciiTheme="minorHAnsi" w:hAnsiTheme="minorHAnsi" w:cstheme="minorHAnsi"/>
                <w:sz w:val="18"/>
                <w:szCs w:val="18"/>
              </w:rPr>
              <w:br/>
              <w:t>Ve směru Helios -&gt; Mzdy budou předávány odpracované doby.</w:t>
            </w:r>
            <w:r w:rsidRPr="00DB3FF1">
              <w:rPr>
                <w:rFonts w:asciiTheme="minorHAnsi" w:hAnsiTheme="minorHAnsi" w:cstheme="minorHAnsi"/>
                <w:sz w:val="18"/>
                <w:szCs w:val="18"/>
              </w:rPr>
              <w:br/>
              <w:t xml:space="preserve">Ve směru Mzdy -&gt; Helios budou předávány zprávy pro vytvoření Interního dokladu pro zaúčtování mezd. Podmínkou pro </w:t>
            </w:r>
            <w:r>
              <w:rPr>
                <w:rFonts w:asciiTheme="minorHAnsi" w:hAnsiTheme="minorHAnsi" w:cstheme="minorHAnsi"/>
                <w:sz w:val="18"/>
                <w:szCs w:val="18"/>
              </w:rPr>
              <w:t>k</w:t>
            </w:r>
            <w:r w:rsidRPr="00DB3FF1">
              <w:rPr>
                <w:rFonts w:asciiTheme="minorHAnsi" w:hAnsiTheme="minorHAnsi" w:cstheme="minorHAnsi"/>
                <w:sz w:val="18"/>
                <w:szCs w:val="18"/>
              </w:rPr>
              <w:t>orektní vytvoření ID je předání všech mzdových složek v členění po dimenzi Středisko.</w:t>
            </w:r>
          </w:p>
        </w:tc>
      </w:tr>
      <w:tr w:rsidR="00C03AF4" w:rsidRPr="00DB3FF1" w14:paraId="669C049A" w14:textId="77777777" w:rsidTr="000F2E84">
        <w:trPr>
          <w:trHeight w:val="2100"/>
        </w:trPr>
        <w:tc>
          <w:tcPr>
            <w:tcW w:w="428" w:type="dxa"/>
            <w:tcBorders>
              <w:top w:val="nil"/>
              <w:left w:val="single" w:sz="4" w:space="0" w:color="auto"/>
              <w:bottom w:val="single" w:sz="4" w:space="0" w:color="auto"/>
              <w:right w:val="single" w:sz="4" w:space="0" w:color="auto"/>
            </w:tcBorders>
            <w:shd w:val="clear" w:color="auto" w:fill="auto"/>
            <w:hideMark/>
          </w:tcPr>
          <w:p w14:paraId="14ECFC0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E32</w:t>
            </w:r>
          </w:p>
        </w:tc>
        <w:tc>
          <w:tcPr>
            <w:tcW w:w="1127" w:type="dxa"/>
            <w:tcBorders>
              <w:top w:val="nil"/>
              <w:left w:val="nil"/>
              <w:bottom w:val="single" w:sz="4" w:space="0" w:color="auto"/>
              <w:right w:val="single" w:sz="4" w:space="0" w:color="auto"/>
            </w:tcBorders>
            <w:shd w:val="clear" w:color="auto" w:fill="auto"/>
            <w:hideMark/>
          </w:tcPr>
          <w:p w14:paraId="628E445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Odpady a cizí materiál</w:t>
            </w:r>
          </w:p>
        </w:tc>
        <w:tc>
          <w:tcPr>
            <w:tcW w:w="2268" w:type="dxa"/>
            <w:tcBorders>
              <w:top w:val="nil"/>
              <w:left w:val="nil"/>
              <w:bottom w:val="single" w:sz="4" w:space="0" w:color="auto"/>
              <w:right w:val="single" w:sz="4" w:space="0" w:color="auto"/>
            </w:tcBorders>
            <w:shd w:val="clear" w:color="auto" w:fill="auto"/>
            <w:hideMark/>
          </w:tcPr>
          <w:p w14:paraId="06E040E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podpoří k NS, respektive JU sledování dalších nákladů, jako jsou odpady, dodaný cizí materiál, nakoupené služby.</w:t>
            </w:r>
            <w:r w:rsidRPr="00DB3FF1">
              <w:rPr>
                <w:rFonts w:asciiTheme="minorHAnsi" w:hAnsiTheme="minorHAnsi" w:cstheme="minorHAnsi"/>
                <w:sz w:val="18"/>
                <w:szCs w:val="18"/>
              </w:rPr>
              <w:br/>
              <w:t>Po přijetí souhrnné faktury systém umožní rozklíčovat náklady podle NS nebo JU.</w:t>
            </w:r>
          </w:p>
        </w:tc>
        <w:tc>
          <w:tcPr>
            <w:tcW w:w="1134" w:type="dxa"/>
            <w:tcBorders>
              <w:top w:val="nil"/>
              <w:left w:val="nil"/>
              <w:bottom w:val="single" w:sz="4" w:space="0" w:color="auto"/>
              <w:right w:val="single" w:sz="4" w:space="0" w:color="auto"/>
            </w:tcBorders>
            <w:shd w:val="clear" w:color="auto" w:fill="auto"/>
            <w:hideMark/>
          </w:tcPr>
          <w:p w14:paraId="6426B77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C58DFA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88966A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A33219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Ke sledování odpadů, dodávek cizího materiálu a nakoupených služeb slouží třída Vážní lístky. Vážní lístky se vždy váží na JU nebo NS.</w:t>
            </w:r>
            <w:r w:rsidRPr="00DB3FF1">
              <w:rPr>
                <w:rFonts w:asciiTheme="minorHAnsi" w:hAnsiTheme="minorHAnsi" w:cstheme="minorHAnsi"/>
                <w:sz w:val="18"/>
                <w:szCs w:val="18"/>
              </w:rPr>
              <w:br/>
              <w:t>Po vzetí faktury přijaté do evidence lze přiřazením záznamů "vážních lístků" určit parametry pro rozklíčování nákladů na JU a NS. Je k dispozici fu</w:t>
            </w:r>
            <w:r>
              <w:rPr>
                <w:rFonts w:asciiTheme="minorHAnsi" w:hAnsiTheme="minorHAnsi" w:cstheme="minorHAnsi"/>
                <w:sz w:val="18"/>
                <w:szCs w:val="18"/>
              </w:rPr>
              <w:t>n</w:t>
            </w:r>
            <w:r w:rsidRPr="00DB3FF1">
              <w:rPr>
                <w:rFonts w:asciiTheme="minorHAnsi" w:hAnsiTheme="minorHAnsi" w:cstheme="minorHAnsi"/>
                <w:sz w:val="18"/>
                <w:szCs w:val="18"/>
              </w:rPr>
              <w:t>kce, které pro rozúčtování nákladů vytvoří potřebnou kontaci.</w:t>
            </w:r>
          </w:p>
        </w:tc>
      </w:tr>
      <w:tr w:rsidR="00C03AF4" w:rsidRPr="00DB3FF1" w14:paraId="78F251C6"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0A697FF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E33</w:t>
            </w:r>
          </w:p>
        </w:tc>
        <w:tc>
          <w:tcPr>
            <w:tcW w:w="1127" w:type="dxa"/>
            <w:tcBorders>
              <w:top w:val="nil"/>
              <w:left w:val="nil"/>
              <w:bottom w:val="single" w:sz="4" w:space="0" w:color="auto"/>
              <w:right w:val="single" w:sz="4" w:space="0" w:color="auto"/>
            </w:tcBorders>
            <w:shd w:val="clear" w:color="auto" w:fill="auto"/>
            <w:hideMark/>
          </w:tcPr>
          <w:p w14:paraId="0C5F999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4A936AA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Evidence svozů, vážních lístků a možnost propojení váhy s IS, automatický výstup dokladů</w:t>
            </w:r>
          </w:p>
        </w:tc>
        <w:tc>
          <w:tcPr>
            <w:tcW w:w="1134" w:type="dxa"/>
            <w:tcBorders>
              <w:top w:val="nil"/>
              <w:left w:val="nil"/>
              <w:bottom w:val="single" w:sz="4" w:space="0" w:color="auto"/>
              <w:right w:val="single" w:sz="4" w:space="0" w:color="auto"/>
            </w:tcBorders>
            <w:shd w:val="clear" w:color="auto" w:fill="auto"/>
            <w:hideMark/>
          </w:tcPr>
          <w:p w14:paraId="146E6E3E"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hideMark/>
          </w:tcPr>
          <w:p w14:paraId="6B880C80"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1134" w:type="dxa"/>
            <w:tcBorders>
              <w:top w:val="nil"/>
              <w:left w:val="nil"/>
              <w:bottom w:val="single" w:sz="4" w:space="0" w:color="auto"/>
              <w:right w:val="single" w:sz="4" w:space="0" w:color="auto"/>
            </w:tcBorders>
            <w:shd w:val="clear" w:color="auto" w:fill="auto"/>
            <w:hideMark/>
          </w:tcPr>
          <w:p w14:paraId="5D546B6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AA8633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rámci implementace systému bude vytvořeno datové rozhraní na vážní systém a bude tak možné na základě dat z váhy automaticky vytvářet skladové pohyb. Evidence svozů a vážních lístků je součástí systému a jeho provozního modulu</w:t>
            </w:r>
          </w:p>
        </w:tc>
      </w:tr>
      <w:tr w:rsidR="00C03AF4" w:rsidRPr="00DB3FF1" w14:paraId="7AD48901"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0338064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E34</w:t>
            </w:r>
          </w:p>
        </w:tc>
        <w:tc>
          <w:tcPr>
            <w:tcW w:w="1127" w:type="dxa"/>
            <w:tcBorders>
              <w:top w:val="nil"/>
              <w:left w:val="nil"/>
              <w:bottom w:val="single" w:sz="4" w:space="0" w:color="auto"/>
              <w:right w:val="single" w:sz="4" w:space="0" w:color="auto"/>
            </w:tcBorders>
            <w:shd w:val="clear" w:color="auto" w:fill="auto"/>
            <w:hideMark/>
          </w:tcPr>
          <w:p w14:paraId="17549FB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Dokumenty</w:t>
            </w:r>
          </w:p>
        </w:tc>
        <w:tc>
          <w:tcPr>
            <w:tcW w:w="2268" w:type="dxa"/>
            <w:tcBorders>
              <w:top w:val="nil"/>
              <w:left w:val="nil"/>
              <w:bottom w:val="single" w:sz="4" w:space="0" w:color="auto"/>
              <w:right w:val="single" w:sz="4" w:space="0" w:color="auto"/>
            </w:tcBorders>
            <w:shd w:val="clear" w:color="auto" w:fill="auto"/>
            <w:hideMark/>
          </w:tcPr>
          <w:p w14:paraId="247F05F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systému bude možné k NS a JU připojovat Dokumenty, např. pdf, foto apod.</w:t>
            </w:r>
          </w:p>
        </w:tc>
        <w:tc>
          <w:tcPr>
            <w:tcW w:w="1134" w:type="dxa"/>
            <w:tcBorders>
              <w:top w:val="nil"/>
              <w:left w:val="nil"/>
              <w:bottom w:val="single" w:sz="4" w:space="0" w:color="auto"/>
              <w:right w:val="single" w:sz="4" w:space="0" w:color="auto"/>
            </w:tcBorders>
            <w:shd w:val="clear" w:color="auto" w:fill="auto"/>
            <w:hideMark/>
          </w:tcPr>
          <w:p w14:paraId="3815D710"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8E848F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24428D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BE066C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Helios umožňuje ve standardu přikládat externí dokumenty / soubory k jakémukoli evidovanému záznamu, včetně NS a JU.</w:t>
            </w:r>
          </w:p>
        </w:tc>
      </w:tr>
      <w:tr w:rsidR="00C03AF4" w:rsidRPr="00DB3FF1" w14:paraId="70525A80"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4698F6F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E35</w:t>
            </w:r>
          </w:p>
        </w:tc>
        <w:tc>
          <w:tcPr>
            <w:tcW w:w="1127" w:type="dxa"/>
            <w:tcBorders>
              <w:top w:val="nil"/>
              <w:left w:val="nil"/>
              <w:bottom w:val="single" w:sz="4" w:space="0" w:color="auto"/>
              <w:right w:val="single" w:sz="4" w:space="0" w:color="auto"/>
            </w:tcBorders>
            <w:shd w:val="clear" w:color="auto" w:fill="auto"/>
            <w:hideMark/>
          </w:tcPr>
          <w:p w14:paraId="7546D7C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Doprava</w:t>
            </w:r>
          </w:p>
        </w:tc>
        <w:tc>
          <w:tcPr>
            <w:tcW w:w="2268" w:type="dxa"/>
            <w:tcBorders>
              <w:top w:val="nil"/>
              <w:left w:val="nil"/>
              <w:bottom w:val="single" w:sz="4" w:space="0" w:color="auto"/>
              <w:right w:val="single" w:sz="4" w:space="0" w:color="auto"/>
            </w:tcBorders>
            <w:shd w:val="clear" w:color="auto" w:fill="auto"/>
            <w:hideMark/>
          </w:tcPr>
          <w:p w14:paraId="39D04DF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Pro stroje a mechanismy, které mají tachometr, se evidují stazky. Stazku bude možné svázat s JU nebo NS.</w:t>
            </w:r>
          </w:p>
        </w:tc>
        <w:tc>
          <w:tcPr>
            <w:tcW w:w="1134" w:type="dxa"/>
            <w:tcBorders>
              <w:top w:val="nil"/>
              <w:left w:val="nil"/>
              <w:bottom w:val="single" w:sz="4" w:space="0" w:color="auto"/>
              <w:right w:val="single" w:sz="4" w:space="0" w:color="auto"/>
            </w:tcBorders>
            <w:shd w:val="clear" w:color="auto" w:fill="auto"/>
            <w:hideMark/>
          </w:tcPr>
          <w:p w14:paraId="074C264C"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F65E71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35FEB2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21CDD43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xml:space="preserve">Třída Stazka obsahuje obvyklé </w:t>
            </w:r>
            <w:r>
              <w:rPr>
                <w:rFonts w:asciiTheme="minorHAnsi" w:hAnsiTheme="minorHAnsi" w:cstheme="minorHAnsi"/>
                <w:sz w:val="18"/>
                <w:szCs w:val="18"/>
              </w:rPr>
              <w:t>ú</w:t>
            </w:r>
            <w:r w:rsidRPr="00DB3FF1">
              <w:rPr>
                <w:rFonts w:asciiTheme="minorHAnsi" w:hAnsiTheme="minorHAnsi" w:cstheme="minorHAnsi"/>
                <w:sz w:val="18"/>
                <w:szCs w:val="18"/>
              </w:rPr>
              <w:t>daje</w:t>
            </w:r>
            <w:r>
              <w:rPr>
                <w:rFonts w:asciiTheme="minorHAnsi" w:hAnsiTheme="minorHAnsi" w:cstheme="minorHAnsi"/>
                <w:sz w:val="18"/>
                <w:szCs w:val="18"/>
              </w:rPr>
              <w:t xml:space="preserve"> </w:t>
            </w:r>
            <w:r w:rsidRPr="00DB3FF1">
              <w:rPr>
                <w:rFonts w:asciiTheme="minorHAnsi" w:hAnsiTheme="minorHAnsi" w:cstheme="minorHAnsi"/>
                <w:sz w:val="18"/>
                <w:szCs w:val="18"/>
              </w:rPr>
              <w:t xml:space="preserve"> které se na stazkách evidují. Stazka se člení na hlavičku - hlavičkové údaje a na položky, které obsahují obvyklé položkové údaje.</w:t>
            </w:r>
            <w:r w:rsidRPr="00DB3FF1">
              <w:rPr>
                <w:rFonts w:asciiTheme="minorHAnsi" w:hAnsiTheme="minorHAnsi" w:cstheme="minorHAnsi"/>
                <w:sz w:val="18"/>
                <w:szCs w:val="18"/>
              </w:rPr>
              <w:br/>
              <w:t>Stazky půjde navázat na libovolnou dimenzi systému, vč. JU nebo NS</w:t>
            </w:r>
          </w:p>
        </w:tc>
      </w:tr>
      <w:tr w:rsidR="00C03AF4" w:rsidRPr="00DB3FF1" w14:paraId="3D04559C"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2266E6A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E36</w:t>
            </w:r>
          </w:p>
        </w:tc>
        <w:tc>
          <w:tcPr>
            <w:tcW w:w="1127" w:type="dxa"/>
            <w:tcBorders>
              <w:top w:val="nil"/>
              <w:left w:val="nil"/>
              <w:bottom w:val="single" w:sz="4" w:space="0" w:color="auto"/>
              <w:right w:val="single" w:sz="4" w:space="0" w:color="auto"/>
            </w:tcBorders>
            <w:shd w:val="clear" w:color="auto" w:fill="auto"/>
            <w:hideMark/>
          </w:tcPr>
          <w:p w14:paraId="60AA40F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E8C4B4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pro stazku sledovat obvyklé údaje o provozu dopravního prostředku.</w:t>
            </w:r>
          </w:p>
        </w:tc>
        <w:tc>
          <w:tcPr>
            <w:tcW w:w="1134" w:type="dxa"/>
            <w:tcBorders>
              <w:top w:val="nil"/>
              <w:left w:val="nil"/>
              <w:bottom w:val="single" w:sz="4" w:space="0" w:color="auto"/>
              <w:right w:val="single" w:sz="4" w:space="0" w:color="auto"/>
            </w:tcBorders>
            <w:shd w:val="clear" w:color="auto" w:fill="auto"/>
            <w:hideMark/>
          </w:tcPr>
          <w:p w14:paraId="6731D2EA"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D75444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6C95FD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66F75B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Třída Stazka obsahuje obvyklé údaje o provozu DP. V případě potřeby je možné údaje přidat v rámci implementace systému</w:t>
            </w:r>
          </w:p>
        </w:tc>
      </w:tr>
      <w:tr w:rsidR="00C03AF4" w:rsidRPr="00DB3FF1" w14:paraId="7036F112"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6A5510D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E37</w:t>
            </w:r>
          </w:p>
        </w:tc>
        <w:tc>
          <w:tcPr>
            <w:tcW w:w="1127" w:type="dxa"/>
            <w:tcBorders>
              <w:top w:val="nil"/>
              <w:left w:val="nil"/>
              <w:bottom w:val="single" w:sz="4" w:space="0" w:color="auto"/>
              <w:right w:val="single" w:sz="4" w:space="0" w:color="auto"/>
            </w:tcBorders>
            <w:shd w:val="clear" w:color="auto" w:fill="auto"/>
            <w:hideMark/>
          </w:tcPr>
          <w:p w14:paraId="5C7514A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2A5214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před jízdou vytisknout stazku s předvyplněnými základními údaji.</w:t>
            </w:r>
          </w:p>
        </w:tc>
        <w:tc>
          <w:tcPr>
            <w:tcW w:w="1134" w:type="dxa"/>
            <w:tcBorders>
              <w:top w:val="nil"/>
              <w:left w:val="nil"/>
              <w:bottom w:val="single" w:sz="4" w:space="0" w:color="auto"/>
              <w:right w:val="single" w:sz="4" w:space="0" w:color="auto"/>
            </w:tcBorders>
            <w:shd w:val="clear" w:color="auto" w:fill="auto"/>
            <w:hideMark/>
          </w:tcPr>
          <w:p w14:paraId="63F9A05D"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A8A033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BAB849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E09921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Stazku s přednastavenými výchozími údaji lze vytisknout pomocí tiskové šablony.</w:t>
            </w:r>
          </w:p>
        </w:tc>
      </w:tr>
      <w:tr w:rsidR="00C03AF4" w:rsidRPr="00DB3FF1" w14:paraId="12C7AA57" w14:textId="77777777" w:rsidTr="000F2E84">
        <w:trPr>
          <w:trHeight w:val="2700"/>
        </w:trPr>
        <w:tc>
          <w:tcPr>
            <w:tcW w:w="428" w:type="dxa"/>
            <w:tcBorders>
              <w:top w:val="nil"/>
              <w:left w:val="single" w:sz="4" w:space="0" w:color="auto"/>
              <w:bottom w:val="single" w:sz="4" w:space="0" w:color="auto"/>
              <w:right w:val="single" w:sz="4" w:space="0" w:color="auto"/>
            </w:tcBorders>
            <w:shd w:val="clear" w:color="auto" w:fill="auto"/>
            <w:hideMark/>
          </w:tcPr>
          <w:p w14:paraId="06CB228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E38</w:t>
            </w:r>
          </w:p>
        </w:tc>
        <w:tc>
          <w:tcPr>
            <w:tcW w:w="1127" w:type="dxa"/>
            <w:tcBorders>
              <w:top w:val="nil"/>
              <w:left w:val="nil"/>
              <w:bottom w:val="single" w:sz="4" w:space="0" w:color="auto"/>
              <w:right w:val="single" w:sz="4" w:space="0" w:color="auto"/>
            </w:tcBorders>
            <w:shd w:val="clear" w:color="auto" w:fill="auto"/>
            <w:hideMark/>
          </w:tcPr>
          <w:p w14:paraId="39F8203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EF86D9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bude podporovat evidenci strojového parku a dopravních prostředků, jejich provozu a klíčování na NS, JU a Střediska a propojení s účtováním nákladů a výnosů.</w:t>
            </w:r>
          </w:p>
        </w:tc>
        <w:tc>
          <w:tcPr>
            <w:tcW w:w="1134" w:type="dxa"/>
            <w:tcBorders>
              <w:top w:val="nil"/>
              <w:left w:val="nil"/>
              <w:bottom w:val="single" w:sz="4" w:space="0" w:color="auto"/>
              <w:right w:val="single" w:sz="4" w:space="0" w:color="auto"/>
            </w:tcBorders>
            <w:shd w:val="clear" w:color="auto" w:fill="auto"/>
            <w:hideMark/>
          </w:tcPr>
          <w:p w14:paraId="1B902520"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3ED013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65349A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343C925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Strojový park zadavatele se bude spravovat ve standardní třídě Dopravní prostředky - třída je standardní dimenzí Helios pro TS.</w:t>
            </w:r>
            <w:r w:rsidRPr="00DB3FF1">
              <w:rPr>
                <w:rFonts w:asciiTheme="minorHAnsi" w:hAnsiTheme="minorHAnsi" w:cstheme="minorHAnsi"/>
                <w:sz w:val="18"/>
                <w:szCs w:val="18"/>
              </w:rPr>
              <w:br/>
              <w:t>Provoz dopravních prostředků se sleduje na Stazkách nebo přímo na Vý</w:t>
            </w:r>
            <w:r>
              <w:rPr>
                <w:rFonts w:asciiTheme="minorHAnsi" w:hAnsiTheme="minorHAnsi" w:cstheme="minorHAnsi"/>
                <w:sz w:val="18"/>
                <w:szCs w:val="18"/>
              </w:rPr>
              <w:t>k</w:t>
            </w:r>
            <w:r w:rsidRPr="00DB3FF1">
              <w:rPr>
                <w:rFonts w:asciiTheme="minorHAnsi" w:hAnsiTheme="minorHAnsi" w:cstheme="minorHAnsi"/>
                <w:sz w:val="18"/>
                <w:szCs w:val="18"/>
              </w:rPr>
              <w:t>azech, obojí vždy ve vazbě na NS nebo JU.</w:t>
            </w:r>
            <w:r w:rsidRPr="00DB3FF1">
              <w:rPr>
                <w:rFonts w:asciiTheme="minorHAnsi" w:hAnsiTheme="minorHAnsi" w:cstheme="minorHAnsi"/>
                <w:sz w:val="18"/>
                <w:szCs w:val="18"/>
              </w:rPr>
              <w:br/>
              <w:t>Sledování nákladů na dopravní prostředek se provádí prostřednictvím stejnojmenné dimenze, která se uvede na prvotní doklad a odtud při zaúčtování do Účetního deníku. Obdobným způsobem lze sledovat i výnosy.</w:t>
            </w:r>
          </w:p>
        </w:tc>
      </w:tr>
      <w:tr w:rsidR="00C03AF4" w:rsidRPr="00DB3FF1" w14:paraId="5AF34172"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10DE9A0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E39</w:t>
            </w:r>
          </w:p>
        </w:tc>
        <w:tc>
          <w:tcPr>
            <w:tcW w:w="1127" w:type="dxa"/>
            <w:tcBorders>
              <w:top w:val="nil"/>
              <w:left w:val="nil"/>
              <w:bottom w:val="single" w:sz="4" w:space="0" w:color="auto"/>
              <w:right w:val="single" w:sz="4" w:space="0" w:color="auto"/>
            </w:tcBorders>
            <w:shd w:val="clear" w:color="auto" w:fill="auto"/>
            <w:hideMark/>
          </w:tcPr>
          <w:p w14:paraId="46C8EBB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2508BE0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na základě přiřazení vozidel nebo mechanismů k JU nebo NS sledovat vytížení těchto prostředků.</w:t>
            </w:r>
          </w:p>
        </w:tc>
        <w:tc>
          <w:tcPr>
            <w:tcW w:w="1134" w:type="dxa"/>
            <w:tcBorders>
              <w:top w:val="nil"/>
              <w:left w:val="nil"/>
              <w:bottom w:val="single" w:sz="4" w:space="0" w:color="auto"/>
              <w:right w:val="single" w:sz="4" w:space="0" w:color="auto"/>
            </w:tcBorders>
            <w:shd w:val="clear" w:color="auto" w:fill="auto"/>
            <w:hideMark/>
          </w:tcPr>
          <w:p w14:paraId="5B6DE801"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26A5EA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5BF1DC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6FE5B8E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Stazky nebo výkazy práce jsou vždy přiřazeny k NS nebo JU a prostřednictvím dimenze Dopravní prostředek lze sledovat vytížení dopravních prostředků.</w:t>
            </w:r>
          </w:p>
        </w:tc>
      </w:tr>
      <w:tr w:rsidR="00C03AF4" w:rsidRPr="00DB3FF1" w14:paraId="777E2A1E"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41228FD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E40</w:t>
            </w:r>
          </w:p>
        </w:tc>
        <w:tc>
          <w:tcPr>
            <w:tcW w:w="1127" w:type="dxa"/>
            <w:tcBorders>
              <w:top w:val="nil"/>
              <w:left w:val="nil"/>
              <w:bottom w:val="single" w:sz="4" w:space="0" w:color="auto"/>
              <w:right w:val="single" w:sz="4" w:space="0" w:color="auto"/>
            </w:tcBorders>
            <w:shd w:val="clear" w:color="auto" w:fill="auto"/>
            <w:hideMark/>
          </w:tcPr>
          <w:p w14:paraId="65F5651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23383A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Nákupy PHM se provádějí přes UnicodeSys, jednotlivé karty jsou přiřazeny k dopravním prostředkům. Systém umožní změnit vozidlo u čerpání. Systém umožní ruční pořízení PHM k jednotlivým strojům</w:t>
            </w:r>
          </w:p>
        </w:tc>
        <w:tc>
          <w:tcPr>
            <w:tcW w:w="1134" w:type="dxa"/>
            <w:tcBorders>
              <w:top w:val="nil"/>
              <w:left w:val="nil"/>
              <w:bottom w:val="single" w:sz="4" w:space="0" w:color="auto"/>
              <w:right w:val="single" w:sz="4" w:space="0" w:color="auto"/>
            </w:tcBorders>
            <w:shd w:val="clear" w:color="auto" w:fill="auto"/>
            <w:hideMark/>
          </w:tcPr>
          <w:p w14:paraId="5D4ECA9A"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2BF587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71B214B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57D0920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Bude vytvořena importní funkce pro importy čerpání PHM ze systému UnicodeSys - podle popisu rozhraní systému UnicodeSys.</w:t>
            </w:r>
            <w:r w:rsidRPr="00DB3FF1">
              <w:rPr>
                <w:rFonts w:asciiTheme="minorHAnsi" w:hAnsiTheme="minorHAnsi" w:cstheme="minorHAnsi"/>
                <w:sz w:val="18"/>
                <w:szCs w:val="18"/>
              </w:rPr>
              <w:br/>
              <w:t>Zadávání ručního čerpání PHM je standardní funkčn</w:t>
            </w:r>
            <w:r>
              <w:rPr>
                <w:rFonts w:asciiTheme="minorHAnsi" w:hAnsiTheme="minorHAnsi" w:cstheme="minorHAnsi"/>
                <w:sz w:val="18"/>
                <w:szCs w:val="18"/>
              </w:rPr>
              <w:t>o</w:t>
            </w:r>
            <w:r w:rsidRPr="00DB3FF1">
              <w:rPr>
                <w:rFonts w:asciiTheme="minorHAnsi" w:hAnsiTheme="minorHAnsi" w:cstheme="minorHAnsi"/>
                <w:sz w:val="18"/>
                <w:szCs w:val="18"/>
              </w:rPr>
              <w:t>st systému.</w:t>
            </w:r>
          </w:p>
        </w:tc>
      </w:tr>
      <w:tr w:rsidR="00C03AF4" w:rsidRPr="00DB3FF1" w14:paraId="52E1C534"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3E22C77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E41</w:t>
            </w:r>
          </w:p>
        </w:tc>
        <w:tc>
          <w:tcPr>
            <w:tcW w:w="1127" w:type="dxa"/>
            <w:tcBorders>
              <w:top w:val="nil"/>
              <w:left w:val="nil"/>
              <w:bottom w:val="single" w:sz="4" w:space="0" w:color="auto"/>
              <w:right w:val="single" w:sz="4" w:space="0" w:color="auto"/>
            </w:tcBorders>
            <w:shd w:val="clear" w:color="auto" w:fill="auto"/>
            <w:hideMark/>
          </w:tcPr>
          <w:p w14:paraId="574B292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97584F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Čerpání PHM bude možné přiřadit k vozidlu nebo k mechanismu, na stazku.</w:t>
            </w:r>
            <w:r w:rsidRPr="00DB3FF1">
              <w:rPr>
                <w:rFonts w:asciiTheme="minorHAnsi" w:hAnsiTheme="minorHAnsi" w:cstheme="minorHAnsi"/>
                <w:sz w:val="18"/>
                <w:szCs w:val="18"/>
              </w:rPr>
              <w:br/>
              <w:t>Údaj o spotřebě PHM bude součástí karty vozidla.</w:t>
            </w:r>
          </w:p>
        </w:tc>
        <w:tc>
          <w:tcPr>
            <w:tcW w:w="1134" w:type="dxa"/>
            <w:tcBorders>
              <w:top w:val="nil"/>
              <w:left w:val="nil"/>
              <w:bottom w:val="single" w:sz="4" w:space="0" w:color="auto"/>
              <w:right w:val="single" w:sz="4" w:space="0" w:color="auto"/>
            </w:tcBorders>
            <w:shd w:val="clear" w:color="auto" w:fill="auto"/>
            <w:hideMark/>
          </w:tcPr>
          <w:p w14:paraId="2C7BF258"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A0CED5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CFAE8F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50C93AC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Čerpání PHM lze umístit na stazku. Přehled o čerpání PHM a další údaje karty vozidla budou řešeny šablonou.</w:t>
            </w:r>
          </w:p>
        </w:tc>
      </w:tr>
      <w:tr w:rsidR="00C03AF4" w:rsidRPr="00DB3FF1" w14:paraId="07B4ABFD"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3A5749F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E42</w:t>
            </w:r>
          </w:p>
        </w:tc>
        <w:tc>
          <w:tcPr>
            <w:tcW w:w="1127" w:type="dxa"/>
            <w:tcBorders>
              <w:top w:val="nil"/>
              <w:left w:val="nil"/>
              <w:bottom w:val="single" w:sz="4" w:space="0" w:color="auto"/>
              <w:right w:val="single" w:sz="4" w:space="0" w:color="auto"/>
            </w:tcBorders>
            <w:shd w:val="clear" w:color="auto" w:fill="auto"/>
            <w:hideMark/>
          </w:tcPr>
          <w:p w14:paraId="41BD35B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2C17A2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přiřazovat k vozidlům spotřebované náhradní díly a sledovat práce vynaložené na jejich opravy na základě Číselníku činností a také evidovat další náklady na jejich opravy.</w:t>
            </w:r>
          </w:p>
        </w:tc>
        <w:tc>
          <w:tcPr>
            <w:tcW w:w="1134" w:type="dxa"/>
            <w:tcBorders>
              <w:top w:val="nil"/>
              <w:left w:val="nil"/>
              <w:bottom w:val="single" w:sz="4" w:space="0" w:color="auto"/>
              <w:right w:val="single" w:sz="4" w:space="0" w:color="auto"/>
            </w:tcBorders>
            <w:shd w:val="clear" w:color="auto" w:fill="auto"/>
            <w:hideMark/>
          </w:tcPr>
          <w:p w14:paraId="2378F700"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2A88EF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78297D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7808E13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 vozidlu / stroji / mechanismu lze standardně přiřadit náklady dané spotřebovaným materiálem ze skladu, odvedenou prací (dle číselníku činností), nebo externí opravu.</w:t>
            </w:r>
          </w:p>
        </w:tc>
      </w:tr>
      <w:tr w:rsidR="00C03AF4" w:rsidRPr="00DB3FF1" w14:paraId="72361CC5" w14:textId="77777777" w:rsidTr="000F2E84">
        <w:trPr>
          <w:trHeight w:val="2100"/>
        </w:trPr>
        <w:tc>
          <w:tcPr>
            <w:tcW w:w="428" w:type="dxa"/>
            <w:tcBorders>
              <w:top w:val="nil"/>
              <w:left w:val="single" w:sz="4" w:space="0" w:color="auto"/>
              <w:bottom w:val="single" w:sz="4" w:space="0" w:color="auto"/>
              <w:right w:val="single" w:sz="4" w:space="0" w:color="auto"/>
            </w:tcBorders>
            <w:shd w:val="clear" w:color="auto" w:fill="auto"/>
            <w:hideMark/>
          </w:tcPr>
          <w:p w14:paraId="3936B49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E43</w:t>
            </w:r>
          </w:p>
        </w:tc>
        <w:tc>
          <w:tcPr>
            <w:tcW w:w="1127" w:type="dxa"/>
            <w:tcBorders>
              <w:top w:val="nil"/>
              <w:left w:val="nil"/>
              <w:bottom w:val="single" w:sz="4" w:space="0" w:color="auto"/>
              <w:right w:val="single" w:sz="4" w:space="0" w:color="auto"/>
            </w:tcBorders>
            <w:shd w:val="clear" w:color="auto" w:fill="auto"/>
            <w:hideMark/>
          </w:tcPr>
          <w:p w14:paraId="02BB011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Údržba města a ZÚK</w:t>
            </w:r>
          </w:p>
        </w:tc>
        <w:tc>
          <w:tcPr>
            <w:tcW w:w="2268" w:type="dxa"/>
            <w:tcBorders>
              <w:top w:val="nil"/>
              <w:left w:val="nil"/>
              <w:bottom w:val="single" w:sz="4" w:space="0" w:color="auto"/>
              <w:right w:val="single" w:sz="4" w:space="0" w:color="auto"/>
            </w:tcBorders>
            <w:shd w:val="clear" w:color="auto" w:fill="auto"/>
            <w:hideMark/>
          </w:tcPr>
          <w:p w14:paraId="5B2588F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vedení evidence zimní údržby dispečerem jednoduchým způsobem na jednom místě. Bude možné jednoduše a rychle pořídit výkony pracovníků a strojů a také spotřebu posypových materiálů.</w:t>
            </w:r>
          </w:p>
        </w:tc>
        <w:tc>
          <w:tcPr>
            <w:tcW w:w="1134" w:type="dxa"/>
            <w:tcBorders>
              <w:top w:val="nil"/>
              <w:left w:val="nil"/>
              <w:bottom w:val="single" w:sz="4" w:space="0" w:color="auto"/>
              <w:right w:val="single" w:sz="4" w:space="0" w:color="auto"/>
            </w:tcBorders>
            <w:shd w:val="clear" w:color="auto" w:fill="auto"/>
            <w:hideMark/>
          </w:tcPr>
          <w:p w14:paraId="4A04AC73"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3058892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F925AA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3CADCA4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Součástí Provozního modulu Helios pro TS je centrální formulář pro zadávání informací o průběhu zimní údržby komunikací. Na formuláři lze jednoduše a rychle pořídit výkony pracovníků a strojů a spotřeby posypových materiálů.</w:t>
            </w:r>
            <w:r w:rsidRPr="00DB3FF1">
              <w:rPr>
                <w:rFonts w:asciiTheme="minorHAnsi" w:hAnsiTheme="minorHAnsi" w:cstheme="minorHAnsi"/>
                <w:sz w:val="18"/>
                <w:szCs w:val="18"/>
              </w:rPr>
              <w:br/>
              <w:t>Na formuláři lze díle pořídit informace o průběhu služby dispečera, včetně údajů o počasí.</w:t>
            </w:r>
          </w:p>
        </w:tc>
      </w:tr>
      <w:tr w:rsidR="00C03AF4" w:rsidRPr="00DB3FF1" w14:paraId="323514A5"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20FAB1F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E44</w:t>
            </w:r>
          </w:p>
        </w:tc>
        <w:tc>
          <w:tcPr>
            <w:tcW w:w="1127" w:type="dxa"/>
            <w:tcBorders>
              <w:top w:val="nil"/>
              <w:left w:val="nil"/>
              <w:bottom w:val="single" w:sz="4" w:space="0" w:color="auto"/>
              <w:right w:val="single" w:sz="4" w:space="0" w:color="auto"/>
            </w:tcBorders>
            <w:shd w:val="clear" w:color="auto" w:fill="auto"/>
            <w:hideMark/>
          </w:tcPr>
          <w:p w14:paraId="4C8B440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15BC8EF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Jednoduchým způsobem bude možné přidat závozníky.</w:t>
            </w:r>
          </w:p>
        </w:tc>
        <w:tc>
          <w:tcPr>
            <w:tcW w:w="1134" w:type="dxa"/>
            <w:tcBorders>
              <w:top w:val="nil"/>
              <w:left w:val="nil"/>
              <w:bottom w:val="single" w:sz="4" w:space="0" w:color="auto"/>
              <w:right w:val="single" w:sz="4" w:space="0" w:color="auto"/>
            </w:tcBorders>
            <w:shd w:val="clear" w:color="auto" w:fill="auto"/>
            <w:hideMark/>
          </w:tcPr>
          <w:p w14:paraId="7DC560D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820DA0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F59ABD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6E223AC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Na formuláři pro zimní údržbu komunikací lze jednoduchým způsobem přidávat závozníky, např. pro ruční posyp z korby vozidla.</w:t>
            </w:r>
          </w:p>
        </w:tc>
      </w:tr>
      <w:tr w:rsidR="00C03AF4" w:rsidRPr="00DB3FF1" w14:paraId="184F3A0B"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3965D4A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E45</w:t>
            </w:r>
          </w:p>
        </w:tc>
        <w:tc>
          <w:tcPr>
            <w:tcW w:w="1127" w:type="dxa"/>
            <w:tcBorders>
              <w:top w:val="nil"/>
              <w:left w:val="nil"/>
              <w:bottom w:val="single" w:sz="4" w:space="0" w:color="auto"/>
              <w:right w:val="single" w:sz="4" w:space="0" w:color="auto"/>
            </w:tcBorders>
            <w:shd w:val="clear" w:color="auto" w:fill="auto"/>
            <w:hideMark/>
          </w:tcPr>
          <w:p w14:paraId="129B2AC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65C4417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Na výkazu ZÚK bude možné zapisovat poznámky, doplnit cizí práce, sledovat významné objekty, např. školy.</w:t>
            </w:r>
          </w:p>
        </w:tc>
        <w:tc>
          <w:tcPr>
            <w:tcW w:w="1134" w:type="dxa"/>
            <w:tcBorders>
              <w:top w:val="nil"/>
              <w:left w:val="nil"/>
              <w:bottom w:val="single" w:sz="4" w:space="0" w:color="auto"/>
              <w:right w:val="single" w:sz="4" w:space="0" w:color="auto"/>
            </w:tcBorders>
            <w:shd w:val="clear" w:color="auto" w:fill="auto"/>
            <w:hideMark/>
          </w:tcPr>
          <w:p w14:paraId="351189FE"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CE79B7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C449F1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F98144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Na formuláři pro zimní údržbu komunikací lze připojovat poznámky o průběhu služby dispečera, doplnit cizí práce na zimní údržbě a jednotlivé realizované úkoly lze svázat s číselník</w:t>
            </w:r>
            <w:r>
              <w:rPr>
                <w:rFonts w:asciiTheme="minorHAnsi" w:hAnsiTheme="minorHAnsi" w:cstheme="minorHAnsi"/>
                <w:sz w:val="18"/>
                <w:szCs w:val="18"/>
              </w:rPr>
              <w:t>y</w:t>
            </w:r>
            <w:r w:rsidRPr="00DB3FF1">
              <w:rPr>
                <w:rFonts w:asciiTheme="minorHAnsi" w:hAnsiTheme="minorHAnsi" w:cstheme="minorHAnsi"/>
                <w:sz w:val="18"/>
                <w:szCs w:val="18"/>
              </w:rPr>
              <w:t xml:space="preserve"> významných objektů, např. škol a školek.</w:t>
            </w:r>
          </w:p>
        </w:tc>
      </w:tr>
      <w:tr w:rsidR="00C03AF4" w:rsidRPr="00DB3FF1" w14:paraId="6C9C4B70"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327285B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E46</w:t>
            </w:r>
          </w:p>
        </w:tc>
        <w:tc>
          <w:tcPr>
            <w:tcW w:w="1127" w:type="dxa"/>
            <w:tcBorders>
              <w:top w:val="nil"/>
              <w:left w:val="nil"/>
              <w:bottom w:val="single" w:sz="4" w:space="0" w:color="auto"/>
              <w:right w:val="single" w:sz="4" w:space="0" w:color="auto"/>
            </w:tcBorders>
            <w:shd w:val="clear" w:color="auto" w:fill="auto"/>
            <w:hideMark/>
          </w:tcPr>
          <w:p w14:paraId="6E7FE55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3B8F099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Dispečer bude mít možnost připojovat k výkazu ZÚK také informace o stavu počasí.</w:t>
            </w:r>
          </w:p>
        </w:tc>
        <w:tc>
          <w:tcPr>
            <w:tcW w:w="1134" w:type="dxa"/>
            <w:tcBorders>
              <w:top w:val="nil"/>
              <w:left w:val="nil"/>
              <w:bottom w:val="single" w:sz="4" w:space="0" w:color="auto"/>
              <w:right w:val="single" w:sz="4" w:space="0" w:color="auto"/>
            </w:tcBorders>
            <w:shd w:val="clear" w:color="auto" w:fill="auto"/>
            <w:hideMark/>
          </w:tcPr>
          <w:p w14:paraId="79708401"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C850E8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78A335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BDF9D2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Přímo na formuláři pro zimní údržbu komunikací lze</w:t>
            </w:r>
            <w:r>
              <w:rPr>
                <w:rFonts w:asciiTheme="minorHAnsi" w:hAnsiTheme="minorHAnsi" w:cstheme="minorHAnsi"/>
                <w:sz w:val="18"/>
                <w:szCs w:val="18"/>
              </w:rPr>
              <w:t xml:space="preserve"> </w:t>
            </w:r>
            <w:r w:rsidRPr="00DB3FF1">
              <w:rPr>
                <w:rFonts w:asciiTheme="minorHAnsi" w:hAnsiTheme="minorHAnsi" w:cstheme="minorHAnsi"/>
                <w:sz w:val="18"/>
                <w:szCs w:val="18"/>
              </w:rPr>
              <w:t>zadávat informace o počasí v průběhu služby dispečera.</w:t>
            </w:r>
          </w:p>
        </w:tc>
      </w:tr>
      <w:tr w:rsidR="00C03AF4" w:rsidRPr="00DB3FF1" w14:paraId="06248814"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4306EDF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E47</w:t>
            </w:r>
          </w:p>
        </w:tc>
        <w:tc>
          <w:tcPr>
            <w:tcW w:w="1127" w:type="dxa"/>
            <w:tcBorders>
              <w:top w:val="nil"/>
              <w:left w:val="nil"/>
              <w:bottom w:val="single" w:sz="4" w:space="0" w:color="auto"/>
              <w:right w:val="single" w:sz="4" w:space="0" w:color="auto"/>
            </w:tcBorders>
            <w:shd w:val="clear" w:color="auto" w:fill="auto"/>
            <w:hideMark/>
          </w:tcPr>
          <w:p w14:paraId="7BE3F45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320D49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bude disponovat funkcí, která umožní rozdělit výkaz ZÚK na několik JU.</w:t>
            </w:r>
          </w:p>
        </w:tc>
        <w:tc>
          <w:tcPr>
            <w:tcW w:w="1134" w:type="dxa"/>
            <w:tcBorders>
              <w:top w:val="nil"/>
              <w:left w:val="nil"/>
              <w:bottom w:val="single" w:sz="4" w:space="0" w:color="auto"/>
              <w:right w:val="single" w:sz="4" w:space="0" w:color="auto"/>
            </w:tcBorders>
            <w:shd w:val="clear" w:color="auto" w:fill="auto"/>
            <w:hideMark/>
          </w:tcPr>
          <w:p w14:paraId="4D8886C9"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9A7B67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20EFCB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40104D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Provozním modulu Helios pro TS je k dispozici funkce, která umožní rozdělit vytvořený výkaz ZÚK na více JU.</w:t>
            </w:r>
          </w:p>
        </w:tc>
      </w:tr>
      <w:tr w:rsidR="00C03AF4" w:rsidRPr="00DB3FF1" w14:paraId="5D01CA50"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4285201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E48</w:t>
            </w:r>
          </w:p>
        </w:tc>
        <w:tc>
          <w:tcPr>
            <w:tcW w:w="1127" w:type="dxa"/>
            <w:tcBorders>
              <w:top w:val="nil"/>
              <w:left w:val="nil"/>
              <w:bottom w:val="single" w:sz="4" w:space="0" w:color="auto"/>
              <w:right w:val="single" w:sz="4" w:space="0" w:color="auto"/>
            </w:tcBorders>
            <w:shd w:val="clear" w:color="auto" w:fill="auto"/>
            <w:hideMark/>
          </w:tcPr>
          <w:p w14:paraId="082BD38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Evidence smluv</w:t>
            </w:r>
          </w:p>
        </w:tc>
        <w:tc>
          <w:tcPr>
            <w:tcW w:w="2268" w:type="dxa"/>
            <w:tcBorders>
              <w:top w:val="nil"/>
              <w:left w:val="nil"/>
              <w:bottom w:val="single" w:sz="4" w:space="0" w:color="auto"/>
              <w:right w:val="single" w:sz="4" w:space="0" w:color="auto"/>
            </w:tcBorders>
            <w:shd w:val="clear" w:color="auto" w:fill="auto"/>
            <w:hideMark/>
          </w:tcPr>
          <w:p w14:paraId="145E304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bude podporovat vedení evidence a správu smluv pro svoz komunálního odpadu i odpadu od smluvních partnerů.</w:t>
            </w:r>
          </w:p>
        </w:tc>
        <w:tc>
          <w:tcPr>
            <w:tcW w:w="1134" w:type="dxa"/>
            <w:tcBorders>
              <w:top w:val="nil"/>
              <w:left w:val="nil"/>
              <w:bottom w:val="single" w:sz="4" w:space="0" w:color="auto"/>
              <w:right w:val="single" w:sz="4" w:space="0" w:color="auto"/>
            </w:tcBorders>
            <w:shd w:val="clear" w:color="auto" w:fill="auto"/>
            <w:hideMark/>
          </w:tcPr>
          <w:p w14:paraId="7C6F6FB4"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5A1D510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1B9CD6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00A0F8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Modul Smlouvy je součástí systému Helios. Modul Smlouvy bude nastaven pro evidenci a správu smluv na svoz komunálního odpadu i odpadu od organizací.</w:t>
            </w:r>
          </w:p>
        </w:tc>
      </w:tr>
      <w:tr w:rsidR="00C03AF4" w:rsidRPr="00DB3FF1" w14:paraId="64C3DD0C"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28BB41F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E49</w:t>
            </w:r>
          </w:p>
        </w:tc>
        <w:tc>
          <w:tcPr>
            <w:tcW w:w="1127" w:type="dxa"/>
            <w:tcBorders>
              <w:top w:val="nil"/>
              <w:left w:val="nil"/>
              <w:bottom w:val="single" w:sz="4" w:space="0" w:color="auto"/>
              <w:right w:val="single" w:sz="4" w:space="0" w:color="auto"/>
            </w:tcBorders>
            <w:shd w:val="clear" w:color="auto" w:fill="auto"/>
            <w:hideMark/>
          </w:tcPr>
          <w:p w14:paraId="32DE97F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2077D20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Evidence smluv umožní spravovat základní údaje o smlouvě, údaje smluvního partnera, údaje pro časové vymezení platnosti smlouvy a finanční údaje smlouvy.</w:t>
            </w:r>
          </w:p>
        </w:tc>
        <w:tc>
          <w:tcPr>
            <w:tcW w:w="1134" w:type="dxa"/>
            <w:tcBorders>
              <w:top w:val="nil"/>
              <w:left w:val="nil"/>
              <w:bottom w:val="single" w:sz="4" w:space="0" w:color="auto"/>
              <w:right w:val="single" w:sz="4" w:space="0" w:color="auto"/>
            </w:tcBorders>
            <w:shd w:val="clear" w:color="auto" w:fill="auto"/>
            <w:hideMark/>
          </w:tcPr>
          <w:p w14:paraId="2FC0B8A6"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F787FF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1CD0E68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529197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Na Evidenčním listu smlouvy (ELS) v Helios se spravují základní údaje o smlouvě, na ELS je navázán smluvní partner z číselníku organizací, jsou uvedeny údaje časového vymezení smlouvy a celkové finanční údaje.</w:t>
            </w:r>
          </w:p>
        </w:tc>
      </w:tr>
      <w:tr w:rsidR="00C03AF4" w:rsidRPr="00DB3FF1" w14:paraId="5B07719A"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4904133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E50</w:t>
            </w:r>
          </w:p>
        </w:tc>
        <w:tc>
          <w:tcPr>
            <w:tcW w:w="1127" w:type="dxa"/>
            <w:tcBorders>
              <w:top w:val="nil"/>
              <w:left w:val="nil"/>
              <w:bottom w:val="single" w:sz="4" w:space="0" w:color="auto"/>
              <w:right w:val="single" w:sz="4" w:space="0" w:color="auto"/>
            </w:tcBorders>
            <w:shd w:val="clear" w:color="auto" w:fill="auto"/>
            <w:hideMark/>
          </w:tcPr>
          <w:p w14:paraId="3C62EAF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39DDF85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 záznamu smlouvy v systému půjde připojit elektronickou podobu smlouvy v obvyklých formátech.</w:t>
            </w:r>
          </w:p>
        </w:tc>
        <w:tc>
          <w:tcPr>
            <w:tcW w:w="1134" w:type="dxa"/>
            <w:tcBorders>
              <w:top w:val="nil"/>
              <w:left w:val="nil"/>
              <w:bottom w:val="single" w:sz="4" w:space="0" w:color="auto"/>
              <w:right w:val="single" w:sz="4" w:space="0" w:color="auto"/>
            </w:tcBorders>
            <w:shd w:val="clear" w:color="auto" w:fill="auto"/>
            <w:hideMark/>
          </w:tcPr>
          <w:p w14:paraId="138C7121"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DDCC4D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977913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2B0ADE8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 ELS lze v Helios připojit externí dokument = elektronickou podobu smlouvy ve formátech, se kterým se obvykl</w:t>
            </w:r>
            <w:r>
              <w:rPr>
                <w:rFonts w:asciiTheme="minorHAnsi" w:hAnsiTheme="minorHAnsi" w:cstheme="minorHAnsi"/>
                <w:sz w:val="18"/>
                <w:szCs w:val="18"/>
              </w:rPr>
              <w:t>e</w:t>
            </w:r>
            <w:r w:rsidRPr="00DB3FF1">
              <w:rPr>
                <w:rFonts w:asciiTheme="minorHAnsi" w:hAnsiTheme="minorHAnsi" w:cstheme="minorHAnsi"/>
                <w:sz w:val="18"/>
                <w:szCs w:val="18"/>
              </w:rPr>
              <w:t xml:space="preserve"> pracuje v MS Windows.</w:t>
            </w:r>
          </w:p>
        </w:tc>
      </w:tr>
      <w:tr w:rsidR="00C03AF4" w:rsidRPr="00DB3FF1" w14:paraId="77421647" w14:textId="77777777" w:rsidTr="000F2E84">
        <w:trPr>
          <w:trHeight w:val="3000"/>
        </w:trPr>
        <w:tc>
          <w:tcPr>
            <w:tcW w:w="428" w:type="dxa"/>
            <w:tcBorders>
              <w:top w:val="nil"/>
              <w:left w:val="single" w:sz="4" w:space="0" w:color="auto"/>
              <w:bottom w:val="single" w:sz="4" w:space="0" w:color="auto"/>
              <w:right w:val="single" w:sz="4" w:space="0" w:color="auto"/>
            </w:tcBorders>
            <w:shd w:val="clear" w:color="auto" w:fill="auto"/>
            <w:hideMark/>
          </w:tcPr>
          <w:p w14:paraId="479E004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E51</w:t>
            </w:r>
          </w:p>
        </w:tc>
        <w:tc>
          <w:tcPr>
            <w:tcW w:w="1127" w:type="dxa"/>
            <w:tcBorders>
              <w:top w:val="nil"/>
              <w:left w:val="nil"/>
              <w:bottom w:val="single" w:sz="4" w:space="0" w:color="auto"/>
              <w:right w:val="single" w:sz="4" w:space="0" w:color="auto"/>
            </w:tcBorders>
            <w:shd w:val="clear" w:color="auto" w:fill="auto"/>
            <w:hideMark/>
          </w:tcPr>
          <w:p w14:paraId="137C994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2E100BB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Ke smlouvě systém umožní vytvořit její platební kalendáře. Přímo z platebního kalendáře půjde vystavit fakturu vydanou.</w:t>
            </w:r>
          </w:p>
        </w:tc>
        <w:tc>
          <w:tcPr>
            <w:tcW w:w="1134" w:type="dxa"/>
            <w:tcBorders>
              <w:top w:val="nil"/>
              <w:left w:val="nil"/>
              <w:bottom w:val="single" w:sz="4" w:space="0" w:color="auto"/>
              <w:right w:val="single" w:sz="4" w:space="0" w:color="auto"/>
            </w:tcBorders>
            <w:shd w:val="clear" w:color="auto" w:fill="auto"/>
            <w:hideMark/>
          </w:tcPr>
          <w:p w14:paraId="389E0854"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21B255B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18FD14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55BA12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 ELS lze v Helios rozepsat množinu platebních kalendářů podle rozložení plateb konkrétní smlouvy. Množství platebních kalendářů není omeze</w:t>
            </w:r>
            <w:r>
              <w:rPr>
                <w:rFonts w:asciiTheme="minorHAnsi" w:hAnsiTheme="minorHAnsi" w:cstheme="minorHAnsi"/>
                <w:sz w:val="18"/>
                <w:szCs w:val="18"/>
              </w:rPr>
              <w:t>n</w:t>
            </w:r>
            <w:r w:rsidRPr="00DB3FF1">
              <w:rPr>
                <w:rFonts w:asciiTheme="minorHAnsi" w:hAnsiTheme="minorHAnsi" w:cstheme="minorHAnsi"/>
                <w:sz w:val="18"/>
                <w:szCs w:val="18"/>
              </w:rPr>
              <w:t>o.</w:t>
            </w:r>
            <w:r w:rsidRPr="00DB3FF1">
              <w:rPr>
                <w:rFonts w:asciiTheme="minorHAnsi" w:hAnsiTheme="minorHAnsi" w:cstheme="minorHAnsi"/>
                <w:sz w:val="18"/>
                <w:szCs w:val="18"/>
              </w:rPr>
              <w:br/>
              <w:t>Jsou k dispozici funkce, které zjednodušují tv</w:t>
            </w:r>
            <w:r>
              <w:rPr>
                <w:rFonts w:asciiTheme="minorHAnsi" w:hAnsiTheme="minorHAnsi" w:cstheme="minorHAnsi"/>
                <w:sz w:val="18"/>
                <w:szCs w:val="18"/>
              </w:rPr>
              <w:t>o</w:t>
            </w:r>
            <w:r w:rsidRPr="00DB3FF1">
              <w:rPr>
                <w:rFonts w:asciiTheme="minorHAnsi" w:hAnsiTheme="minorHAnsi" w:cstheme="minorHAnsi"/>
                <w:sz w:val="18"/>
                <w:szCs w:val="18"/>
              </w:rPr>
              <w:t>rbu platebních kalendářů pro obvyklé případy = jeden PK nebo čtvrtletní fakturace.</w:t>
            </w:r>
            <w:r w:rsidRPr="00DB3FF1">
              <w:rPr>
                <w:rFonts w:asciiTheme="minorHAnsi" w:hAnsiTheme="minorHAnsi" w:cstheme="minorHAnsi"/>
                <w:sz w:val="18"/>
                <w:szCs w:val="18"/>
              </w:rPr>
              <w:br/>
              <w:t>Nad záznamem Platebního kalendáře je k dispozici funkce, která vytvoří fakturu - přijatou pro závazkové smlouvy a vydanou pro pohledávkové smlouvy. Funkce vytvořenou fakturu sváže s PK.</w:t>
            </w:r>
          </w:p>
        </w:tc>
      </w:tr>
      <w:tr w:rsidR="00C03AF4" w:rsidRPr="00DB3FF1" w14:paraId="7792329A" w14:textId="77777777" w:rsidTr="000F2E84">
        <w:trPr>
          <w:trHeight w:val="1800"/>
        </w:trPr>
        <w:tc>
          <w:tcPr>
            <w:tcW w:w="428" w:type="dxa"/>
            <w:tcBorders>
              <w:top w:val="nil"/>
              <w:left w:val="single" w:sz="4" w:space="0" w:color="auto"/>
              <w:bottom w:val="single" w:sz="4" w:space="0" w:color="auto"/>
              <w:right w:val="single" w:sz="4" w:space="0" w:color="auto"/>
            </w:tcBorders>
            <w:shd w:val="clear" w:color="auto" w:fill="auto"/>
            <w:hideMark/>
          </w:tcPr>
          <w:p w14:paraId="3D5D9C14"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E52</w:t>
            </w:r>
          </w:p>
        </w:tc>
        <w:tc>
          <w:tcPr>
            <w:tcW w:w="1127" w:type="dxa"/>
            <w:tcBorders>
              <w:top w:val="nil"/>
              <w:left w:val="nil"/>
              <w:bottom w:val="single" w:sz="4" w:space="0" w:color="auto"/>
              <w:right w:val="single" w:sz="4" w:space="0" w:color="auto"/>
            </w:tcBorders>
            <w:shd w:val="clear" w:color="auto" w:fill="auto"/>
            <w:hideMark/>
          </w:tcPr>
          <w:p w14:paraId="4B396F8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757853B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poskytne uživateli na záznamu smlouvy přehled o platebních kalendářích a o vystavených fakturách.</w:t>
            </w:r>
          </w:p>
        </w:tc>
        <w:tc>
          <w:tcPr>
            <w:tcW w:w="1134" w:type="dxa"/>
            <w:tcBorders>
              <w:top w:val="nil"/>
              <w:left w:val="nil"/>
              <w:bottom w:val="single" w:sz="4" w:space="0" w:color="auto"/>
              <w:right w:val="single" w:sz="4" w:space="0" w:color="auto"/>
            </w:tcBorders>
            <w:shd w:val="clear" w:color="auto" w:fill="auto"/>
            <w:hideMark/>
          </w:tcPr>
          <w:p w14:paraId="2430DD90"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1B0B2C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72C86C5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DF127D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Platební kalendáře jsou v Helios svázány s Evidenčními listy "svých" smluv. Faktury lze navazovat přímo na ELS nebo v případě tvorby faktur z PK se vztah mezi PK a fakturou přenese do vztahu na ELS.</w:t>
            </w:r>
            <w:r w:rsidRPr="00DB3FF1">
              <w:rPr>
                <w:rFonts w:asciiTheme="minorHAnsi" w:hAnsiTheme="minorHAnsi" w:cstheme="minorHAnsi"/>
                <w:sz w:val="18"/>
                <w:szCs w:val="18"/>
              </w:rPr>
              <w:br/>
              <w:t>Seznamy PK a faktur jsou viditelné ze záložky evidenčního listu smlouvy.</w:t>
            </w:r>
          </w:p>
        </w:tc>
      </w:tr>
      <w:tr w:rsidR="00C03AF4" w:rsidRPr="00DB3FF1" w14:paraId="6DBF1741"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3EAC336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E53</w:t>
            </w:r>
          </w:p>
        </w:tc>
        <w:tc>
          <w:tcPr>
            <w:tcW w:w="1127" w:type="dxa"/>
            <w:tcBorders>
              <w:top w:val="nil"/>
              <w:left w:val="nil"/>
              <w:bottom w:val="single" w:sz="4" w:space="0" w:color="auto"/>
              <w:right w:val="single" w:sz="4" w:space="0" w:color="auto"/>
            </w:tcBorders>
            <w:shd w:val="clear" w:color="auto" w:fill="auto"/>
            <w:hideMark/>
          </w:tcPr>
          <w:p w14:paraId="6F3DFBF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Fakturace prací</w:t>
            </w:r>
          </w:p>
        </w:tc>
        <w:tc>
          <w:tcPr>
            <w:tcW w:w="2268" w:type="dxa"/>
            <w:tcBorders>
              <w:top w:val="nil"/>
              <w:left w:val="nil"/>
              <w:bottom w:val="single" w:sz="4" w:space="0" w:color="auto"/>
              <w:right w:val="single" w:sz="4" w:space="0" w:color="auto"/>
            </w:tcBorders>
            <w:shd w:val="clear" w:color="auto" w:fill="auto"/>
            <w:hideMark/>
          </w:tcPr>
          <w:p w14:paraId="37F8405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na základě provozní evidence k NS nebo JU vytvořit Soupis provedených prací a fakturu vydanou, která bude mít v položkách uvedeny jednotlivé dílčí pracovní úkony podle provozní evidence.</w:t>
            </w:r>
          </w:p>
        </w:tc>
        <w:tc>
          <w:tcPr>
            <w:tcW w:w="1134" w:type="dxa"/>
            <w:tcBorders>
              <w:top w:val="nil"/>
              <w:left w:val="nil"/>
              <w:bottom w:val="single" w:sz="4" w:space="0" w:color="auto"/>
              <w:right w:val="single" w:sz="4" w:space="0" w:color="auto"/>
            </w:tcBorders>
            <w:shd w:val="clear" w:color="auto" w:fill="auto"/>
            <w:hideMark/>
          </w:tcPr>
          <w:p w14:paraId="49C9557F"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BE1C7B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2FB6DA5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4E3444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Provozním modulu Helios pro TS je k dispozici funkce, která umožní nad JU nebo NS vytvořit podklad k fakturaci.</w:t>
            </w:r>
            <w:r w:rsidRPr="00DB3FF1">
              <w:rPr>
                <w:rFonts w:asciiTheme="minorHAnsi" w:hAnsiTheme="minorHAnsi" w:cstheme="minorHAnsi"/>
                <w:sz w:val="18"/>
                <w:szCs w:val="18"/>
              </w:rPr>
              <w:br/>
              <w:t>Požadavek na vytvoření faktury vydané s položkami, kde budou uvedeny jednotlivé dílčí realizované pracovní úkony.</w:t>
            </w:r>
          </w:p>
        </w:tc>
      </w:tr>
      <w:tr w:rsidR="00C03AF4" w:rsidRPr="00DB3FF1" w14:paraId="1AE932EF"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56EC130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E54</w:t>
            </w:r>
          </w:p>
        </w:tc>
        <w:tc>
          <w:tcPr>
            <w:tcW w:w="1127" w:type="dxa"/>
            <w:tcBorders>
              <w:top w:val="nil"/>
              <w:left w:val="nil"/>
              <w:bottom w:val="single" w:sz="4" w:space="0" w:color="auto"/>
              <w:right w:val="single" w:sz="4" w:space="0" w:color="auto"/>
            </w:tcBorders>
            <w:shd w:val="clear" w:color="auto" w:fill="auto"/>
            <w:hideMark/>
          </w:tcPr>
          <w:p w14:paraId="39A385B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514D3C2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Ceny se do faktury vydané převezmou z aktuálně platného ceníku prací.</w:t>
            </w:r>
          </w:p>
        </w:tc>
        <w:tc>
          <w:tcPr>
            <w:tcW w:w="1134" w:type="dxa"/>
            <w:tcBorders>
              <w:top w:val="nil"/>
              <w:left w:val="nil"/>
              <w:bottom w:val="single" w:sz="4" w:space="0" w:color="auto"/>
              <w:right w:val="single" w:sz="4" w:space="0" w:color="auto"/>
            </w:tcBorders>
            <w:shd w:val="clear" w:color="auto" w:fill="auto"/>
            <w:hideMark/>
          </w:tcPr>
          <w:p w14:paraId="1B08B3DA"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hideMark/>
          </w:tcPr>
          <w:p w14:paraId="37E88152"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1134" w:type="dxa"/>
            <w:tcBorders>
              <w:top w:val="nil"/>
              <w:left w:val="nil"/>
              <w:bottom w:val="single" w:sz="4" w:space="0" w:color="auto"/>
              <w:right w:val="single" w:sz="4" w:space="0" w:color="auto"/>
            </w:tcBorders>
            <w:shd w:val="clear" w:color="auto" w:fill="auto"/>
            <w:hideMark/>
          </w:tcPr>
          <w:p w14:paraId="6DB5F96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792EFE9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Ceny jednotlivých dílčích pracovních úkonů doplní na položky faktury vydané automaticky funkce pro tvorbu FV</w:t>
            </w:r>
            <w:r>
              <w:rPr>
                <w:rFonts w:asciiTheme="minorHAnsi" w:hAnsiTheme="minorHAnsi" w:cstheme="minorHAnsi"/>
                <w:sz w:val="18"/>
                <w:szCs w:val="18"/>
              </w:rPr>
              <w:t xml:space="preserve"> </w:t>
            </w:r>
            <w:r w:rsidRPr="00DB3FF1">
              <w:rPr>
                <w:rFonts w:asciiTheme="minorHAnsi" w:hAnsiTheme="minorHAnsi" w:cstheme="minorHAnsi"/>
                <w:sz w:val="18"/>
                <w:szCs w:val="18"/>
              </w:rPr>
              <w:t>z aktuálně platného číselníku prací.</w:t>
            </w:r>
          </w:p>
        </w:tc>
      </w:tr>
      <w:tr w:rsidR="00C03AF4" w:rsidRPr="00DB3FF1" w14:paraId="6ECEFD9C" w14:textId="77777777" w:rsidTr="000F2E84">
        <w:trPr>
          <w:trHeight w:val="1200"/>
        </w:trPr>
        <w:tc>
          <w:tcPr>
            <w:tcW w:w="428" w:type="dxa"/>
            <w:tcBorders>
              <w:top w:val="nil"/>
              <w:left w:val="single" w:sz="4" w:space="0" w:color="auto"/>
              <w:bottom w:val="single" w:sz="4" w:space="0" w:color="auto"/>
              <w:right w:val="single" w:sz="4" w:space="0" w:color="auto"/>
            </w:tcBorders>
            <w:shd w:val="clear" w:color="auto" w:fill="auto"/>
            <w:hideMark/>
          </w:tcPr>
          <w:p w14:paraId="7F53B31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E55</w:t>
            </w:r>
          </w:p>
        </w:tc>
        <w:tc>
          <w:tcPr>
            <w:tcW w:w="1127" w:type="dxa"/>
            <w:tcBorders>
              <w:top w:val="nil"/>
              <w:left w:val="nil"/>
              <w:bottom w:val="single" w:sz="4" w:space="0" w:color="auto"/>
              <w:right w:val="single" w:sz="4" w:space="0" w:color="auto"/>
            </w:tcBorders>
            <w:shd w:val="clear" w:color="auto" w:fill="auto"/>
            <w:hideMark/>
          </w:tcPr>
          <w:p w14:paraId="490A895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Kalkulace nákladů</w:t>
            </w:r>
          </w:p>
        </w:tc>
        <w:tc>
          <w:tcPr>
            <w:tcW w:w="2268" w:type="dxa"/>
            <w:tcBorders>
              <w:top w:val="nil"/>
              <w:left w:val="nil"/>
              <w:bottom w:val="single" w:sz="4" w:space="0" w:color="auto"/>
              <w:right w:val="single" w:sz="4" w:space="0" w:color="auto"/>
            </w:tcBorders>
            <w:shd w:val="clear" w:color="auto" w:fill="auto"/>
            <w:hideMark/>
          </w:tcPr>
          <w:p w14:paraId="3444B97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provádět měsíčně rozúčtování správní režie do provozních režií ostatních středisek. Rozvrhovací základnou budou vyplacené mzdy na střediscích.</w:t>
            </w:r>
          </w:p>
        </w:tc>
        <w:tc>
          <w:tcPr>
            <w:tcW w:w="1134" w:type="dxa"/>
            <w:tcBorders>
              <w:top w:val="nil"/>
              <w:left w:val="nil"/>
              <w:bottom w:val="single" w:sz="4" w:space="0" w:color="auto"/>
              <w:right w:val="single" w:sz="4" w:space="0" w:color="auto"/>
            </w:tcBorders>
            <w:shd w:val="clear" w:color="auto" w:fill="auto"/>
            <w:hideMark/>
          </w:tcPr>
          <w:p w14:paraId="4B8C97D2"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6BA941F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575438B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5510566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Součástí Helios pro TS je komplexní funkčnost pro Kalkulace. Její součástí je funkce pro rozúčtování správní režie do provozních režií ostatních útvarů. Rozvrhovací základnou budou vyplacené mzdy na střediscích.</w:t>
            </w:r>
          </w:p>
        </w:tc>
      </w:tr>
      <w:tr w:rsidR="00C03AF4" w:rsidRPr="00DB3FF1" w14:paraId="65184A79" w14:textId="77777777" w:rsidTr="000F2E84">
        <w:trPr>
          <w:trHeight w:val="2400"/>
        </w:trPr>
        <w:tc>
          <w:tcPr>
            <w:tcW w:w="428" w:type="dxa"/>
            <w:tcBorders>
              <w:top w:val="nil"/>
              <w:left w:val="single" w:sz="4" w:space="0" w:color="auto"/>
              <w:bottom w:val="single" w:sz="4" w:space="0" w:color="auto"/>
              <w:right w:val="single" w:sz="4" w:space="0" w:color="auto"/>
            </w:tcBorders>
            <w:shd w:val="clear" w:color="auto" w:fill="auto"/>
            <w:hideMark/>
          </w:tcPr>
          <w:p w14:paraId="15E44E3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E56</w:t>
            </w:r>
          </w:p>
        </w:tc>
        <w:tc>
          <w:tcPr>
            <w:tcW w:w="1127" w:type="dxa"/>
            <w:tcBorders>
              <w:top w:val="nil"/>
              <w:left w:val="nil"/>
              <w:bottom w:val="single" w:sz="4" w:space="0" w:color="auto"/>
              <w:right w:val="single" w:sz="4" w:space="0" w:color="auto"/>
            </w:tcBorders>
            <w:shd w:val="clear" w:color="auto" w:fill="auto"/>
            <w:hideMark/>
          </w:tcPr>
          <w:p w14:paraId="7299A09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AB3CB4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provádět měsíčně rozúčtování provozní režie středisek na JU a NS.</w:t>
            </w:r>
            <w:r w:rsidRPr="00DB3FF1">
              <w:rPr>
                <w:rFonts w:asciiTheme="minorHAnsi" w:hAnsiTheme="minorHAnsi" w:cstheme="minorHAnsi"/>
                <w:sz w:val="18"/>
                <w:szCs w:val="18"/>
              </w:rPr>
              <w:br/>
              <w:t>Pro náklady strojů tvoří rozvrhovací základnu počty ujetých km.</w:t>
            </w:r>
            <w:r w:rsidRPr="00DB3FF1">
              <w:rPr>
                <w:rFonts w:asciiTheme="minorHAnsi" w:hAnsiTheme="minorHAnsi" w:cstheme="minorHAnsi"/>
                <w:sz w:val="18"/>
                <w:szCs w:val="18"/>
              </w:rPr>
              <w:br/>
              <w:t>Pro náklady pracovníků tvoří rozvrhovací základu počty odpracovaných hodin.</w:t>
            </w:r>
          </w:p>
        </w:tc>
        <w:tc>
          <w:tcPr>
            <w:tcW w:w="1134" w:type="dxa"/>
            <w:tcBorders>
              <w:top w:val="nil"/>
              <w:left w:val="nil"/>
              <w:bottom w:val="single" w:sz="4" w:space="0" w:color="auto"/>
              <w:right w:val="single" w:sz="4" w:space="0" w:color="auto"/>
            </w:tcBorders>
            <w:shd w:val="clear" w:color="auto" w:fill="auto"/>
            <w:hideMark/>
          </w:tcPr>
          <w:p w14:paraId="2E8A42A1"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92ADA2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4C00D952"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579E0AF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Součástí komplexní funkčnosti pro Kalkulace v Helios pro TS je také funkce pro rozúčtování provozních režií středisek na JU a NS.</w:t>
            </w:r>
            <w:r w:rsidRPr="00DB3FF1">
              <w:rPr>
                <w:rFonts w:asciiTheme="minorHAnsi" w:hAnsiTheme="minorHAnsi" w:cstheme="minorHAnsi"/>
                <w:sz w:val="18"/>
                <w:szCs w:val="18"/>
              </w:rPr>
              <w:br/>
              <w:t>Pro rozúčtování nákladů strojů se použijí jako rozvrhovací základna počty ujetých km.</w:t>
            </w:r>
            <w:r w:rsidRPr="00DB3FF1">
              <w:rPr>
                <w:rFonts w:asciiTheme="minorHAnsi" w:hAnsiTheme="minorHAnsi" w:cstheme="minorHAnsi"/>
                <w:sz w:val="18"/>
                <w:szCs w:val="18"/>
              </w:rPr>
              <w:br/>
              <w:t>Pro rozúčtování nákladů pracovníků se použijí počty odpracovaných hodin. Variantně lze použít vyplacené mzdy.</w:t>
            </w:r>
          </w:p>
        </w:tc>
      </w:tr>
      <w:tr w:rsidR="00C03AF4" w:rsidRPr="00DB3FF1" w14:paraId="5C4C46AB" w14:textId="77777777" w:rsidTr="000F2E84">
        <w:trPr>
          <w:trHeight w:val="2700"/>
        </w:trPr>
        <w:tc>
          <w:tcPr>
            <w:tcW w:w="428" w:type="dxa"/>
            <w:tcBorders>
              <w:top w:val="nil"/>
              <w:left w:val="single" w:sz="4" w:space="0" w:color="auto"/>
              <w:bottom w:val="single" w:sz="4" w:space="0" w:color="auto"/>
              <w:right w:val="single" w:sz="4" w:space="0" w:color="auto"/>
            </w:tcBorders>
            <w:shd w:val="clear" w:color="auto" w:fill="auto"/>
            <w:hideMark/>
          </w:tcPr>
          <w:p w14:paraId="6FEDF77E"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E57</w:t>
            </w:r>
          </w:p>
        </w:tc>
        <w:tc>
          <w:tcPr>
            <w:tcW w:w="1127" w:type="dxa"/>
            <w:tcBorders>
              <w:top w:val="nil"/>
              <w:left w:val="nil"/>
              <w:bottom w:val="single" w:sz="4" w:space="0" w:color="auto"/>
              <w:right w:val="single" w:sz="4" w:space="0" w:color="auto"/>
            </w:tcBorders>
            <w:shd w:val="clear" w:color="auto" w:fill="auto"/>
            <w:hideMark/>
          </w:tcPr>
          <w:p w14:paraId="173CA06D"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BE32E9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provádět měsíčně rozúčtování nerozlišených nákladů na hlavní a vedlejší činnost.</w:t>
            </w:r>
            <w:r w:rsidRPr="00DB3FF1">
              <w:rPr>
                <w:rFonts w:asciiTheme="minorHAnsi" w:hAnsiTheme="minorHAnsi" w:cstheme="minorHAnsi"/>
                <w:sz w:val="18"/>
                <w:szCs w:val="18"/>
              </w:rPr>
              <w:br/>
              <w:t>Pro nerozlišené náklady strojů tvoří rozvrhovací základu počty ujetých km na NS pro hlavní a pro vedlejší činnost.</w:t>
            </w:r>
            <w:r w:rsidRPr="00DB3FF1">
              <w:rPr>
                <w:rFonts w:asciiTheme="minorHAnsi" w:hAnsiTheme="minorHAnsi" w:cstheme="minorHAnsi"/>
                <w:sz w:val="18"/>
                <w:szCs w:val="18"/>
              </w:rPr>
              <w:br/>
              <w:t xml:space="preserve">Pro ostatní nerozlišené náklady tvoří rozvrhovací základnu poměr odpracovaných hodin pracovníků každého střediska na NS pro hlavní a vedlejší činnost. </w:t>
            </w:r>
          </w:p>
        </w:tc>
        <w:tc>
          <w:tcPr>
            <w:tcW w:w="1134" w:type="dxa"/>
            <w:tcBorders>
              <w:top w:val="nil"/>
              <w:left w:val="nil"/>
              <w:bottom w:val="single" w:sz="4" w:space="0" w:color="auto"/>
              <w:right w:val="single" w:sz="4" w:space="0" w:color="auto"/>
            </w:tcBorders>
            <w:shd w:val="clear" w:color="auto" w:fill="auto"/>
            <w:hideMark/>
          </w:tcPr>
          <w:p w14:paraId="25804602"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450A6FB3"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3C6C0FF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18ADBD8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Součástí komplexní funkčnosti pro Kalkulace v Helios pro TS je také funkce pro rozúčtování nerozlišených nákladů na hlavní a vedlejší činnost.</w:t>
            </w:r>
            <w:r w:rsidRPr="00DB3FF1">
              <w:rPr>
                <w:rFonts w:asciiTheme="minorHAnsi" w:hAnsiTheme="minorHAnsi" w:cstheme="minorHAnsi"/>
                <w:sz w:val="18"/>
                <w:szCs w:val="18"/>
              </w:rPr>
              <w:br/>
              <w:t>Pro rozúčtování nerozlišených nákladů strojů se použijí počty ujetých km na NS pro Hlavní a pro Vedlejší činnost.</w:t>
            </w:r>
            <w:r w:rsidRPr="00DB3FF1">
              <w:rPr>
                <w:rFonts w:asciiTheme="minorHAnsi" w:hAnsiTheme="minorHAnsi" w:cstheme="minorHAnsi"/>
                <w:sz w:val="18"/>
                <w:szCs w:val="18"/>
              </w:rPr>
              <w:br/>
              <w:t>Pro rozúčtování ostatních nerozlišených nákladů se použije rozvrhovací základna = počty odpracovaných hodin pracovníky střediska na NS pro Hlavní nebo pro Vedlejší činnost.</w:t>
            </w:r>
          </w:p>
        </w:tc>
      </w:tr>
      <w:tr w:rsidR="00C03AF4" w:rsidRPr="00DB3FF1" w14:paraId="438B3D06" w14:textId="77777777" w:rsidTr="000F2E84">
        <w:trPr>
          <w:trHeight w:val="900"/>
        </w:trPr>
        <w:tc>
          <w:tcPr>
            <w:tcW w:w="428" w:type="dxa"/>
            <w:tcBorders>
              <w:top w:val="nil"/>
              <w:left w:val="single" w:sz="4" w:space="0" w:color="auto"/>
              <w:bottom w:val="single" w:sz="4" w:space="0" w:color="auto"/>
              <w:right w:val="single" w:sz="4" w:space="0" w:color="auto"/>
            </w:tcBorders>
            <w:shd w:val="clear" w:color="auto" w:fill="auto"/>
            <w:hideMark/>
          </w:tcPr>
          <w:p w14:paraId="7540068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E58</w:t>
            </w:r>
          </w:p>
        </w:tc>
        <w:tc>
          <w:tcPr>
            <w:tcW w:w="1127" w:type="dxa"/>
            <w:tcBorders>
              <w:top w:val="nil"/>
              <w:left w:val="nil"/>
              <w:bottom w:val="single" w:sz="4" w:space="0" w:color="auto"/>
              <w:right w:val="single" w:sz="4" w:space="0" w:color="auto"/>
            </w:tcBorders>
            <w:shd w:val="clear" w:color="auto" w:fill="auto"/>
            <w:hideMark/>
          </w:tcPr>
          <w:p w14:paraId="3447654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Ceník prací</w:t>
            </w:r>
          </w:p>
        </w:tc>
        <w:tc>
          <w:tcPr>
            <w:tcW w:w="2268" w:type="dxa"/>
            <w:tcBorders>
              <w:top w:val="nil"/>
              <w:left w:val="nil"/>
              <w:bottom w:val="single" w:sz="4" w:space="0" w:color="auto"/>
              <w:right w:val="single" w:sz="4" w:space="0" w:color="auto"/>
            </w:tcBorders>
            <w:shd w:val="clear" w:color="auto" w:fill="auto"/>
            <w:hideMark/>
          </w:tcPr>
          <w:p w14:paraId="32050E90"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systému bude umožněno spravovat Ceník prací.</w:t>
            </w:r>
          </w:p>
        </w:tc>
        <w:tc>
          <w:tcPr>
            <w:tcW w:w="1134" w:type="dxa"/>
            <w:tcBorders>
              <w:top w:val="nil"/>
              <w:left w:val="nil"/>
              <w:bottom w:val="single" w:sz="4" w:space="0" w:color="auto"/>
              <w:right w:val="single" w:sz="4" w:space="0" w:color="auto"/>
            </w:tcBorders>
            <w:shd w:val="clear" w:color="auto" w:fill="auto"/>
            <w:hideMark/>
          </w:tcPr>
          <w:p w14:paraId="070C85E1"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0678BAD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60A59DF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4CAA7D0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V Provozním modulu Helios pro TS je k dispozici třída ceník prací, které slouží ke správě ceníků prací pro účely fakturace.</w:t>
            </w:r>
          </w:p>
        </w:tc>
      </w:tr>
      <w:tr w:rsidR="00C03AF4" w:rsidRPr="00DB3FF1" w14:paraId="19CC74AB" w14:textId="77777777" w:rsidTr="000F2E84">
        <w:trPr>
          <w:trHeight w:val="1500"/>
        </w:trPr>
        <w:tc>
          <w:tcPr>
            <w:tcW w:w="428" w:type="dxa"/>
            <w:tcBorders>
              <w:top w:val="nil"/>
              <w:left w:val="single" w:sz="4" w:space="0" w:color="auto"/>
              <w:bottom w:val="single" w:sz="4" w:space="0" w:color="auto"/>
              <w:right w:val="single" w:sz="4" w:space="0" w:color="auto"/>
            </w:tcBorders>
            <w:shd w:val="clear" w:color="auto" w:fill="auto"/>
            <w:hideMark/>
          </w:tcPr>
          <w:p w14:paraId="4FB0F3F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E59</w:t>
            </w:r>
          </w:p>
        </w:tc>
        <w:tc>
          <w:tcPr>
            <w:tcW w:w="1127" w:type="dxa"/>
            <w:tcBorders>
              <w:top w:val="nil"/>
              <w:left w:val="nil"/>
              <w:bottom w:val="single" w:sz="4" w:space="0" w:color="auto"/>
              <w:right w:val="single" w:sz="4" w:space="0" w:color="auto"/>
            </w:tcBorders>
            <w:shd w:val="clear" w:color="auto" w:fill="auto"/>
            <w:hideMark/>
          </w:tcPr>
          <w:p w14:paraId="528BE39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Reporty</w:t>
            </w:r>
          </w:p>
        </w:tc>
        <w:tc>
          <w:tcPr>
            <w:tcW w:w="2268" w:type="dxa"/>
            <w:tcBorders>
              <w:top w:val="nil"/>
              <w:left w:val="nil"/>
              <w:bottom w:val="single" w:sz="4" w:space="0" w:color="auto"/>
              <w:right w:val="single" w:sz="4" w:space="0" w:color="auto"/>
            </w:tcBorders>
            <w:shd w:val="clear" w:color="auto" w:fill="auto"/>
            <w:hideMark/>
          </w:tcPr>
          <w:p w14:paraId="5BA796D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zpracování přehledů o nákladech středisek, NS a JU.</w:t>
            </w:r>
            <w:r w:rsidRPr="00DB3FF1">
              <w:rPr>
                <w:rFonts w:asciiTheme="minorHAnsi" w:hAnsiTheme="minorHAnsi" w:cstheme="minorHAnsi"/>
                <w:sz w:val="18"/>
                <w:szCs w:val="18"/>
              </w:rPr>
              <w:br/>
              <w:t xml:space="preserve">Základní členění bude na přímé náklady NS a JU, náklady prací pracovníků, náklady prací strojů, externí náklady. Možnost porovnání </w:t>
            </w:r>
            <w:r w:rsidRPr="00DB3FF1">
              <w:rPr>
                <w:rFonts w:asciiTheme="minorHAnsi" w:hAnsiTheme="minorHAnsi" w:cstheme="minorHAnsi"/>
                <w:sz w:val="18"/>
                <w:szCs w:val="18"/>
              </w:rPr>
              <w:lastRenderedPageBreak/>
              <w:t>na skutečnosti minulého roku a na plán (rozpočet) NS.</w:t>
            </w:r>
          </w:p>
        </w:tc>
        <w:tc>
          <w:tcPr>
            <w:tcW w:w="1134" w:type="dxa"/>
            <w:tcBorders>
              <w:top w:val="nil"/>
              <w:left w:val="nil"/>
              <w:bottom w:val="single" w:sz="4" w:space="0" w:color="auto"/>
              <w:right w:val="single" w:sz="4" w:space="0" w:color="auto"/>
            </w:tcBorders>
            <w:shd w:val="clear" w:color="auto" w:fill="auto"/>
            <w:hideMark/>
          </w:tcPr>
          <w:p w14:paraId="47526E4D"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lastRenderedPageBreak/>
              <w:t>ANO</w:t>
            </w:r>
          </w:p>
        </w:tc>
        <w:tc>
          <w:tcPr>
            <w:tcW w:w="850" w:type="dxa"/>
            <w:tcBorders>
              <w:top w:val="nil"/>
              <w:left w:val="nil"/>
              <w:bottom w:val="single" w:sz="4" w:space="0" w:color="auto"/>
              <w:right w:val="single" w:sz="4" w:space="0" w:color="auto"/>
            </w:tcBorders>
            <w:shd w:val="clear" w:color="auto" w:fill="auto"/>
            <w:hideMark/>
          </w:tcPr>
          <w:p w14:paraId="405E62A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7FFB82F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6EDC7048"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xml:space="preserve">V Helios pro TS je k dispozici sada reportů určených k získání přehledů o nákladech. Pro získání přehledu o nákladech NS a JU v členění na přímé náklady a na náklady pracovníků a strojů jsou k dispozici reporty nad účetním deníkem, doplněné </w:t>
            </w:r>
            <w:r w:rsidRPr="00DB3FF1">
              <w:rPr>
                <w:rFonts w:asciiTheme="minorHAnsi" w:hAnsiTheme="minorHAnsi" w:cstheme="minorHAnsi"/>
                <w:sz w:val="18"/>
                <w:szCs w:val="18"/>
              </w:rPr>
              <w:lastRenderedPageBreak/>
              <w:t>provozními údaji z modulu Provoz.</w:t>
            </w:r>
          </w:p>
        </w:tc>
      </w:tr>
      <w:tr w:rsidR="00C03AF4" w:rsidRPr="00DB3FF1" w14:paraId="6C5E8C63" w14:textId="77777777" w:rsidTr="000F2E84">
        <w:trPr>
          <w:trHeight w:val="600"/>
        </w:trPr>
        <w:tc>
          <w:tcPr>
            <w:tcW w:w="428" w:type="dxa"/>
            <w:tcBorders>
              <w:top w:val="nil"/>
              <w:left w:val="single" w:sz="4" w:space="0" w:color="auto"/>
              <w:bottom w:val="single" w:sz="4" w:space="0" w:color="auto"/>
              <w:right w:val="single" w:sz="4" w:space="0" w:color="auto"/>
            </w:tcBorders>
            <w:shd w:val="clear" w:color="auto" w:fill="auto"/>
            <w:hideMark/>
          </w:tcPr>
          <w:p w14:paraId="53A476FF"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lastRenderedPageBreak/>
              <w:t>E60</w:t>
            </w:r>
          </w:p>
        </w:tc>
        <w:tc>
          <w:tcPr>
            <w:tcW w:w="1127" w:type="dxa"/>
            <w:tcBorders>
              <w:top w:val="nil"/>
              <w:left w:val="nil"/>
              <w:bottom w:val="single" w:sz="4" w:space="0" w:color="auto"/>
              <w:right w:val="single" w:sz="4" w:space="0" w:color="auto"/>
            </w:tcBorders>
            <w:shd w:val="clear" w:color="auto" w:fill="auto"/>
            <w:hideMark/>
          </w:tcPr>
          <w:p w14:paraId="6775FB4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343619E1"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umožní vytvářet čtvrtletní reporty pro zřizovatele.</w:t>
            </w:r>
          </w:p>
        </w:tc>
        <w:tc>
          <w:tcPr>
            <w:tcW w:w="1134" w:type="dxa"/>
            <w:tcBorders>
              <w:top w:val="nil"/>
              <w:left w:val="nil"/>
              <w:bottom w:val="single" w:sz="4" w:space="0" w:color="auto"/>
              <w:right w:val="single" w:sz="4" w:space="0" w:color="auto"/>
            </w:tcBorders>
            <w:shd w:val="clear" w:color="auto" w:fill="auto"/>
            <w:hideMark/>
          </w:tcPr>
          <w:p w14:paraId="1A8B97F8"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7851C6A7"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743EF26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2DE6051A"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Čtvrtletní reporty pro zřizovatele budou vytvořeny podle specifikace zadavatele v průb</w:t>
            </w:r>
            <w:r>
              <w:rPr>
                <w:rFonts w:asciiTheme="minorHAnsi" w:hAnsiTheme="minorHAnsi" w:cstheme="minorHAnsi"/>
                <w:sz w:val="18"/>
                <w:szCs w:val="18"/>
              </w:rPr>
              <w:t>ě</w:t>
            </w:r>
            <w:r w:rsidRPr="00DB3FF1">
              <w:rPr>
                <w:rFonts w:asciiTheme="minorHAnsi" w:hAnsiTheme="minorHAnsi" w:cstheme="minorHAnsi"/>
                <w:sz w:val="18"/>
                <w:szCs w:val="18"/>
              </w:rPr>
              <w:t>hu implement</w:t>
            </w:r>
            <w:r>
              <w:rPr>
                <w:rFonts w:asciiTheme="minorHAnsi" w:hAnsiTheme="minorHAnsi" w:cstheme="minorHAnsi"/>
                <w:sz w:val="18"/>
                <w:szCs w:val="18"/>
              </w:rPr>
              <w:t>a</w:t>
            </w:r>
            <w:r w:rsidRPr="00DB3FF1">
              <w:rPr>
                <w:rFonts w:asciiTheme="minorHAnsi" w:hAnsiTheme="minorHAnsi" w:cstheme="minorHAnsi"/>
                <w:sz w:val="18"/>
                <w:szCs w:val="18"/>
              </w:rPr>
              <w:t>ce systému.</w:t>
            </w:r>
          </w:p>
        </w:tc>
      </w:tr>
      <w:tr w:rsidR="00C03AF4" w:rsidRPr="00DB3FF1" w14:paraId="7507B1A7" w14:textId="77777777" w:rsidTr="000F2E84">
        <w:trPr>
          <w:trHeight w:val="851"/>
        </w:trPr>
        <w:tc>
          <w:tcPr>
            <w:tcW w:w="428" w:type="dxa"/>
            <w:tcBorders>
              <w:top w:val="nil"/>
              <w:left w:val="single" w:sz="4" w:space="0" w:color="auto"/>
              <w:bottom w:val="single" w:sz="4" w:space="0" w:color="auto"/>
              <w:right w:val="single" w:sz="4" w:space="0" w:color="auto"/>
            </w:tcBorders>
            <w:shd w:val="clear" w:color="auto" w:fill="auto"/>
            <w:hideMark/>
          </w:tcPr>
          <w:p w14:paraId="023C98EC"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E61</w:t>
            </w:r>
          </w:p>
        </w:tc>
        <w:tc>
          <w:tcPr>
            <w:tcW w:w="1127" w:type="dxa"/>
            <w:tcBorders>
              <w:top w:val="nil"/>
              <w:left w:val="nil"/>
              <w:bottom w:val="single" w:sz="4" w:space="0" w:color="auto"/>
              <w:right w:val="single" w:sz="4" w:space="0" w:color="auto"/>
            </w:tcBorders>
            <w:shd w:val="clear" w:color="auto" w:fill="auto"/>
            <w:hideMark/>
          </w:tcPr>
          <w:p w14:paraId="69C33906"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268" w:type="dxa"/>
            <w:tcBorders>
              <w:top w:val="nil"/>
              <w:left w:val="nil"/>
              <w:bottom w:val="single" w:sz="4" w:space="0" w:color="auto"/>
              <w:right w:val="single" w:sz="4" w:space="0" w:color="auto"/>
            </w:tcBorders>
            <w:shd w:val="clear" w:color="auto" w:fill="auto"/>
            <w:hideMark/>
          </w:tcPr>
          <w:p w14:paraId="016F8A3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Systém bude disponovat nástrojem pro tvorbu reportů, který umožní zadavateli vytvářet další reporty podle vznikajících požadavků.</w:t>
            </w:r>
          </w:p>
        </w:tc>
        <w:tc>
          <w:tcPr>
            <w:tcW w:w="1134" w:type="dxa"/>
            <w:tcBorders>
              <w:top w:val="nil"/>
              <w:left w:val="nil"/>
              <w:bottom w:val="single" w:sz="4" w:space="0" w:color="auto"/>
              <w:right w:val="single" w:sz="4" w:space="0" w:color="auto"/>
            </w:tcBorders>
            <w:shd w:val="clear" w:color="auto" w:fill="auto"/>
            <w:hideMark/>
          </w:tcPr>
          <w:p w14:paraId="2F16A4E5" w14:textId="77777777" w:rsidR="00C03AF4" w:rsidRPr="00DB3FF1" w:rsidRDefault="00C03AF4" w:rsidP="000F2E84">
            <w:pPr>
              <w:jc w:val="center"/>
              <w:rPr>
                <w:rFonts w:asciiTheme="minorHAnsi" w:hAnsiTheme="minorHAnsi" w:cstheme="minorHAnsi"/>
                <w:sz w:val="18"/>
                <w:szCs w:val="18"/>
              </w:rPr>
            </w:pPr>
            <w:r w:rsidRPr="00DB3FF1">
              <w:rPr>
                <w:rFonts w:asciiTheme="minorHAnsi" w:hAnsiTheme="minorHAnsi" w:cstheme="minorHAnsi"/>
                <w:sz w:val="18"/>
                <w:szCs w:val="18"/>
              </w:rPr>
              <w:t>ANO</w:t>
            </w:r>
          </w:p>
        </w:tc>
        <w:tc>
          <w:tcPr>
            <w:tcW w:w="850" w:type="dxa"/>
            <w:tcBorders>
              <w:top w:val="nil"/>
              <w:left w:val="nil"/>
              <w:bottom w:val="single" w:sz="4" w:space="0" w:color="auto"/>
              <w:right w:val="single" w:sz="4" w:space="0" w:color="auto"/>
            </w:tcBorders>
            <w:shd w:val="clear" w:color="auto" w:fill="auto"/>
            <w:hideMark/>
          </w:tcPr>
          <w:p w14:paraId="12C0A629"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1134" w:type="dxa"/>
            <w:tcBorders>
              <w:top w:val="nil"/>
              <w:left w:val="nil"/>
              <w:bottom w:val="single" w:sz="4" w:space="0" w:color="auto"/>
              <w:right w:val="single" w:sz="4" w:space="0" w:color="auto"/>
            </w:tcBorders>
            <w:shd w:val="clear" w:color="auto" w:fill="auto"/>
            <w:hideMark/>
          </w:tcPr>
          <w:p w14:paraId="03B31E05"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 </w:t>
            </w:r>
          </w:p>
        </w:tc>
        <w:tc>
          <w:tcPr>
            <w:tcW w:w="2552" w:type="dxa"/>
            <w:tcBorders>
              <w:top w:val="nil"/>
              <w:left w:val="nil"/>
              <w:bottom w:val="single" w:sz="4" w:space="0" w:color="auto"/>
              <w:right w:val="single" w:sz="4" w:space="0" w:color="auto"/>
            </w:tcBorders>
            <w:shd w:val="clear" w:color="auto" w:fill="auto"/>
            <w:hideMark/>
          </w:tcPr>
          <w:p w14:paraId="09935A9B" w14:textId="77777777" w:rsidR="00C03AF4" w:rsidRPr="00DB3FF1" w:rsidRDefault="00C03AF4" w:rsidP="000F2E84">
            <w:pPr>
              <w:rPr>
                <w:rFonts w:asciiTheme="minorHAnsi" w:hAnsiTheme="minorHAnsi" w:cstheme="minorHAnsi"/>
                <w:sz w:val="18"/>
                <w:szCs w:val="18"/>
              </w:rPr>
            </w:pPr>
            <w:r w:rsidRPr="00DB3FF1">
              <w:rPr>
                <w:rFonts w:asciiTheme="minorHAnsi" w:hAnsiTheme="minorHAnsi" w:cstheme="minorHAnsi"/>
                <w:sz w:val="18"/>
                <w:szCs w:val="18"/>
              </w:rPr>
              <w:t>Součástí Helios jsou nástroje pro tv</w:t>
            </w:r>
            <w:r>
              <w:rPr>
                <w:rFonts w:asciiTheme="minorHAnsi" w:hAnsiTheme="minorHAnsi" w:cstheme="minorHAnsi"/>
                <w:sz w:val="18"/>
                <w:szCs w:val="18"/>
              </w:rPr>
              <w:t>o</w:t>
            </w:r>
            <w:r w:rsidRPr="00DB3FF1">
              <w:rPr>
                <w:rFonts w:asciiTheme="minorHAnsi" w:hAnsiTheme="minorHAnsi" w:cstheme="minorHAnsi"/>
                <w:sz w:val="18"/>
                <w:szCs w:val="18"/>
              </w:rPr>
              <w:t>rbu reportů.</w:t>
            </w:r>
            <w:r w:rsidRPr="00DB3FF1">
              <w:rPr>
                <w:rFonts w:asciiTheme="minorHAnsi" w:hAnsiTheme="minorHAnsi" w:cstheme="minorHAnsi"/>
                <w:sz w:val="18"/>
                <w:szCs w:val="18"/>
              </w:rPr>
              <w:br/>
              <w:t>Je k dispozici Generátor šablon, který umožňuje uživateli vytvářet přehledové reporty nad třídami s využitím vztahů mezi třídami Helios podle datového modelu Helios. Nástroj může použít každý uživatel.</w:t>
            </w:r>
            <w:r w:rsidRPr="00DB3FF1">
              <w:rPr>
                <w:rFonts w:asciiTheme="minorHAnsi" w:hAnsiTheme="minorHAnsi" w:cstheme="minorHAnsi"/>
                <w:sz w:val="18"/>
                <w:szCs w:val="18"/>
              </w:rPr>
              <w:br/>
              <w:t>Dále je k dispozici reproting se sadou reportů pro TS, které jsou vytvořeny v reporting Services. V Helios pro TS je připravena datová pumpa, která se stará o plnění datového skladu, nad kterým jsou reporty postaveny.</w:t>
            </w:r>
          </w:p>
        </w:tc>
      </w:tr>
    </w:tbl>
    <w:p w14:paraId="1359FE74" w14:textId="77777777" w:rsidR="00C03AF4" w:rsidRPr="00C03AF4" w:rsidRDefault="00C03AF4" w:rsidP="00C03AF4"/>
    <w:p w14:paraId="6C7D1D15" w14:textId="77777777" w:rsidR="00C03AF4" w:rsidRPr="00C03AF4" w:rsidRDefault="00C03AF4" w:rsidP="00C03AF4"/>
    <w:p w14:paraId="0123CD47" w14:textId="77777777" w:rsidR="00811614" w:rsidRDefault="00811614">
      <w:pPr>
        <w:rPr>
          <w:rFonts w:ascii="Verdana" w:eastAsia="Times New Roman" w:hAnsi="Verdana" w:cs="Arial"/>
          <w:b/>
          <w:bCs/>
          <w:kern w:val="28"/>
          <w:sz w:val="32"/>
          <w:szCs w:val="32"/>
          <w:lang w:eastAsia="cs-CZ"/>
        </w:rPr>
      </w:pPr>
      <w:r>
        <w:br w:type="page"/>
      </w:r>
    </w:p>
    <w:p w14:paraId="34F22B0F" w14:textId="28F056C2" w:rsidR="00C03AF4" w:rsidRDefault="00C03AF4" w:rsidP="00C03AF4">
      <w:pPr>
        <w:pStyle w:val="Nzev"/>
      </w:pPr>
      <w:bookmarkStart w:id="17" w:name="_Toc79487383"/>
      <w:r w:rsidRPr="005D6FD9">
        <w:lastRenderedPageBreak/>
        <w:t>Příloha</w:t>
      </w:r>
      <w:r w:rsidR="00811614">
        <w:t xml:space="preserve"> č.</w:t>
      </w:r>
      <w:r w:rsidRPr="005D6FD9">
        <w:t xml:space="preserve"> </w:t>
      </w:r>
      <w:r w:rsidR="0000755C">
        <w:t>6</w:t>
      </w:r>
      <w:r w:rsidRPr="005D6FD9">
        <w:t xml:space="preserve"> </w:t>
      </w:r>
      <w:r w:rsidR="00486D40">
        <w:t>Požadavky zadavatele na smlouvu</w:t>
      </w:r>
      <w:bookmarkEnd w:id="17"/>
    </w:p>
    <w:p w14:paraId="65E51E51" w14:textId="77777777" w:rsidR="00486D40" w:rsidRPr="00C01BC2" w:rsidRDefault="00486D40" w:rsidP="00486D40">
      <w:pPr>
        <w:pStyle w:val="Akce"/>
      </w:pPr>
      <w:r>
        <w:t>U</w:t>
      </w:r>
      <w:r w:rsidRPr="00C01BC2">
        <w:t>jednání obecně závazných právních předpisů podle požadavků zadavatele ze ZD</w:t>
      </w:r>
    </w:p>
    <w:p w14:paraId="21C8EF8E"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Služby poskytované v souladu se smlouvou budou prováděny kvalifikovanou osobou odpovídající nárokům na požadované služby. </w:t>
      </w:r>
    </w:p>
    <w:p w14:paraId="349AE42B"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je povinen provést implementaci systému v termínech dle Harmonogramu nasazení systému, který je přílohou smlouvy. </w:t>
      </w:r>
    </w:p>
    <w:p w14:paraId="35300756"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V případě prodlení dodavatele s provedením implementace systému v termínech dle Harmonogramu nasazení systému (nasazení systému do ostrého provozu) je dodavatel povinen zaplatit zadavateli smluvní pokutu ve výši 0,5% z celkové ceny včetně DPH za </w:t>
      </w:r>
      <w:r w:rsidRPr="00EC5C0A">
        <w:rPr>
          <w:rFonts w:ascii="Calibri" w:hAnsi="Calibri" w:cs="Calibri"/>
          <w:color w:val="auto"/>
        </w:rPr>
        <w:t>každý i započatý den prodlení. Zaplacením smluvní pokuty není dotčen nárok zadavatele na náhradu škody převyšující smluvní pokutu</w:t>
      </w:r>
    </w:p>
    <w:p w14:paraId="0E962D2F"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Zadavatel si vyhrazuje právo odstoupit od smlouvy v případě, kdy dodavatel závažným způsobem poruší smluvní podmínky. Za závažné porušení smluvních podmínek se považuje zejména opakované neposkytnutí dílčího plnění (jednotlivé etapy) v požadovaném rozsahu a kvalitě. </w:t>
      </w:r>
    </w:p>
    <w:p w14:paraId="32502DBB"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Zadavatel je oprávněn odstoupit od smlouvy v případě, že po provedení Analýzy bude zjištěno, že předmět smlouvy nebude moci být poskytnut v souladu se smlouvou tak, aby mohl být zadavatelem použit k zamýšlenému účelu - v takovém případě není zadavatel povinen dodavateli za provedení Analýzy nic platit. Zadavatel je rovněž oprávněn smlouvu bez udání důvodu vypovědět do deseti dnů ode dne předání Analýzy - v takovém případě smlouva skončí doručením výpovědi dodavateli a zadavatel je povinen zaplatit dodavateli za Analýzu nejvýše 5 % celkové ceny dle smlouvy. Výpovědí smlouvy přechází na zadavatele vlastnické právo k Analýze a jejím výsledkům a dodavatel není oprávněn tyto použít pro sebe ani pro jakoukoliv třetí osobu. </w:t>
      </w:r>
    </w:p>
    <w:p w14:paraId="48F7279D"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Předání jednotlivých milníků implementace systému dle Harmonogramu nasazení systému bude provedeno formou akceptačního řízení, k němuž je dodavatel povinen zadavatele pozvat nejméně tři pracovní dny předem. Úspěšné předání příslušného milníku bude potvrzeno v akceptačním protokolu, který musí být podepsán oběma smluvními stranami. Dodavatel je povinen provádět nejméně jednou za čtrnáct dnů tzv. kontrolní dny za účasti pověřeného zástupce zadavatele, a to buď v sídle zadavatele, nebo prostřednictvím videokonferencí. Při kontrolních dnech bude ověřován průběh plnění smlouvy. V případě, že při kontrolním dni budou zjištěny vady v postupu plnění smlouvy, a dodavatel nesjedná nápravu dle pokynů zadavatele ani do deseti dnů od příslušného kontrolního dne, je zadavatel oprávněn od této smlouvy odstoupit. Dokončení etapy přípravy a nasazení systému (ostrý provoz) bude potvrzeno v předávacím protokolu podepsaném oběma smluvními stranami, v němž budou uvedeny vady a nedodělky a termíny pro jejich odstranění. O odstranění vad a nedodělků bude smluvními stranami sepsán protokol. </w:t>
      </w:r>
    </w:p>
    <w:p w14:paraId="4CB79337"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je podle ustanovení § 2 písm. e) zákona č. 320/2001 Sb., o finanční kontrole ve veřejné správě a o změně některých zákonů, ve znění pozdějších předpisů, osobou povinnou spolupůsobit při výkonu finanční kontroly prováděné v souvislosti s úhradou služeb z veřejných výdajů. </w:t>
      </w:r>
    </w:p>
    <w:p w14:paraId="39979560"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lastRenderedPageBreak/>
        <w:t xml:space="preserve">Práva a povinnosti smluvních stran se řídí právem ČR, předpisy upravujícími obchodní závazkové vztahy. Místně příslušným soudem pro řešení sporů z této smlouvy je okresní soud v Pelhřimově. </w:t>
      </w:r>
    </w:p>
    <w:p w14:paraId="074A490A"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musí potvrdit, že se zaváže, že bude chránit a utajovat před třetími osobami důvěrné informace a skutečnosti tvořící obchodní tajemství, které si byly vzájemně stranami poskytnuty v rámci tohoto obchodního případu, nebo při běžném obchodním styku. Obchodní tajemství tvoří veškeré skutečnosti a informace obchodní, výrobní či technické povahy, pokud nejsou v příslušných obchodních kruzích zcela běžně dostupné, nebo nejde o skutečnosti všeobecně známé. </w:t>
      </w:r>
    </w:p>
    <w:p w14:paraId="47E0AAD9"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musí potvrdit, že závazek ochrany utajení trvá po celou dobu trvání skutečností tvořící obchodní tajemství. Jestliže si strany při obchodním styku vzájemně poskytnou informace tvořící obchodní tajemství, nebo označené jako důvěrné, nesmí strana, které byly tyto informace poskytnuty, je prozradit třetí osobě, ani je použít v rozporu s jejich účelem pro své potřeby. </w:t>
      </w:r>
    </w:p>
    <w:p w14:paraId="110712BD"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musí potvrdit, že akceptuje povinnost k náhradě škody vzniklé druhé straně a ke smluvní pokutě 50.000,- Kč za každé jednotlivé porušení povinnosti ochrany důvěrných informací a obchodního tajemství uvedené v tomto článku. Tím není dotčena hmotná a trestní odpovědnost fyzických osob, které za smluvní stranu jednaly a závazek ochrany utajení nedodržely. </w:t>
      </w:r>
    </w:p>
    <w:p w14:paraId="57669036"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ručí za veškeré škody způsobené v důsledku porušení smluvních závazků dodavatele a škody, které vzniknou porušením kázně dodavatele, nebo z nedbalosti. </w:t>
      </w:r>
    </w:p>
    <w:p w14:paraId="14B74043"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odpovídá v celém rozsahu za škody, které zavinil v přímé souvislosti s plněním předmětu veřejné zakázky. </w:t>
      </w:r>
    </w:p>
    <w:p w14:paraId="5528F93E"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Zaplacením náhrady škody se dodavatel nezbavuje zodpovědnosti za splnění smluvních závazků. </w:t>
      </w:r>
    </w:p>
    <w:p w14:paraId="1FEEB47D"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Zadavatel uhradí dodavateli cenu poskytnutých služeb po dokončení etapy přípravy a nasazení systému (ostrý provoz), a to na základě faktury vystavené dodavatelem a doručené zadavateli, která musí mít náležitosti účetního a daňového dokladu; přílohou faktury bude předávací protokol k dokončení etapy přípravy a nasazení systému (ostrý provoz). Splatnost faktury činí 21 dnů. Vystavený daňový doklad musí obsahovat následující text čestného prohlášení: „</w:t>
      </w:r>
      <w:r w:rsidRPr="00EC5C0A">
        <w:rPr>
          <w:rFonts w:ascii="Calibri" w:hAnsi="Calibri" w:cs="Calibri"/>
          <w:b/>
          <w:bCs/>
        </w:rPr>
        <w:t>Vystavitel tohoto daňového dokladu čestně prohlašuje, že není v insolvenčním ani obdobném řízení, a zavazuje se zde vyčíslenou DPH uhradit včas a řádně příslušnému správci daně</w:t>
      </w:r>
      <w:r w:rsidRPr="00EC5C0A">
        <w:rPr>
          <w:rFonts w:ascii="Calibri" w:hAnsi="Calibri" w:cs="Calibri"/>
        </w:rPr>
        <w:t xml:space="preserve">“. Prohlášení musí být uvedeno nad závěrečnou signaci dokladu nebo musí být znovu podepsáno. </w:t>
      </w:r>
    </w:p>
    <w:p w14:paraId="238EE7A5"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Zadavatel uhradí dodavateli fakturu pouze do výše 80 % , přičemž 20 % z výše vystavené faktury bude použito jako zádržné.</w:t>
      </w:r>
    </w:p>
    <w:p w14:paraId="3C595C50"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Zadavatel uhradí dodavateli zádržné do čtrnácti dnů po odstranění vad a nedodělků, nejdříve však po první měsíční účetní závěrce následující po dokončení etapy přípravy a nasazení systému (ostrý provoz). Proti pohledávce dodavatele na zaplacení zádržného je zadavatel oprávněn jednostranně započítat náklady na odstranění vad a nedodělků a náklady na odstranění vad poskytnutých služeb v případě, že tyto nebudou řádně a včas odstraněny </w:t>
      </w:r>
      <w:r w:rsidRPr="00EC5C0A">
        <w:rPr>
          <w:rFonts w:ascii="Calibri" w:hAnsi="Calibri" w:cs="Calibri"/>
        </w:rPr>
        <w:lastRenderedPageBreak/>
        <w:t xml:space="preserve">dodavatelem, jakož i smluvní pokutu za prodlení dodavatele s odstraněním vad a nedodělků a s odstraněním vad poskytnutých služeb, a to i v případě, že tyto pohledávky zadavatele nebudou ke dni započtení splatné. </w:t>
      </w:r>
    </w:p>
    <w:p w14:paraId="4B374BD1"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poskytuje záruku za jakost poskytnutého plnění v délce trvání nejméně 48 měsíců. Záruční doba začne běžet dnem dokončení etapy přípravy a nasazení systému (ostrý provoz). Zadavatel je oprávněn vady reklamovat telefonicky, faxem, písemně nebo elektronickou poštou. Dodavatel je povinen reklamované vady odstranit nejpozději do 2 pracovních dnů od okamžiku obdržení reklamace, jedná-li se o vady, které znemožňují provoz systému, jinak do 10 pracovních dnů od okamžiku obdržení reklamace, nedohodnou-li se strany jinak. </w:t>
      </w:r>
    </w:p>
    <w:p w14:paraId="23647A34"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V případě prodlení dodavatele s odstraněním reklamovaných vad je dodavatel povinen zaplatit zadavateli smluvní pokutu ve výši 1.000,00 Kč za každý i započatý den prodlení s jejich odstraněním. </w:t>
      </w:r>
    </w:p>
    <w:p w14:paraId="60B0D83B"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odpovídá zadavateli za to, že poskytnutím plnění dle smlouvy a jeho užíváním nedojde k porušení autorských práv jakékoliv třetí osoby. </w:t>
      </w:r>
    </w:p>
    <w:p w14:paraId="7B644A3D" w14:textId="77777777" w:rsidR="00486D40" w:rsidRPr="00EC5C0A" w:rsidRDefault="00486D40" w:rsidP="00EC5C0A">
      <w:pPr>
        <w:pStyle w:val="Odrka1"/>
        <w:numPr>
          <w:ilvl w:val="0"/>
          <w:numId w:val="22"/>
        </w:numPr>
        <w:spacing w:after="180"/>
        <w:ind w:left="714" w:hanging="357"/>
        <w:rPr>
          <w:rFonts w:ascii="Calibri" w:hAnsi="Calibri" w:cs="Calibri"/>
        </w:rPr>
      </w:pPr>
      <w:r w:rsidRPr="00EC5C0A">
        <w:rPr>
          <w:rFonts w:ascii="Calibri" w:hAnsi="Calibri" w:cs="Calibri"/>
        </w:rPr>
        <w:t xml:space="preserve">Dodavatel smlouvou poskytuje zadavateli licenci a práva k užívání informačního systému. Dodavatel prohlašuje a zaručuje zadavateli, že vykonává veškerá majetková práva k Informačnímu systému zcela v souladu se zákonem č. 121/2000 Sb., o právu autorském, o právech souvisejících s právem autorským a o změně některých zákonů, ve znění pozdějších předpisů. Dodavatel dále prohlašuje, že je oprávněn poskytovat podlicenci k těm částem informačního systému, k nimž náleží majetková práva třetích stran, a to na základě smluvních vztahů s těmito třetími stranami dle autorského zákona. </w:t>
      </w:r>
    </w:p>
    <w:p w14:paraId="40B6D524" w14:textId="77777777" w:rsidR="00C03AF4" w:rsidRDefault="00C03AF4" w:rsidP="00C03AF4"/>
    <w:p w14:paraId="411BA397" w14:textId="77777777" w:rsidR="00C03AF4" w:rsidRDefault="00C03AF4" w:rsidP="00C03AF4"/>
    <w:p w14:paraId="5C5FA5B4" w14:textId="77777777" w:rsidR="00C03AF4" w:rsidRPr="00384FF5" w:rsidRDefault="00C03AF4" w:rsidP="00C03AF4">
      <w:pPr>
        <w:spacing w:after="120"/>
        <w:rPr>
          <w:rFonts w:ascii="Verdana" w:hAnsi="Verdana"/>
          <w:b/>
        </w:rPr>
      </w:pPr>
    </w:p>
    <w:p w14:paraId="2362B0F5" w14:textId="77777777" w:rsidR="00D90586" w:rsidRDefault="00D90586" w:rsidP="00705BF3"/>
    <w:p w14:paraId="00AA3F84" w14:textId="77777777" w:rsidR="00523ABB" w:rsidRDefault="00523ABB" w:rsidP="00705BF3"/>
    <w:p w14:paraId="7869F07D" w14:textId="77777777" w:rsidR="00523ABB" w:rsidRDefault="00523ABB" w:rsidP="00705BF3"/>
    <w:bookmarkEnd w:id="0"/>
    <w:p w14:paraId="04B8D133" w14:textId="77777777" w:rsidR="00705BF3" w:rsidRPr="00705BF3" w:rsidRDefault="00705BF3" w:rsidP="00705BF3"/>
    <w:sectPr w:rsidR="00705BF3" w:rsidRPr="00705BF3" w:rsidSect="008D3817">
      <w:footerReference w:type="default" r:id="rId9"/>
      <w:headerReference w:type="first" r:id="rId10"/>
      <w:pgSz w:w="11906" w:h="16838"/>
      <w:pgMar w:top="1417" w:right="1417" w:bottom="1417" w:left="1417" w:header="79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C500" w14:textId="77777777" w:rsidR="00C92952" w:rsidRDefault="00C92952" w:rsidP="00447BF5">
      <w:r>
        <w:separator/>
      </w:r>
    </w:p>
  </w:endnote>
  <w:endnote w:type="continuationSeparator" w:id="0">
    <w:p w14:paraId="2A2F7708" w14:textId="77777777" w:rsidR="00C92952" w:rsidRDefault="00C92952" w:rsidP="00447BF5">
      <w:r>
        <w:continuationSeparator/>
      </w:r>
    </w:p>
  </w:endnote>
  <w:endnote w:type="continuationNotice" w:id="1">
    <w:p w14:paraId="74570828" w14:textId="77777777" w:rsidR="00C92952" w:rsidRDefault="00C92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orpo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332864"/>
      <w:docPartObj>
        <w:docPartGallery w:val="Page Numbers (Bottom of Page)"/>
        <w:docPartUnique/>
      </w:docPartObj>
    </w:sdtPr>
    <w:sdtEndPr/>
    <w:sdtContent>
      <w:p w14:paraId="2DCE618C" w14:textId="0831E948" w:rsidR="00FD2188" w:rsidRDefault="00FD2188">
        <w:pPr>
          <w:pStyle w:val="Bezmezer"/>
          <w:jc w:val="right"/>
        </w:pPr>
        <w:r>
          <w:fldChar w:fldCharType="begin"/>
        </w:r>
        <w:r>
          <w:instrText>PAGE</w:instrText>
        </w:r>
        <w:r>
          <w:fldChar w:fldCharType="separate"/>
        </w:r>
        <w:r>
          <w:t>2</w:t>
        </w:r>
        <w:r>
          <w:fldChar w:fldCharType="end"/>
        </w:r>
      </w:p>
    </w:sdtContent>
  </w:sdt>
  <w:p w14:paraId="4E3B1446" w14:textId="4917B6D8" w:rsidR="00EA1CC6" w:rsidRDefault="00EA1CC6">
    <w:pPr>
      <w:pStyle w:val="Bezmez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A287" w14:textId="77777777" w:rsidR="00C92952" w:rsidRDefault="00C92952" w:rsidP="00447BF5">
      <w:r>
        <w:separator/>
      </w:r>
    </w:p>
  </w:footnote>
  <w:footnote w:type="continuationSeparator" w:id="0">
    <w:p w14:paraId="3C19A447" w14:textId="77777777" w:rsidR="00C92952" w:rsidRDefault="00C92952" w:rsidP="00447BF5">
      <w:r>
        <w:continuationSeparator/>
      </w:r>
    </w:p>
  </w:footnote>
  <w:footnote w:type="continuationNotice" w:id="1">
    <w:p w14:paraId="6A659A87" w14:textId="77777777" w:rsidR="00C92952" w:rsidRDefault="00C92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3C9A" w14:textId="77777777" w:rsidR="004C33FB" w:rsidRPr="00865624" w:rsidRDefault="004C33FB" w:rsidP="004C33FB">
    <w:pPr>
      <w:pStyle w:val="Zhlav"/>
      <w:tabs>
        <w:tab w:val="clear" w:pos="4536"/>
        <w:tab w:val="center" w:pos="2268"/>
      </w:tabs>
      <w:jc w:val="right"/>
      <w:rPr>
        <w:b/>
        <w:i/>
        <w:sz w:val="20"/>
        <w:szCs w:val="20"/>
      </w:rPr>
    </w:pPr>
    <w:r>
      <w:rPr>
        <w:b/>
        <w:i/>
        <w:sz w:val="20"/>
        <w:szCs w:val="20"/>
      </w:rPr>
      <w:t>Koncept Hradec Králové</w:t>
    </w:r>
    <w:r w:rsidRPr="00865624">
      <w:rPr>
        <w:b/>
        <w:i/>
        <w:sz w:val="20"/>
        <w:szCs w:val="20"/>
      </w:rPr>
      <w:t>, s.</w:t>
    </w:r>
    <w:r>
      <w:rPr>
        <w:b/>
        <w:i/>
        <w:sz w:val="20"/>
        <w:szCs w:val="20"/>
      </w:rPr>
      <w:t>r.o.</w:t>
    </w:r>
  </w:p>
  <w:p w14:paraId="3072B165" w14:textId="77777777" w:rsidR="004C33FB" w:rsidRPr="00865624" w:rsidRDefault="004C33FB" w:rsidP="004C33FB">
    <w:pPr>
      <w:pStyle w:val="Zhlav"/>
      <w:tabs>
        <w:tab w:val="clear" w:pos="4536"/>
        <w:tab w:val="center" w:pos="2268"/>
      </w:tabs>
      <w:jc w:val="right"/>
      <w:rPr>
        <w:sz w:val="20"/>
        <w:szCs w:val="20"/>
      </w:rPr>
    </w:pPr>
    <w:r w:rsidRPr="00865624">
      <w:rPr>
        <w:i/>
        <w:sz w:val="20"/>
        <w:szCs w:val="20"/>
      </w:rPr>
      <w:t xml:space="preserve">Smlouva </w:t>
    </w:r>
    <w:r>
      <w:rPr>
        <w:i/>
        <w:sz w:val="20"/>
        <w:szCs w:val="20"/>
      </w:rPr>
      <w:t>o dodávce HELIOS Nephrite</w:t>
    </w:r>
  </w:p>
  <w:p w14:paraId="61D0AF0D" w14:textId="77777777" w:rsidR="004C33FB" w:rsidRDefault="004C33FB" w:rsidP="004C33F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E17478"/>
    <w:multiLevelType w:val="hybridMultilevel"/>
    <w:tmpl w:val="BE3337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CA76CD36"/>
    <w:lvl w:ilvl="0">
      <w:start w:val="1"/>
      <w:numFmt w:val="decimal"/>
      <w:pStyle w:val="Datum"/>
      <w:lvlText w:val="%1."/>
      <w:lvlJc w:val="left"/>
      <w:pPr>
        <w:tabs>
          <w:tab w:val="num" w:pos="1209"/>
        </w:tabs>
        <w:ind w:left="1209" w:hanging="360"/>
      </w:pPr>
    </w:lvl>
  </w:abstractNum>
  <w:abstractNum w:abstractNumId="2" w15:restartNumberingAfterBreak="0">
    <w:nsid w:val="FFFFFF7E"/>
    <w:multiLevelType w:val="singleLevel"/>
    <w:tmpl w:val="3ABA45FA"/>
    <w:lvl w:ilvl="0">
      <w:start w:val="1"/>
      <w:numFmt w:val="decimal"/>
      <w:pStyle w:val="slovanseznam5"/>
      <w:lvlText w:val="%1."/>
      <w:lvlJc w:val="left"/>
      <w:pPr>
        <w:tabs>
          <w:tab w:val="num" w:pos="926"/>
        </w:tabs>
        <w:ind w:left="926" w:hanging="360"/>
      </w:pPr>
    </w:lvl>
  </w:abstractNum>
  <w:abstractNum w:abstractNumId="3" w15:restartNumberingAfterBreak="0">
    <w:nsid w:val="FFFFFF7F"/>
    <w:multiLevelType w:val="singleLevel"/>
    <w:tmpl w:val="16FC331E"/>
    <w:lvl w:ilvl="0">
      <w:start w:val="1"/>
      <w:numFmt w:val="decimal"/>
      <w:pStyle w:val="slovanseznam4"/>
      <w:lvlText w:val="%1."/>
      <w:lvlJc w:val="left"/>
      <w:pPr>
        <w:tabs>
          <w:tab w:val="num" w:pos="643"/>
        </w:tabs>
        <w:ind w:left="643" w:hanging="360"/>
      </w:pPr>
    </w:lvl>
  </w:abstractNum>
  <w:abstractNum w:abstractNumId="4" w15:restartNumberingAfterBreak="0">
    <w:nsid w:val="FFFFFF83"/>
    <w:multiLevelType w:val="singleLevel"/>
    <w:tmpl w:val="F5D0E8A4"/>
    <w:lvl w:ilvl="0">
      <w:start w:val="1"/>
      <w:numFmt w:val="bullet"/>
      <w:pStyle w:val="Seznamsodrkami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FF071F4"/>
    <w:lvl w:ilvl="0">
      <w:start w:val="1"/>
      <w:numFmt w:val="decimal"/>
      <w:pStyle w:val="slovanseznam3"/>
      <w:lvlText w:val="%1."/>
      <w:lvlJc w:val="left"/>
      <w:pPr>
        <w:tabs>
          <w:tab w:val="num" w:pos="360"/>
        </w:tabs>
        <w:ind w:left="360" w:hanging="360"/>
      </w:pPr>
    </w:lvl>
  </w:abstractNum>
  <w:abstractNum w:abstractNumId="6" w15:restartNumberingAfterBreak="0">
    <w:nsid w:val="FFFFFF89"/>
    <w:multiLevelType w:val="singleLevel"/>
    <w:tmpl w:val="FF4CD422"/>
    <w:lvl w:ilvl="0">
      <w:start w:val="1"/>
      <w:numFmt w:val="bullet"/>
      <w:pStyle w:val="Seznamsodrkami4"/>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8375D9F"/>
    <w:multiLevelType w:val="hybridMultilevel"/>
    <w:tmpl w:val="AA5C0342"/>
    <w:lvl w:ilvl="0" w:tplc="BDF01A94">
      <w:start w:val="1"/>
      <w:numFmt w:val="lowerLetter"/>
      <w:pStyle w:val="Seznama"/>
      <w:lvlText w:val="%1)"/>
      <w:lvlJc w:val="left"/>
      <w:pPr>
        <w:tabs>
          <w:tab w:val="num" w:pos="1003"/>
        </w:tabs>
        <w:ind w:left="1003" w:hanging="360"/>
      </w:pPr>
    </w:lvl>
    <w:lvl w:ilvl="1" w:tplc="04050019" w:tentative="1">
      <w:start w:val="1"/>
      <w:numFmt w:val="lowerLetter"/>
      <w:lvlText w:val="%2."/>
      <w:lvlJc w:val="left"/>
      <w:pPr>
        <w:tabs>
          <w:tab w:val="num" w:pos="1723"/>
        </w:tabs>
        <w:ind w:left="1723" w:hanging="360"/>
      </w:pPr>
    </w:lvl>
    <w:lvl w:ilvl="2" w:tplc="0405001B" w:tentative="1">
      <w:start w:val="1"/>
      <w:numFmt w:val="lowerRoman"/>
      <w:lvlText w:val="%3."/>
      <w:lvlJc w:val="right"/>
      <w:pPr>
        <w:tabs>
          <w:tab w:val="num" w:pos="2443"/>
        </w:tabs>
        <w:ind w:left="2443" w:hanging="180"/>
      </w:pPr>
    </w:lvl>
    <w:lvl w:ilvl="3" w:tplc="0405000F" w:tentative="1">
      <w:start w:val="1"/>
      <w:numFmt w:val="decimal"/>
      <w:lvlText w:val="%4."/>
      <w:lvlJc w:val="left"/>
      <w:pPr>
        <w:tabs>
          <w:tab w:val="num" w:pos="3163"/>
        </w:tabs>
        <w:ind w:left="3163" w:hanging="360"/>
      </w:pPr>
    </w:lvl>
    <w:lvl w:ilvl="4" w:tplc="04050019" w:tentative="1">
      <w:start w:val="1"/>
      <w:numFmt w:val="lowerLetter"/>
      <w:lvlText w:val="%5."/>
      <w:lvlJc w:val="left"/>
      <w:pPr>
        <w:tabs>
          <w:tab w:val="num" w:pos="3883"/>
        </w:tabs>
        <w:ind w:left="3883" w:hanging="360"/>
      </w:pPr>
    </w:lvl>
    <w:lvl w:ilvl="5" w:tplc="0405001B" w:tentative="1">
      <w:start w:val="1"/>
      <w:numFmt w:val="lowerRoman"/>
      <w:lvlText w:val="%6."/>
      <w:lvlJc w:val="right"/>
      <w:pPr>
        <w:tabs>
          <w:tab w:val="num" w:pos="4603"/>
        </w:tabs>
        <w:ind w:left="4603" w:hanging="180"/>
      </w:pPr>
    </w:lvl>
    <w:lvl w:ilvl="6" w:tplc="0405000F" w:tentative="1">
      <w:start w:val="1"/>
      <w:numFmt w:val="decimal"/>
      <w:lvlText w:val="%7."/>
      <w:lvlJc w:val="left"/>
      <w:pPr>
        <w:tabs>
          <w:tab w:val="num" w:pos="5323"/>
        </w:tabs>
        <w:ind w:left="5323" w:hanging="360"/>
      </w:pPr>
    </w:lvl>
    <w:lvl w:ilvl="7" w:tplc="04050019" w:tentative="1">
      <w:start w:val="1"/>
      <w:numFmt w:val="lowerLetter"/>
      <w:lvlText w:val="%8."/>
      <w:lvlJc w:val="left"/>
      <w:pPr>
        <w:tabs>
          <w:tab w:val="num" w:pos="6043"/>
        </w:tabs>
        <w:ind w:left="6043" w:hanging="360"/>
      </w:pPr>
    </w:lvl>
    <w:lvl w:ilvl="8" w:tplc="0405001B" w:tentative="1">
      <w:start w:val="1"/>
      <w:numFmt w:val="lowerRoman"/>
      <w:lvlText w:val="%9."/>
      <w:lvlJc w:val="right"/>
      <w:pPr>
        <w:tabs>
          <w:tab w:val="num" w:pos="6763"/>
        </w:tabs>
        <w:ind w:left="6763" w:hanging="180"/>
      </w:pPr>
    </w:lvl>
  </w:abstractNum>
  <w:abstractNum w:abstractNumId="9" w15:restartNumberingAfterBreak="0">
    <w:nsid w:val="112F63A1"/>
    <w:multiLevelType w:val="multilevel"/>
    <w:tmpl w:val="AAC244C6"/>
    <w:lvl w:ilvl="0">
      <w:start w:val="1"/>
      <w:numFmt w:val="decimal"/>
      <w:lvlText w:val="%1."/>
      <w:lvlJc w:val="left"/>
      <w:pPr>
        <w:ind w:left="504" w:hanging="504"/>
      </w:pPr>
      <w:rPr>
        <w:rFonts w:hint="default"/>
      </w:rPr>
    </w:lvl>
    <w:lvl w:ilvl="1">
      <w:start w:val="1"/>
      <w:numFmt w:val="decimal"/>
      <w:pStyle w:val="Nadpis3"/>
      <w:lvlText w:val="%1.%2.1"/>
      <w:lvlJc w:val="left"/>
      <w:pPr>
        <w:ind w:left="504" w:hanging="504"/>
      </w:pPr>
      <w:rPr>
        <w:rFonts w:hint="default"/>
      </w:rPr>
    </w:lvl>
    <w:lvl w:ilvl="2">
      <w:start w:val="1"/>
      <w:numFmt w:val="decimal"/>
      <w:lvlText w:val="%1.%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F5AB3"/>
    <w:multiLevelType w:val="multilevel"/>
    <w:tmpl w:val="C762AFC8"/>
    <w:lvl w:ilvl="0">
      <w:start w:val="1"/>
      <w:numFmt w:val="lowerLetter"/>
      <w:lvlText w:val="%1)"/>
      <w:lvlJc w:val="left"/>
      <w:pPr>
        <w:tabs>
          <w:tab w:val="num" w:pos="720"/>
        </w:tabs>
        <w:ind w:left="720" w:hanging="360"/>
      </w:pPr>
      <w:rPr>
        <w:rFonts w:hint="default"/>
        <w:i w:val="0"/>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2129515F"/>
    <w:multiLevelType w:val="hybridMultilevel"/>
    <w:tmpl w:val="FBE8B656"/>
    <w:lvl w:ilvl="0" w:tplc="7A1023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814753"/>
    <w:multiLevelType w:val="hybridMultilevel"/>
    <w:tmpl w:val="D9482A72"/>
    <w:lvl w:ilvl="0" w:tplc="E51E6D58">
      <w:start w:val="1"/>
      <w:numFmt w:val="bullet"/>
      <w:pStyle w:val="slovanseznam"/>
      <w:lvlText w:val=""/>
      <w:lvlJc w:val="left"/>
      <w:pPr>
        <w:ind w:left="720" w:hanging="360"/>
      </w:pPr>
      <w:rPr>
        <w:rFonts w:ascii="Symbol" w:hAnsi="Symbol" w:hint="default"/>
      </w:rPr>
    </w:lvl>
    <w:lvl w:ilvl="1" w:tplc="241A6A0A">
      <w:start w:val="1"/>
      <w:numFmt w:val="bullet"/>
      <w:lvlText w:val="o"/>
      <w:lvlJc w:val="left"/>
      <w:pPr>
        <w:ind w:left="1440" w:hanging="360"/>
      </w:pPr>
      <w:rPr>
        <w:rFonts w:ascii="Courier New" w:hAnsi="Courier New" w:hint="default"/>
      </w:rPr>
    </w:lvl>
    <w:lvl w:ilvl="2" w:tplc="8A86ADDE">
      <w:start w:val="1"/>
      <w:numFmt w:val="bullet"/>
      <w:lvlText w:val=""/>
      <w:lvlJc w:val="left"/>
      <w:pPr>
        <w:ind w:left="2160" w:hanging="360"/>
      </w:pPr>
      <w:rPr>
        <w:rFonts w:ascii="Wingdings" w:hAnsi="Wingdings" w:hint="default"/>
      </w:rPr>
    </w:lvl>
    <w:lvl w:ilvl="3" w:tplc="C8D6433A">
      <w:start w:val="1"/>
      <w:numFmt w:val="bullet"/>
      <w:lvlText w:val=""/>
      <w:lvlJc w:val="left"/>
      <w:pPr>
        <w:ind w:left="2880" w:hanging="360"/>
      </w:pPr>
      <w:rPr>
        <w:rFonts w:ascii="Symbol" w:hAnsi="Symbol" w:hint="default"/>
      </w:rPr>
    </w:lvl>
    <w:lvl w:ilvl="4" w:tplc="7758E664">
      <w:start w:val="1"/>
      <w:numFmt w:val="bullet"/>
      <w:lvlText w:val="o"/>
      <w:lvlJc w:val="left"/>
      <w:pPr>
        <w:ind w:left="3600" w:hanging="360"/>
      </w:pPr>
      <w:rPr>
        <w:rFonts w:ascii="Courier New" w:hAnsi="Courier New" w:hint="default"/>
      </w:rPr>
    </w:lvl>
    <w:lvl w:ilvl="5" w:tplc="312EF6C4">
      <w:start w:val="1"/>
      <w:numFmt w:val="bullet"/>
      <w:lvlText w:val=""/>
      <w:lvlJc w:val="left"/>
      <w:pPr>
        <w:ind w:left="4320" w:hanging="360"/>
      </w:pPr>
      <w:rPr>
        <w:rFonts w:ascii="Wingdings" w:hAnsi="Wingdings" w:hint="default"/>
      </w:rPr>
    </w:lvl>
    <w:lvl w:ilvl="6" w:tplc="76AABC1A">
      <w:start w:val="1"/>
      <w:numFmt w:val="bullet"/>
      <w:lvlText w:val=""/>
      <w:lvlJc w:val="left"/>
      <w:pPr>
        <w:ind w:left="5040" w:hanging="360"/>
      </w:pPr>
      <w:rPr>
        <w:rFonts w:ascii="Symbol" w:hAnsi="Symbol" w:hint="default"/>
      </w:rPr>
    </w:lvl>
    <w:lvl w:ilvl="7" w:tplc="A5E83B74">
      <w:start w:val="1"/>
      <w:numFmt w:val="bullet"/>
      <w:lvlText w:val="o"/>
      <w:lvlJc w:val="left"/>
      <w:pPr>
        <w:ind w:left="5760" w:hanging="360"/>
      </w:pPr>
      <w:rPr>
        <w:rFonts w:ascii="Courier New" w:hAnsi="Courier New" w:hint="default"/>
      </w:rPr>
    </w:lvl>
    <w:lvl w:ilvl="8" w:tplc="30D25434">
      <w:start w:val="1"/>
      <w:numFmt w:val="bullet"/>
      <w:lvlText w:val=""/>
      <w:lvlJc w:val="left"/>
      <w:pPr>
        <w:ind w:left="6480" w:hanging="360"/>
      </w:pPr>
      <w:rPr>
        <w:rFonts w:ascii="Wingdings" w:hAnsi="Wingdings" w:hint="default"/>
      </w:rPr>
    </w:lvl>
  </w:abstractNum>
  <w:abstractNum w:abstractNumId="13" w15:restartNumberingAfterBreak="0">
    <w:nsid w:val="2ECA3771"/>
    <w:multiLevelType w:val="hybridMultilevel"/>
    <w:tmpl w:val="6D4A4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52073E"/>
    <w:multiLevelType w:val="hybridMultilevel"/>
    <w:tmpl w:val="197871C4"/>
    <w:lvl w:ilvl="0" w:tplc="0B04FC34">
      <w:start w:val="1"/>
      <w:numFmt w:val="decimal"/>
      <w:pStyle w:val="Nadpis2"/>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E56281"/>
    <w:multiLevelType w:val="hybridMultilevel"/>
    <w:tmpl w:val="6382DD10"/>
    <w:lvl w:ilvl="0" w:tplc="04050001">
      <w:start w:val="1"/>
      <w:numFmt w:val="bullet"/>
      <w:pStyle w:val="Seznamsodrkami3"/>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152200B"/>
    <w:multiLevelType w:val="hybridMultilevel"/>
    <w:tmpl w:val="BFE8D7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20294E"/>
    <w:multiLevelType w:val="multilevel"/>
    <w:tmpl w:val="222AEBDA"/>
    <w:lvl w:ilvl="0">
      <w:start w:val="1"/>
      <w:numFmt w:val="decimal"/>
      <w:pStyle w:val="Smlouvaodstavec"/>
      <w:suff w:val="space"/>
      <w:lvlText w:val="%1."/>
      <w:lvlJc w:val="left"/>
      <w:pPr>
        <w:ind w:left="9149" w:hanging="360"/>
      </w:pPr>
      <w:rPr>
        <w:rFonts w:hint="default"/>
      </w:rPr>
    </w:lvl>
    <w:lvl w:ilvl="1">
      <w:start w:val="1"/>
      <w:numFmt w:val="decimal"/>
      <w:pStyle w:val="Smlouvaodstavec"/>
      <w:suff w:val="space"/>
      <w:lvlText w:val="%1.%2."/>
      <w:lvlJc w:val="left"/>
      <w:pPr>
        <w:ind w:left="9243" w:hanging="94"/>
      </w:pPr>
      <w:rPr>
        <w:rFonts w:hint="default"/>
      </w:rPr>
    </w:lvl>
    <w:lvl w:ilvl="2">
      <w:start w:val="1"/>
      <w:numFmt w:val="decimal"/>
      <w:lvlText w:val="%1.%2.%3."/>
      <w:lvlJc w:val="left"/>
      <w:pPr>
        <w:tabs>
          <w:tab w:val="num" w:pos="10013"/>
        </w:tabs>
        <w:ind w:left="10013" w:hanging="504"/>
      </w:pPr>
      <w:rPr>
        <w:rFonts w:hint="default"/>
      </w:rPr>
    </w:lvl>
    <w:lvl w:ilvl="3">
      <w:start w:val="1"/>
      <w:numFmt w:val="decimal"/>
      <w:lvlText w:val="%1.%2.%3.%4."/>
      <w:lvlJc w:val="left"/>
      <w:pPr>
        <w:tabs>
          <w:tab w:val="num" w:pos="10589"/>
        </w:tabs>
        <w:ind w:left="10517" w:hanging="648"/>
      </w:pPr>
      <w:rPr>
        <w:rFonts w:hint="default"/>
      </w:rPr>
    </w:lvl>
    <w:lvl w:ilvl="4">
      <w:start w:val="1"/>
      <w:numFmt w:val="decimal"/>
      <w:lvlText w:val="%1.%2.%3.%4.%5."/>
      <w:lvlJc w:val="left"/>
      <w:pPr>
        <w:tabs>
          <w:tab w:val="num" w:pos="11309"/>
        </w:tabs>
        <w:ind w:left="11021" w:hanging="792"/>
      </w:pPr>
      <w:rPr>
        <w:rFonts w:hint="default"/>
      </w:rPr>
    </w:lvl>
    <w:lvl w:ilvl="5">
      <w:start w:val="1"/>
      <w:numFmt w:val="decimal"/>
      <w:lvlText w:val="%1.%2.%3.%4.%5.%6."/>
      <w:lvlJc w:val="left"/>
      <w:pPr>
        <w:tabs>
          <w:tab w:val="num" w:pos="11669"/>
        </w:tabs>
        <w:ind w:left="11525" w:hanging="936"/>
      </w:pPr>
      <w:rPr>
        <w:rFonts w:hint="default"/>
      </w:rPr>
    </w:lvl>
    <w:lvl w:ilvl="6">
      <w:start w:val="1"/>
      <w:numFmt w:val="decimal"/>
      <w:lvlText w:val="%1.%2.%3.%4.%5.%6.%7."/>
      <w:lvlJc w:val="left"/>
      <w:pPr>
        <w:tabs>
          <w:tab w:val="num" w:pos="12389"/>
        </w:tabs>
        <w:ind w:left="12029" w:hanging="1080"/>
      </w:pPr>
      <w:rPr>
        <w:rFonts w:hint="default"/>
      </w:rPr>
    </w:lvl>
    <w:lvl w:ilvl="7">
      <w:start w:val="1"/>
      <w:numFmt w:val="decimal"/>
      <w:lvlText w:val="%1.%2.%3.%4.%5.%6.%7.%8."/>
      <w:lvlJc w:val="left"/>
      <w:pPr>
        <w:tabs>
          <w:tab w:val="num" w:pos="12749"/>
        </w:tabs>
        <w:ind w:left="12533" w:hanging="1224"/>
      </w:pPr>
      <w:rPr>
        <w:rFonts w:hint="default"/>
      </w:rPr>
    </w:lvl>
    <w:lvl w:ilvl="8">
      <w:start w:val="1"/>
      <w:numFmt w:val="decimal"/>
      <w:lvlText w:val="%1.%2.%3.%4.%5.%6.%7.%8.%9."/>
      <w:lvlJc w:val="left"/>
      <w:pPr>
        <w:tabs>
          <w:tab w:val="num" w:pos="13469"/>
        </w:tabs>
        <w:ind w:left="13109" w:hanging="1440"/>
      </w:pPr>
      <w:rPr>
        <w:rFonts w:hint="default"/>
      </w:rPr>
    </w:lvl>
  </w:abstractNum>
  <w:abstractNum w:abstractNumId="18" w15:restartNumberingAfterBreak="0">
    <w:nsid w:val="51154AE8"/>
    <w:multiLevelType w:val="hybridMultilevel"/>
    <w:tmpl w:val="B7FCE8F8"/>
    <w:lvl w:ilvl="0" w:tplc="04050001">
      <w:start w:val="1"/>
      <w:numFmt w:val="bullet"/>
      <w:pStyle w:val="Seznamsodrkami2"/>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6332E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2C614D"/>
    <w:multiLevelType w:val="multilevel"/>
    <w:tmpl w:val="3E687122"/>
    <w:lvl w:ilvl="0">
      <w:start w:val="1"/>
      <w:numFmt w:val="lowerLetter"/>
      <w:lvlText w:val="%1)"/>
      <w:lvlJc w:val="left"/>
      <w:pPr>
        <w:tabs>
          <w:tab w:val="num" w:pos="720"/>
        </w:tabs>
        <w:ind w:left="720" w:hanging="360"/>
      </w:pPr>
      <w:rPr>
        <w:rFonts w:hint="default"/>
        <w:i w:val="0"/>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78774AC8"/>
    <w:multiLevelType w:val="hybridMultilevel"/>
    <w:tmpl w:val="4C34F0B8"/>
    <w:lvl w:ilvl="0" w:tplc="88A818DC">
      <w:start w:val="1"/>
      <w:numFmt w:val="bullet"/>
      <w:pStyle w:val="slovanseznam2"/>
      <w:lvlText w:val="·"/>
      <w:lvlJc w:val="left"/>
      <w:pPr>
        <w:ind w:left="720" w:hanging="360"/>
      </w:pPr>
      <w:rPr>
        <w:rFonts w:ascii="Symbol" w:hAnsi="Symbol" w:hint="default"/>
      </w:rPr>
    </w:lvl>
    <w:lvl w:ilvl="1" w:tplc="0712A8BA">
      <w:start w:val="1"/>
      <w:numFmt w:val="bullet"/>
      <w:lvlText w:val="o"/>
      <w:lvlJc w:val="left"/>
      <w:pPr>
        <w:ind w:left="1440" w:hanging="360"/>
      </w:pPr>
      <w:rPr>
        <w:rFonts w:ascii="Courier New" w:hAnsi="Courier New" w:hint="default"/>
      </w:rPr>
    </w:lvl>
    <w:lvl w:ilvl="2" w:tplc="5D9C88EA">
      <w:start w:val="1"/>
      <w:numFmt w:val="bullet"/>
      <w:lvlText w:val=""/>
      <w:lvlJc w:val="left"/>
      <w:pPr>
        <w:ind w:left="2160" w:hanging="360"/>
      </w:pPr>
      <w:rPr>
        <w:rFonts w:ascii="Wingdings" w:hAnsi="Wingdings" w:hint="default"/>
      </w:rPr>
    </w:lvl>
    <w:lvl w:ilvl="3" w:tplc="1048FD2C">
      <w:start w:val="1"/>
      <w:numFmt w:val="bullet"/>
      <w:lvlText w:val=""/>
      <w:lvlJc w:val="left"/>
      <w:pPr>
        <w:ind w:left="2880" w:hanging="360"/>
      </w:pPr>
      <w:rPr>
        <w:rFonts w:ascii="Symbol" w:hAnsi="Symbol" w:hint="default"/>
      </w:rPr>
    </w:lvl>
    <w:lvl w:ilvl="4" w:tplc="2DD21656">
      <w:start w:val="1"/>
      <w:numFmt w:val="bullet"/>
      <w:lvlText w:val="o"/>
      <w:lvlJc w:val="left"/>
      <w:pPr>
        <w:ind w:left="3600" w:hanging="360"/>
      </w:pPr>
      <w:rPr>
        <w:rFonts w:ascii="Courier New" w:hAnsi="Courier New" w:hint="default"/>
      </w:rPr>
    </w:lvl>
    <w:lvl w:ilvl="5" w:tplc="28A2499A">
      <w:start w:val="1"/>
      <w:numFmt w:val="bullet"/>
      <w:lvlText w:val=""/>
      <w:lvlJc w:val="left"/>
      <w:pPr>
        <w:ind w:left="4320" w:hanging="360"/>
      </w:pPr>
      <w:rPr>
        <w:rFonts w:ascii="Wingdings" w:hAnsi="Wingdings" w:hint="default"/>
      </w:rPr>
    </w:lvl>
    <w:lvl w:ilvl="6" w:tplc="FA74E256">
      <w:start w:val="1"/>
      <w:numFmt w:val="bullet"/>
      <w:lvlText w:val=""/>
      <w:lvlJc w:val="left"/>
      <w:pPr>
        <w:ind w:left="5040" w:hanging="360"/>
      </w:pPr>
      <w:rPr>
        <w:rFonts w:ascii="Symbol" w:hAnsi="Symbol" w:hint="default"/>
      </w:rPr>
    </w:lvl>
    <w:lvl w:ilvl="7" w:tplc="8C0C0DDA">
      <w:start w:val="1"/>
      <w:numFmt w:val="bullet"/>
      <w:lvlText w:val="o"/>
      <w:lvlJc w:val="left"/>
      <w:pPr>
        <w:ind w:left="5760" w:hanging="360"/>
      </w:pPr>
      <w:rPr>
        <w:rFonts w:ascii="Courier New" w:hAnsi="Courier New" w:hint="default"/>
      </w:rPr>
    </w:lvl>
    <w:lvl w:ilvl="8" w:tplc="A1ACF134">
      <w:start w:val="1"/>
      <w:numFmt w:val="bullet"/>
      <w:lvlText w:val=""/>
      <w:lvlJc w:val="left"/>
      <w:pPr>
        <w:ind w:left="6480" w:hanging="360"/>
      </w:pPr>
      <w:rPr>
        <w:rFonts w:ascii="Wingdings" w:hAnsi="Wingdings" w:hint="default"/>
      </w:rPr>
    </w:lvl>
  </w:abstractNum>
  <w:abstractNum w:abstractNumId="22" w15:restartNumberingAfterBreak="0">
    <w:nsid w:val="7B6A56C8"/>
    <w:multiLevelType w:val="multilevel"/>
    <w:tmpl w:val="7358777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1"/>
  </w:num>
  <w:num w:numId="3">
    <w:abstractNumId w:val="9"/>
  </w:num>
  <w:num w:numId="4">
    <w:abstractNumId w:val="22"/>
  </w:num>
  <w:num w:numId="5">
    <w:abstractNumId w:val="14"/>
  </w:num>
  <w:num w:numId="6">
    <w:abstractNumId w:val="18"/>
  </w:num>
  <w:num w:numId="7">
    <w:abstractNumId w:val="15"/>
  </w:num>
  <w:num w:numId="8">
    <w:abstractNumId w:val="16"/>
  </w:num>
  <w:num w:numId="9">
    <w:abstractNumId w:val="5"/>
  </w:num>
  <w:num w:numId="10">
    <w:abstractNumId w:val="3"/>
  </w:num>
  <w:num w:numId="11">
    <w:abstractNumId w:val="2"/>
  </w:num>
  <w:num w:numId="12">
    <w:abstractNumId w:val="1"/>
  </w:num>
  <w:num w:numId="13">
    <w:abstractNumId w:val="6"/>
  </w:num>
  <w:num w:numId="14">
    <w:abstractNumId w:val="4"/>
  </w:num>
  <w:num w:numId="15">
    <w:abstractNumId w:val="17"/>
  </w:num>
  <w:num w:numId="16">
    <w:abstractNumId w:val="8"/>
  </w:num>
  <w:num w:numId="17">
    <w:abstractNumId w:val="2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7"/>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13"/>
  </w:num>
  <w:num w:numId="22">
    <w:abstractNumId w:val="11"/>
  </w:num>
  <w:num w:numId="23">
    <w:abstractNumId w:val="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20"/>
    <w:rsid w:val="0000755C"/>
    <w:rsid w:val="0003363B"/>
    <w:rsid w:val="00043A24"/>
    <w:rsid w:val="00085AB1"/>
    <w:rsid w:val="00086B33"/>
    <w:rsid w:val="000A6256"/>
    <w:rsid w:val="000A6927"/>
    <w:rsid w:val="000A6931"/>
    <w:rsid w:val="000B5033"/>
    <w:rsid w:val="000C470C"/>
    <w:rsid w:val="000D318D"/>
    <w:rsid w:val="000D7C04"/>
    <w:rsid w:val="000E29A0"/>
    <w:rsid w:val="00106268"/>
    <w:rsid w:val="00120284"/>
    <w:rsid w:val="00122C51"/>
    <w:rsid w:val="001303CB"/>
    <w:rsid w:val="00137D62"/>
    <w:rsid w:val="00161722"/>
    <w:rsid w:val="00174DC7"/>
    <w:rsid w:val="001762EA"/>
    <w:rsid w:val="001A3078"/>
    <w:rsid w:val="001D5E86"/>
    <w:rsid w:val="001E01BE"/>
    <w:rsid w:val="001F2104"/>
    <w:rsid w:val="00201CC4"/>
    <w:rsid w:val="00214EAA"/>
    <w:rsid w:val="002359A3"/>
    <w:rsid w:val="00285172"/>
    <w:rsid w:val="00287261"/>
    <w:rsid w:val="00291EB8"/>
    <w:rsid w:val="00295BCA"/>
    <w:rsid w:val="00295EFA"/>
    <w:rsid w:val="002A226B"/>
    <w:rsid w:val="002B625A"/>
    <w:rsid w:val="002D72E1"/>
    <w:rsid w:val="002D7BE3"/>
    <w:rsid w:val="002F67AC"/>
    <w:rsid w:val="003278EA"/>
    <w:rsid w:val="00330F4E"/>
    <w:rsid w:val="00333A33"/>
    <w:rsid w:val="00334F2B"/>
    <w:rsid w:val="003408F6"/>
    <w:rsid w:val="00344DAF"/>
    <w:rsid w:val="00351F22"/>
    <w:rsid w:val="00377CCD"/>
    <w:rsid w:val="00387E39"/>
    <w:rsid w:val="003A220C"/>
    <w:rsid w:val="003A5444"/>
    <w:rsid w:val="003B5E0B"/>
    <w:rsid w:val="003D5306"/>
    <w:rsid w:val="003F45F0"/>
    <w:rsid w:val="003F5515"/>
    <w:rsid w:val="00427BF0"/>
    <w:rsid w:val="00427E27"/>
    <w:rsid w:val="00432F51"/>
    <w:rsid w:val="0043604F"/>
    <w:rsid w:val="004438C0"/>
    <w:rsid w:val="00447BF5"/>
    <w:rsid w:val="00481449"/>
    <w:rsid w:val="00486D40"/>
    <w:rsid w:val="00497E48"/>
    <w:rsid w:val="004C2EB1"/>
    <w:rsid w:val="004C33FB"/>
    <w:rsid w:val="004C5147"/>
    <w:rsid w:val="004E3C73"/>
    <w:rsid w:val="004E718A"/>
    <w:rsid w:val="004F526C"/>
    <w:rsid w:val="00523ABB"/>
    <w:rsid w:val="005656EC"/>
    <w:rsid w:val="00572D1B"/>
    <w:rsid w:val="00574403"/>
    <w:rsid w:val="00574C22"/>
    <w:rsid w:val="00586720"/>
    <w:rsid w:val="005A27FC"/>
    <w:rsid w:val="005B1195"/>
    <w:rsid w:val="005C2987"/>
    <w:rsid w:val="005E1B92"/>
    <w:rsid w:val="00602749"/>
    <w:rsid w:val="00614F13"/>
    <w:rsid w:val="006315B9"/>
    <w:rsid w:val="006608FF"/>
    <w:rsid w:val="00681ECE"/>
    <w:rsid w:val="006E32DA"/>
    <w:rsid w:val="00705BF3"/>
    <w:rsid w:val="00706922"/>
    <w:rsid w:val="00706D2D"/>
    <w:rsid w:val="00713D3B"/>
    <w:rsid w:val="00717866"/>
    <w:rsid w:val="00725DCC"/>
    <w:rsid w:val="00726C5C"/>
    <w:rsid w:val="00735180"/>
    <w:rsid w:val="00744B22"/>
    <w:rsid w:val="00751239"/>
    <w:rsid w:val="00753B64"/>
    <w:rsid w:val="00787C18"/>
    <w:rsid w:val="007C7F4F"/>
    <w:rsid w:val="007D4A39"/>
    <w:rsid w:val="007E26A9"/>
    <w:rsid w:val="007E68FE"/>
    <w:rsid w:val="007F0F90"/>
    <w:rsid w:val="00802173"/>
    <w:rsid w:val="00811614"/>
    <w:rsid w:val="00836464"/>
    <w:rsid w:val="00841703"/>
    <w:rsid w:val="008633F4"/>
    <w:rsid w:val="00874D83"/>
    <w:rsid w:val="00876AB2"/>
    <w:rsid w:val="00895D0D"/>
    <w:rsid w:val="008C0099"/>
    <w:rsid w:val="008D3817"/>
    <w:rsid w:val="008D7143"/>
    <w:rsid w:val="008E687F"/>
    <w:rsid w:val="008F5AE5"/>
    <w:rsid w:val="00901620"/>
    <w:rsid w:val="00917449"/>
    <w:rsid w:val="00925636"/>
    <w:rsid w:val="00927C91"/>
    <w:rsid w:val="0093756E"/>
    <w:rsid w:val="00946AE1"/>
    <w:rsid w:val="00950A96"/>
    <w:rsid w:val="00961305"/>
    <w:rsid w:val="0096378E"/>
    <w:rsid w:val="00987DE9"/>
    <w:rsid w:val="009A3DE3"/>
    <w:rsid w:val="009A69E0"/>
    <w:rsid w:val="009B215C"/>
    <w:rsid w:val="00A359DA"/>
    <w:rsid w:val="00A369DA"/>
    <w:rsid w:val="00A76443"/>
    <w:rsid w:val="00A85A35"/>
    <w:rsid w:val="00A907A3"/>
    <w:rsid w:val="00A9308C"/>
    <w:rsid w:val="00AA1275"/>
    <w:rsid w:val="00AA17FE"/>
    <w:rsid w:val="00AC3F30"/>
    <w:rsid w:val="00B23DC8"/>
    <w:rsid w:val="00B631AF"/>
    <w:rsid w:val="00B70EC6"/>
    <w:rsid w:val="00BA3014"/>
    <w:rsid w:val="00BB7251"/>
    <w:rsid w:val="00BB73E2"/>
    <w:rsid w:val="00BD0C73"/>
    <w:rsid w:val="00BD225B"/>
    <w:rsid w:val="00BE1305"/>
    <w:rsid w:val="00BF38E4"/>
    <w:rsid w:val="00BF6185"/>
    <w:rsid w:val="00C03AF4"/>
    <w:rsid w:val="00C062D8"/>
    <w:rsid w:val="00C1161A"/>
    <w:rsid w:val="00C22D14"/>
    <w:rsid w:val="00C22D54"/>
    <w:rsid w:val="00C2546C"/>
    <w:rsid w:val="00C34925"/>
    <w:rsid w:val="00C356B0"/>
    <w:rsid w:val="00C368F4"/>
    <w:rsid w:val="00C46640"/>
    <w:rsid w:val="00C50E61"/>
    <w:rsid w:val="00C540CC"/>
    <w:rsid w:val="00C568BA"/>
    <w:rsid w:val="00C661D0"/>
    <w:rsid w:val="00C92952"/>
    <w:rsid w:val="00CD09D3"/>
    <w:rsid w:val="00CD2046"/>
    <w:rsid w:val="00D15B57"/>
    <w:rsid w:val="00D247B5"/>
    <w:rsid w:val="00D26A61"/>
    <w:rsid w:val="00D56AD4"/>
    <w:rsid w:val="00D90586"/>
    <w:rsid w:val="00D90839"/>
    <w:rsid w:val="00D920E0"/>
    <w:rsid w:val="00DC0DB0"/>
    <w:rsid w:val="00DC31DD"/>
    <w:rsid w:val="00E01ECB"/>
    <w:rsid w:val="00E03814"/>
    <w:rsid w:val="00E146A9"/>
    <w:rsid w:val="00E3173C"/>
    <w:rsid w:val="00E624A1"/>
    <w:rsid w:val="00E85A5F"/>
    <w:rsid w:val="00EA1CC6"/>
    <w:rsid w:val="00EC5C0A"/>
    <w:rsid w:val="00EF427A"/>
    <w:rsid w:val="00F146AA"/>
    <w:rsid w:val="00F3136A"/>
    <w:rsid w:val="00F40432"/>
    <w:rsid w:val="00F60B1B"/>
    <w:rsid w:val="00F81AEA"/>
    <w:rsid w:val="00F951F7"/>
    <w:rsid w:val="00FB78F1"/>
    <w:rsid w:val="00FD2188"/>
    <w:rsid w:val="0150B645"/>
    <w:rsid w:val="020463FD"/>
    <w:rsid w:val="028165C1"/>
    <w:rsid w:val="03CFABFD"/>
    <w:rsid w:val="0462F603"/>
    <w:rsid w:val="060AFF0B"/>
    <w:rsid w:val="06F14C8B"/>
    <w:rsid w:val="0A3DBF8C"/>
    <w:rsid w:val="0B212FFE"/>
    <w:rsid w:val="0C193C4E"/>
    <w:rsid w:val="0D694FF2"/>
    <w:rsid w:val="0DAAF51E"/>
    <w:rsid w:val="131F3D27"/>
    <w:rsid w:val="139489BE"/>
    <w:rsid w:val="13B6A736"/>
    <w:rsid w:val="14AA6A29"/>
    <w:rsid w:val="14F55565"/>
    <w:rsid w:val="15476288"/>
    <w:rsid w:val="1604438B"/>
    <w:rsid w:val="16C1DB30"/>
    <w:rsid w:val="17FF612D"/>
    <w:rsid w:val="1A317F1D"/>
    <w:rsid w:val="1A3F61E0"/>
    <w:rsid w:val="1C8EAD2A"/>
    <w:rsid w:val="1CAB4C08"/>
    <w:rsid w:val="1CC85CC4"/>
    <w:rsid w:val="1DB0623E"/>
    <w:rsid w:val="1DB623BA"/>
    <w:rsid w:val="1E514C6F"/>
    <w:rsid w:val="20B239BE"/>
    <w:rsid w:val="2118B86A"/>
    <w:rsid w:val="22152F9D"/>
    <w:rsid w:val="223BF85C"/>
    <w:rsid w:val="230282AB"/>
    <w:rsid w:val="23362386"/>
    <w:rsid w:val="239EDBF7"/>
    <w:rsid w:val="24188085"/>
    <w:rsid w:val="242923E4"/>
    <w:rsid w:val="25511FFC"/>
    <w:rsid w:val="25853D1E"/>
    <w:rsid w:val="277BF319"/>
    <w:rsid w:val="289455A6"/>
    <w:rsid w:val="2A22AA4D"/>
    <w:rsid w:val="2CF0AA11"/>
    <w:rsid w:val="305F997E"/>
    <w:rsid w:val="310EB822"/>
    <w:rsid w:val="320976CA"/>
    <w:rsid w:val="329701D3"/>
    <w:rsid w:val="3329A685"/>
    <w:rsid w:val="355B0511"/>
    <w:rsid w:val="3578A704"/>
    <w:rsid w:val="357F6236"/>
    <w:rsid w:val="360551F6"/>
    <w:rsid w:val="3BE7B638"/>
    <w:rsid w:val="3D05E312"/>
    <w:rsid w:val="3D43795B"/>
    <w:rsid w:val="3D70DF7A"/>
    <w:rsid w:val="3DA49F4A"/>
    <w:rsid w:val="4355CA83"/>
    <w:rsid w:val="444073AE"/>
    <w:rsid w:val="446CF493"/>
    <w:rsid w:val="44F19AE4"/>
    <w:rsid w:val="4546007F"/>
    <w:rsid w:val="45E00102"/>
    <w:rsid w:val="469E08E1"/>
    <w:rsid w:val="4770B5F1"/>
    <w:rsid w:val="49D5A9A3"/>
    <w:rsid w:val="4AA2CEC6"/>
    <w:rsid w:val="4ABBA76F"/>
    <w:rsid w:val="4B414434"/>
    <w:rsid w:val="4D058E72"/>
    <w:rsid w:val="4D61CD41"/>
    <w:rsid w:val="4DF91FD2"/>
    <w:rsid w:val="4E3CE7D1"/>
    <w:rsid w:val="4E7CEBF4"/>
    <w:rsid w:val="533D6D09"/>
    <w:rsid w:val="53955FFA"/>
    <w:rsid w:val="543088AF"/>
    <w:rsid w:val="55E9AF52"/>
    <w:rsid w:val="5AFE794B"/>
    <w:rsid w:val="5D489816"/>
    <w:rsid w:val="5DB4AEE8"/>
    <w:rsid w:val="5E2FB974"/>
    <w:rsid w:val="5FC7DF39"/>
    <w:rsid w:val="614621CE"/>
    <w:rsid w:val="645421EC"/>
    <w:rsid w:val="64B11248"/>
    <w:rsid w:val="651A81FA"/>
    <w:rsid w:val="680587BB"/>
    <w:rsid w:val="6A1BFEFF"/>
    <w:rsid w:val="6A42A35E"/>
    <w:rsid w:val="6AA4B326"/>
    <w:rsid w:val="6CA58B44"/>
    <w:rsid w:val="6CBC242D"/>
    <w:rsid w:val="6D49AF36"/>
    <w:rsid w:val="6E0B7C79"/>
    <w:rsid w:val="7113F4AA"/>
    <w:rsid w:val="7170EF9E"/>
    <w:rsid w:val="76061617"/>
    <w:rsid w:val="76D308F9"/>
    <w:rsid w:val="76F45BB5"/>
    <w:rsid w:val="77E9718D"/>
    <w:rsid w:val="7962CE8E"/>
    <w:rsid w:val="7A8C9B69"/>
    <w:rsid w:val="7A9AD483"/>
    <w:rsid w:val="7C18461D"/>
    <w:rsid w:val="7D8242EB"/>
    <w:rsid w:val="7F617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55E1A"/>
  <w15:chartTrackingRefBased/>
  <w15:docId w15:val="{75CB91FE-419D-374D-B291-807A4ED6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7251"/>
    <w:rPr>
      <w:sz w:val="22"/>
      <w:szCs w:val="24"/>
      <w:lang w:eastAsia="en-US"/>
    </w:rPr>
  </w:style>
  <w:style w:type="paragraph" w:styleId="Nadpis1">
    <w:name w:val="heading 1"/>
    <w:basedOn w:val="Normln"/>
    <w:next w:val="Normln"/>
    <w:link w:val="Nadpis1Char"/>
    <w:qFormat/>
    <w:rsid w:val="00AA17FE"/>
    <w:pPr>
      <w:keepNext/>
      <w:keepLines/>
      <w:pageBreakBefore/>
      <w:spacing w:before="240"/>
      <w:outlineLvl w:val="0"/>
    </w:pPr>
    <w:rPr>
      <w:rFonts w:asciiTheme="minorHAnsi" w:eastAsiaTheme="majorEastAsia" w:hAnsiTheme="minorHAnsi" w:cstheme="majorBidi"/>
      <w:b/>
      <w:color w:val="249E6B"/>
      <w:sz w:val="32"/>
      <w:szCs w:val="32"/>
    </w:rPr>
  </w:style>
  <w:style w:type="paragraph" w:styleId="Nadpis2">
    <w:name w:val="heading 2"/>
    <w:aliases w:val="Nadpis,Sekce,podnadpis,SEKCE,2,sub-sect,h2,A,PA Major Section,H2,Nadpis 2 beton,V_Head2,V_Head21,V_Head22,Podkapitola1,Bižného textu,hlavicka,V_Head23,V_Head211,V_Head221,V_Head24,V_Head212,V_Head222,H21,H22,H23,H211,H221,ASAPHeading 2,pro"/>
    <w:basedOn w:val="Normln"/>
    <w:next w:val="Podnadpis"/>
    <w:link w:val="Nadpis2Char"/>
    <w:autoRedefine/>
    <w:unhideWhenUsed/>
    <w:qFormat/>
    <w:rsid w:val="00295BCA"/>
    <w:pPr>
      <w:keepNext/>
      <w:keepLines/>
      <w:numPr>
        <w:numId w:val="5"/>
      </w:numPr>
      <w:spacing w:after="120" w:line="259" w:lineRule="auto"/>
      <w:ind w:left="567" w:hanging="576"/>
      <w:outlineLvl w:val="1"/>
    </w:pPr>
    <w:rPr>
      <w:rFonts w:ascii="Verdana" w:eastAsiaTheme="majorEastAsia" w:hAnsi="Verdana" w:cstheme="majorBidi"/>
      <w:b/>
      <w:color w:val="00B050"/>
      <w:szCs w:val="26"/>
    </w:rPr>
  </w:style>
  <w:style w:type="paragraph" w:styleId="Nadpis3">
    <w:name w:val="heading 3"/>
    <w:basedOn w:val="Normln"/>
    <w:next w:val="Normln"/>
    <w:link w:val="Nadpis3Char"/>
    <w:autoRedefine/>
    <w:unhideWhenUsed/>
    <w:qFormat/>
    <w:rsid w:val="00387E39"/>
    <w:pPr>
      <w:keepNext/>
      <w:keepLines/>
      <w:numPr>
        <w:ilvl w:val="1"/>
        <w:numId w:val="3"/>
      </w:numPr>
      <w:spacing w:before="40"/>
      <w:outlineLvl w:val="2"/>
    </w:pPr>
    <w:rPr>
      <w:rFonts w:asciiTheme="minorHAnsi" w:eastAsiaTheme="majorEastAsia" w:hAnsiTheme="minorHAnsi" w:cstheme="majorBidi"/>
      <w:b/>
      <w:color w:val="000000" w:themeColor="text1"/>
    </w:rPr>
  </w:style>
  <w:style w:type="paragraph" w:styleId="Nadpis4">
    <w:name w:val="heading 4"/>
    <w:basedOn w:val="Normln"/>
    <w:next w:val="Normln"/>
    <w:link w:val="Nadpis4Char"/>
    <w:unhideWhenUsed/>
    <w:qFormat/>
    <w:rsid w:val="00BB7251"/>
    <w:pPr>
      <w:keepNext/>
      <w:keepLines/>
      <w:spacing w:before="40"/>
      <w:outlineLvl w:val="3"/>
    </w:pPr>
    <w:rPr>
      <w:rFonts w:asciiTheme="minorHAnsi" w:eastAsiaTheme="majorEastAsia" w:hAnsiTheme="minorHAnsi" w:cstheme="majorBidi"/>
      <w:i/>
      <w:iCs/>
      <w:color w:val="249E6B"/>
    </w:rPr>
  </w:style>
  <w:style w:type="paragraph" w:styleId="Nadpis5">
    <w:name w:val="heading 5"/>
    <w:basedOn w:val="Normln"/>
    <w:next w:val="Normln"/>
    <w:link w:val="Nadpis5Char"/>
    <w:unhideWhenUsed/>
    <w:qFormat/>
    <w:rsid w:val="00751239"/>
    <w:pPr>
      <w:keepNext/>
      <w:keepLines/>
      <w:spacing w:before="40"/>
      <w:outlineLvl w:val="4"/>
    </w:pPr>
    <w:rPr>
      <w:rFonts w:asciiTheme="minorHAnsi" w:eastAsiaTheme="majorEastAsia" w:hAnsiTheme="minorHAnsi" w:cstheme="majorBidi"/>
      <w:color w:val="000000" w:themeColor="text1"/>
    </w:rPr>
  </w:style>
  <w:style w:type="paragraph" w:styleId="Nadpis6">
    <w:name w:val="heading 6"/>
    <w:basedOn w:val="Normln"/>
    <w:next w:val="Normln"/>
    <w:link w:val="Nadpis6Char"/>
    <w:autoRedefine/>
    <w:qFormat/>
    <w:rsid w:val="00C03AF4"/>
    <w:pPr>
      <w:tabs>
        <w:tab w:val="num" w:pos="1152"/>
      </w:tabs>
      <w:spacing w:before="240" w:after="60"/>
      <w:ind w:left="1152" w:hanging="1152"/>
      <w:outlineLvl w:val="5"/>
    </w:pPr>
    <w:rPr>
      <w:rFonts w:ascii="Verdana" w:eastAsia="Times New Roman" w:hAnsi="Verdana"/>
      <w:bCs/>
      <w:szCs w:val="22"/>
      <w:u w:val="single"/>
      <w:lang w:eastAsia="cs-CZ"/>
    </w:rPr>
  </w:style>
  <w:style w:type="paragraph" w:styleId="Nadpis7">
    <w:name w:val="heading 7"/>
    <w:basedOn w:val="Normln"/>
    <w:next w:val="Normln"/>
    <w:link w:val="Nadpis7Char"/>
    <w:autoRedefine/>
    <w:qFormat/>
    <w:rsid w:val="00C03AF4"/>
    <w:pPr>
      <w:tabs>
        <w:tab w:val="num" w:pos="1296"/>
      </w:tabs>
      <w:spacing w:before="240" w:after="60"/>
      <w:ind w:left="1296" w:hanging="1296"/>
      <w:outlineLvl w:val="6"/>
    </w:pPr>
    <w:rPr>
      <w:rFonts w:ascii="Verdana" w:eastAsia="Times New Roman" w:hAnsi="Verdana"/>
      <w:szCs w:val="22"/>
      <w:lang w:eastAsia="cs-CZ"/>
    </w:rPr>
  </w:style>
  <w:style w:type="paragraph" w:styleId="Nadpis8">
    <w:name w:val="heading 8"/>
    <w:basedOn w:val="Normln"/>
    <w:next w:val="Normln"/>
    <w:link w:val="Nadpis8Char"/>
    <w:autoRedefine/>
    <w:qFormat/>
    <w:rsid w:val="00C03AF4"/>
    <w:pPr>
      <w:tabs>
        <w:tab w:val="num" w:pos="1440"/>
      </w:tabs>
      <w:spacing w:before="240" w:after="60"/>
      <w:ind w:left="1440" w:hanging="1440"/>
      <w:outlineLvl w:val="7"/>
    </w:pPr>
    <w:rPr>
      <w:rFonts w:ascii="Verdana" w:eastAsia="Times New Roman" w:hAnsi="Verdana"/>
      <w:i/>
      <w:iCs/>
      <w:szCs w:val="22"/>
      <w:lang w:eastAsia="cs-CZ"/>
    </w:rPr>
  </w:style>
  <w:style w:type="paragraph" w:styleId="Nadpis9">
    <w:name w:val="heading 9"/>
    <w:basedOn w:val="Normln"/>
    <w:next w:val="Normln"/>
    <w:link w:val="Nadpis9Char"/>
    <w:unhideWhenUsed/>
    <w:qFormat/>
    <w:rsid w:val="00725DC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17FE"/>
    <w:rPr>
      <w:rFonts w:asciiTheme="minorHAnsi" w:eastAsiaTheme="majorEastAsia" w:hAnsiTheme="minorHAnsi" w:cstheme="majorBidi"/>
      <w:b/>
      <w:color w:val="249E6B"/>
      <w:sz w:val="32"/>
      <w:szCs w:val="32"/>
      <w:lang w:eastAsia="en-US"/>
    </w:rPr>
  </w:style>
  <w:style w:type="paragraph" w:styleId="Podnadpis">
    <w:name w:val="Subtitle"/>
    <w:basedOn w:val="Bezmezer"/>
    <w:next w:val="Normln"/>
    <w:link w:val="PodnadpisChar"/>
    <w:autoRedefine/>
    <w:uiPriority w:val="11"/>
    <w:qFormat/>
    <w:rsid w:val="00D56AD4"/>
    <w:pPr>
      <w:numPr>
        <w:ilvl w:val="1"/>
      </w:numPr>
      <w:spacing w:after="160"/>
    </w:pPr>
    <w:rPr>
      <w:rFonts w:asciiTheme="minorHAnsi" w:eastAsiaTheme="minorEastAsia" w:hAnsiTheme="minorHAnsi" w:cstheme="minorBidi"/>
      <w:color w:val="0D0D0D" w:themeColor="text1" w:themeTint="F2"/>
      <w:spacing w:val="15"/>
      <w:szCs w:val="22"/>
    </w:rPr>
  </w:style>
  <w:style w:type="paragraph" w:styleId="Bezmezer">
    <w:name w:val="No Spacing"/>
    <w:autoRedefine/>
    <w:uiPriority w:val="1"/>
    <w:qFormat/>
    <w:rsid w:val="00BB7251"/>
    <w:rPr>
      <w:sz w:val="22"/>
      <w:szCs w:val="24"/>
      <w:lang w:eastAsia="en-US"/>
    </w:rPr>
  </w:style>
  <w:style w:type="character" w:customStyle="1" w:styleId="PodnadpisChar">
    <w:name w:val="Podnadpis Char"/>
    <w:basedOn w:val="Standardnpsmoodstavce"/>
    <w:link w:val="Podnadpis"/>
    <w:uiPriority w:val="11"/>
    <w:rsid w:val="00D56AD4"/>
    <w:rPr>
      <w:rFonts w:asciiTheme="minorHAnsi" w:eastAsiaTheme="minorEastAsia" w:hAnsiTheme="minorHAnsi" w:cstheme="minorBidi"/>
      <w:color w:val="0D0D0D" w:themeColor="text1" w:themeTint="F2"/>
      <w:spacing w:val="15"/>
      <w:sz w:val="22"/>
      <w:szCs w:val="22"/>
      <w:lang w:eastAsia="en-US"/>
    </w:rPr>
  </w:style>
  <w:style w:type="character" w:customStyle="1" w:styleId="Nadpis2Char">
    <w:name w:val="Nadpis 2 Char"/>
    <w:aliases w:val="Nadpis Char,Sekce Char,podnadpis Char,SEKCE Char,2 Char,sub-sect Char,h2 Char,A Char,PA Major Section Char,H2 Char,Nadpis 2 beton Char,V_Head2 Char,V_Head21 Char,V_Head22 Char,Podkapitola1 Char,Bižného textu Char,hlavicka Char,H21 Char"/>
    <w:basedOn w:val="Standardnpsmoodstavce"/>
    <w:link w:val="Nadpis2"/>
    <w:qFormat/>
    <w:rsid w:val="00295BCA"/>
    <w:rPr>
      <w:rFonts w:ascii="Verdana" w:eastAsiaTheme="majorEastAsia" w:hAnsi="Verdana" w:cstheme="majorBidi"/>
      <w:b/>
      <w:color w:val="00B050"/>
      <w:sz w:val="22"/>
      <w:szCs w:val="26"/>
      <w:lang w:eastAsia="en-US"/>
    </w:rPr>
  </w:style>
  <w:style w:type="character" w:customStyle="1" w:styleId="Nadpis3Char">
    <w:name w:val="Nadpis 3 Char"/>
    <w:basedOn w:val="Standardnpsmoodstavce"/>
    <w:link w:val="Nadpis3"/>
    <w:rsid w:val="00387E39"/>
    <w:rPr>
      <w:rFonts w:asciiTheme="minorHAnsi" w:eastAsiaTheme="majorEastAsia" w:hAnsiTheme="minorHAnsi" w:cstheme="majorBidi"/>
      <w:b/>
      <w:color w:val="000000" w:themeColor="text1"/>
      <w:sz w:val="22"/>
      <w:szCs w:val="24"/>
      <w:lang w:eastAsia="en-US"/>
    </w:rPr>
  </w:style>
  <w:style w:type="character" w:customStyle="1" w:styleId="Nadpis4Char">
    <w:name w:val="Nadpis 4 Char"/>
    <w:basedOn w:val="Standardnpsmoodstavce"/>
    <w:link w:val="Nadpis4"/>
    <w:uiPriority w:val="9"/>
    <w:rsid w:val="00BB7251"/>
    <w:rPr>
      <w:rFonts w:asciiTheme="minorHAnsi" w:eastAsiaTheme="majorEastAsia" w:hAnsiTheme="minorHAnsi" w:cstheme="majorBidi"/>
      <w:i/>
      <w:iCs/>
      <w:color w:val="249E6B"/>
      <w:sz w:val="22"/>
      <w:szCs w:val="24"/>
      <w:lang w:eastAsia="en-US"/>
    </w:rPr>
  </w:style>
  <w:style w:type="character" w:customStyle="1" w:styleId="Nadpis5Char">
    <w:name w:val="Nadpis 5 Char"/>
    <w:basedOn w:val="Standardnpsmoodstavce"/>
    <w:link w:val="Nadpis5"/>
    <w:uiPriority w:val="9"/>
    <w:rsid w:val="00751239"/>
    <w:rPr>
      <w:rFonts w:asciiTheme="minorHAnsi" w:eastAsiaTheme="majorEastAsia" w:hAnsiTheme="minorHAnsi" w:cstheme="majorBidi"/>
      <w:color w:val="000000" w:themeColor="text1"/>
      <w:sz w:val="22"/>
      <w:szCs w:val="24"/>
      <w:lang w:eastAsia="en-US"/>
    </w:rPr>
  </w:style>
  <w:style w:type="character" w:customStyle="1" w:styleId="Nadpis6Char">
    <w:name w:val="Nadpis 6 Char"/>
    <w:basedOn w:val="Standardnpsmoodstavce"/>
    <w:link w:val="Nadpis6"/>
    <w:rsid w:val="00C03AF4"/>
    <w:rPr>
      <w:rFonts w:ascii="Verdana" w:eastAsia="Times New Roman" w:hAnsi="Verdana"/>
      <w:bCs/>
      <w:sz w:val="22"/>
      <w:szCs w:val="22"/>
      <w:u w:val="single"/>
    </w:rPr>
  </w:style>
  <w:style w:type="character" w:customStyle="1" w:styleId="Nadpis7Char">
    <w:name w:val="Nadpis 7 Char"/>
    <w:basedOn w:val="Standardnpsmoodstavce"/>
    <w:link w:val="Nadpis7"/>
    <w:rsid w:val="00C03AF4"/>
    <w:rPr>
      <w:rFonts w:ascii="Verdana" w:eastAsia="Times New Roman" w:hAnsi="Verdana"/>
      <w:sz w:val="22"/>
      <w:szCs w:val="22"/>
    </w:rPr>
  </w:style>
  <w:style w:type="character" w:customStyle="1" w:styleId="Nadpis8Char">
    <w:name w:val="Nadpis 8 Char"/>
    <w:basedOn w:val="Standardnpsmoodstavce"/>
    <w:link w:val="Nadpis8"/>
    <w:rsid w:val="00C03AF4"/>
    <w:rPr>
      <w:rFonts w:ascii="Verdana" w:eastAsia="Times New Roman" w:hAnsi="Verdana"/>
      <w:i/>
      <w:iCs/>
      <w:sz w:val="22"/>
      <w:szCs w:val="22"/>
    </w:rPr>
  </w:style>
  <w:style w:type="character" w:customStyle="1" w:styleId="Nadpis9Char">
    <w:name w:val="Nadpis 9 Char"/>
    <w:basedOn w:val="Standardnpsmoodstavce"/>
    <w:link w:val="Nadpis9"/>
    <w:uiPriority w:val="9"/>
    <w:semiHidden/>
    <w:rsid w:val="00725DCC"/>
    <w:rPr>
      <w:rFonts w:asciiTheme="majorHAnsi" w:eastAsiaTheme="majorEastAsia" w:hAnsiTheme="majorHAnsi" w:cstheme="majorBidi"/>
      <w:i/>
      <w:iCs/>
      <w:color w:val="272727" w:themeColor="text1" w:themeTint="D8"/>
      <w:sz w:val="21"/>
      <w:szCs w:val="21"/>
      <w:lang w:eastAsia="en-US"/>
    </w:rPr>
  </w:style>
  <w:style w:type="paragraph" w:styleId="Zhlav">
    <w:name w:val="header"/>
    <w:aliases w:val="ho,header odd,first,heading one,Odd Header,h"/>
    <w:basedOn w:val="Normln"/>
    <w:link w:val="ZhlavChar"/>
    <w:unhideWhenUsed/>
    <w:rsid w:val="00447BF5"/>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447BF5"/>
  </w:style>
  <w:style w:type="paragraph" w:styleId="Zpat">
    <w:name w:val="footer"/>
    <w:basedOn w:val="Normln"/>
    <w:link w:val="ZpatChar"/>
    <w:unhideWhenUsed/>
    <w:rsid w:val="00447BF5"/>
    <w:pPr>
      <w:tabs>
        <w:tab w:val="center" w:pos="4536"/>
        <w:tab w:val="right" w:pos="9072"/>
      </w:tabs>
    </w:pPr>
  </w:style>
  <w:style w:type="character" w:customStyle="1" w:styleId="ZpatChar">
    <w:name w:val="Zápatí Char"/>
    <w:basedOn w:val="Standardnpsmoodstavce"/>
    <w:link w:val="Zpat"/>
    <w:rsid w:val="00447BF5"/>
  </w:style>
  <w:style w:type="paragraph" w:customStyle="1" w:styleId="Zkladnodstavec">
    <w:name w:val="[Základní odstavec]"/>
    <w:basedOn w:val="Normln"/>
    <w:uiPriority w:val="99"/>
    <w:rsid w:val="00447BF5"/>
    <w:pPr>
      <w:autoSpaceDE w:val="0"/>
      <w:autoSpaceDN w:val="0"/>
      <w:adjustRightInd w:val="0"/>
      <w:spacing w:line="288" w:lineRule="auto"/>
      <w:textAlignment w:val="center"/>
    </w:pPr>
    <w:rPr>
      <w:rFonts w:ascii="Minion Pro" w:hAnsi="Minion Pro" w:cs="Minion Pro"/>
      <w:color w:val="000000"/>
      <w:lang w:val="en-GB"/>
    </w:rPr>
  </w:style>
  <w:style w:type="paragraph" w:styleId="Textbubliny">
    <w:name w:val="Balloon Text"/>
    <w:basedOn w:val="Normln"/>
    <w:link w:val="TextbublinyChar"/>
    <w:semiHidden/>
    <w:unhideWhenUsed/>
    <w:rsid w:val="00FD218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2188"/>
    <w:rPr>
      <w:rFonts w:ascii="Segoe UI" w:hAnsi="Segoe UI" w:cs="Segoe UI"/>
      <w:sz w:val="18"/>
      <w:szCs w:val="18"/>
      <w:lang w:eastAsia="en-US"/>
    </w:rPr>
  </w:style>
  <w:style w:type="paragraph" w:styleId="Obsah1">
    <w:name w:val="toc 1"/>
    <w:basedOn w:val="Normln"/>
    <w:next w:val="Normln"/>
    <w:autoRedefine/>
    <w:uiPriority w:val="39"/>
    <w:unhideWhenUsed/>
    <w:rsid w:val="00D56AD4"/>
    <w:pPr>
      <w:spacing w:after="100"/>
    </w:pPr>
  </w:style>
  <w:style w:type="paragraph" w:styleId="Odstavecseseznamem">
    <w:name w:val="List Paragraph"/>
    <w:basedOn w:val="Normln"/>
    <w:link w:val="OdstavecseseznamemChar"/>
    <w:uiPriority w:val="34"/>
    <w:qFormat/>
    <w:rsid w:val="00751239"/>
    <w:pPr>
      <w:ind w:left="720"/>
      <w:contextualSpacing/>
    </w:pPr>
  </w:style>
  <w:style w:type="character" w:customStyle="1" w:styleId="OdstavecseseznamemChar">
    <w:name w:val="Odstavec se seznamem Char"/>
    <w:basedOn w:val="Standardnpsmoodstavce"/>
    <w:link w:val="Odstavecseseznamem"/>
    <w:uiPriority w:val="34"/>
    <w:rsid w:val="00427BF0"/>
    <w:rPr>
      <w:sz w:val="22"/>
      <w:szCs w:val="24"/>
      <w:lang w:eastAsia="en-US"/>
    </w:rPr>
  </w:style>
  <w:style w:type="paragraph" w:customStyle="1" w:styleId="paragraph">
    <w:name w:val="paragraph"/>
    <w:basedOn w:val="Normln"/>
    <w:rsid w:val="00895D0D"/>
    <w:pPr>
      <w:spacing w:before="100" w:beforeAutospacing="1" w:after="100" w:afterAutospacing="1"/>
    </w:pPr>
    <w:rPr>
      <w:rFonts w:eastAsiaTheme="minorHAnsi" w:cs="Calibri"/>
      <w:szCs w:val="22"/>
      <w:lang w:eastAsia="cs-CZ"/>
    </w:rPr>
  </w:style>
  <w:style w:type="character" w:customStyle="1" w:styleId="normaltextrun">
    <w:name w:val="normaltextrun"/>
    <w:basedOn w:val="Standardnpsmoodstavce"/>
    <w:rsid w:val="00895D0D"/>
  </w:style>
  <w:style w:type="character" w:customStyle="1" w:styleId="eop">
    <w:name w:val="eop"/>
    <w:basedOn w:val="Standardnpsmoodstavce"/>
    <w:rsid w:val="00895D0D"/>
  </w:style>
  <w:style w:type="paragraph" w:styleId="Nadpisobsahu">
    <w:name w:val="TOC Heading"/>
    <w:basedOn w:val="Nadpis1"/>
    <w:next w:val="Normln"/>
    <w:uiPriority w:val="39"/>
    <w:unhideWhenUsed/>
    <w:qFormat/>
    <w:rsid w:val="00A85A35"/>
    <w:pPr>
      <w:spacing w:line="259" w:lineRule="auto"/>
      <w:outlineLvl w:val="9"/>
    </w:pPr>
    <w:rPr>
      <w:rFonts w:asciiTheme="majorHAnsi" w:hAnsiTheme="majorHAnsi"/>
      <w:b w:val="0"/>
      <w:color w:val="2F5496" w:themeColor="accent1" w:themeShade="BF"/>
      <w:lang w:eastAsia="cs-CZ"/>
    </w:rPr>
  </w:style>
  <w:style w:type="paragraph" w:styleId="Obsah2">
    <w:name w:val="toc 2"/>
    <w:basedOn w:val="Normln"/>
    <w:next w:val="Normln"/>
    <w:autoRedefine/>
    <w:unhideWhenUsed/>
    <w:rsid w:val="00A85A35"/>
    <w:pPr>
      <w:spacing w:after="100" w:line="259" w:lineRule="auto"/>
      <w:ind w:left="220"/>
    </w:pPr>
    <w:rPr>
      <w:rFonts w:asciiTheme="minorHAnsi" w:eastAsiaTheme="minorEastAsia" w:hAnsiTheme="minorHAnsi"/>
      <w:szCs w:val="22"/>
      <w:lang w:eastAsia="cs-CZ"/>
    </w:rPr>
  </w:style>
  <w:style w:type="paragraph" w:styleId="Obsah3">
    <w:name w:val="toc 3"/>
    <w:basedOn w:val="Normln"/>
    <w:next w:val="Normln"/>
    <w:autoRedefine/>
    <w:unhideWhenUsed/>
    <w:rsid w:val="00A85A35"/>
    <w:pPr>
      <w:spacing w:after="100" w:line="259" w:lineRule="auto"/>
      <w:ind w:left="440"/>
    </w:pPr>
    <w:rPr>
      <w:rFonts w:asciiTheme="minorHAnsi" w:eastAsiaTheme="minorEastAsia" w:hAnsiTheme="minorHAnsi"/>
      <w:szCs w:val="22"/>
      <w:lang w:eastAsia="cs-CZ"/>
    </w:rPr>
  </w:style>
  <w:style w:type="character" w:styleId="Hypertextovodkaz">
    <w:name w:val="Hyperlink"/>
    <w:basedOn w:val="Standardnpsmoodstavce"/>
    <w:uiPriority w:val="99"/>
    <w:unhideWhenUsed/>
    <w:rsid w:val="00A85A35"/>
    <w:rPr>
      <w:color w:val="0563C1" w:themeColor="hyperlink"/>
      <w:u w:val="single"/>
    </w:rPr>
  </w:style>
  <w:style w:type="paragraph" w:styleId="Normlnweb">
    <w:name w:val="Normal (Web)"/>
    <w:basedOn w:val="Normln"/>
    <w:unhideWhenUsed/>
    <w:rsid w:val="001E01BE"/>
    <w:pPr>
      <w:spacing w:before="100" w:beforeAutospacing="1" w:after="100" w:afterAutospacing="1"/>
    </w:pPr>
    <w:rPr>
      <w:rFonts w:ascii="Times New Roman" w:eastAsia="Times New Roman" w:hAnsi="Times New Roman"/>
      <w:sz w:val="24"/>
      <w:lang w:eastAsia="cs-CZ"/>
    </w:rPr>
  </w:style>
  <w:style w:type="character" w:styleId="Nevyeenzmnka">
    <w:name w:val="Unresolved Mention"/>
    <w:basedOn w:val="Standardnpsmoodstavce"/>
    <w:uiPriority w:val="99"/>
    <w:semiHidden/>
    <w:unhideWhenUsed/>
    <w:rsid w:val="00F40432"/>
    <w:rPr>
      <w:color w:val="605E5C"/>
      <w:shd w:val="clear" w:color="auto" w:fill="E1DFDD"/>
    </w:rPr>
  </w:style>
  <w:style w:type="paragraph" w:customStyle="1" w:styleId="msonormal0">
    <w:name w:val="msonormal"/>
    <w:basedOn w:val="Normln"/>
    <w:rsid w:val="00725DCC"/>
    <w:pPr>
      <w:spacing w:before="100" w:beforeAutospacing="1" w:after="100" w:afterAutospacing="1"/>
    </w:pPr>
    <w:rPr>
      <w:rFonts w:ascii="Times New Roman" w:eastAsia="Times New Roman" w:hAnsi="Times New Roman"/>
      <w:sz w:val="24"/>
      <w:lang w:eastAsia="cs-CZ"/>
    </w:rPr>
  </w:style>
  <w:style w:type="paragraph" w:styleId="Zkladntext">
    <w:name w:val="Body Text"/>
    <w:basedOn w:val="Normln"/>
    <w:link w:val="ZkladntextChar"/>
    <w:unhideWhenUsed/>
    <w:rsid w:val="00725DCC"/>
    <w:pPr>
      <w:jc w:val="center"/>
    </w:pPr>
    <w:rPr>
      <w:rFonts w:ascii="Times New Roman" w:eastAsia="Times New Roman" w:hAnsi="Times New Roman"/>
      <w:b/>
      <w:i/>
      <w:sz w:val="36"/>
      <w:szCs w:val="20"/>
      <w:u w:val="single"/>
      <w:lang w:eastAsia="cs-CZ"/>
    </w:rPr>
  </w:style>
  <w:style w:type="character" w:customStyle="1" w:styleId="ZkladntextChar">
    <w:name w:val="Základní text Char"/>
    <w:basedOn w:val="Standardnpsmoodstavce"/>
    <w:link w:val="Zkladntext"/>
    <w:semiHidden/>
    <w:rsid w:val="00725DCC"/>
    <w:rPr>
      <w:rFonts w:ascii="Times New Roman" w:eastAsia="Times New Roman" w:hAnsi="Times New Roman"/>
      <w:b/>
      <w:i/>
      <w:sz w:val="36"/>
      <w:u w:val="single"/>
    </w:rPr>
  </w:style>
  <w:style w:type="paragraph" w:customStyle="1" w:styleId="Tabellentext">
    <w:name w:val="Tabellentext"/>
    <w:basedOn w:val="Normln"/>
    <w:rsid w:val="00725DCC"/>
    <w:pPr>
      <w:keepLines/>
      <w:spacing w:before="40" w:after="40"/>
    </w:pPr>
    <w:rPr>
      <w:rFonts w:ascii="CorpoS" w:eastAsia="Times New Roman" w:hAnsi="CorpoS"/>
      <w:lang w:val="de-DE" w:eastAsia="cs-CZ"/>
    </w:rPr>
  </w:style>
  <w:style w:type="paragraph" w:customStyle="1" w:styleId="Zkladntext31">
    <w:name w:val="Základní text 31"/>
    <w:basedOn w:val="Normln"/>
    <w:rsid w:val="00725DCC"/>
    <w:pPr>
      <w:widowControl w:val="0"/>
      <w:jc w:val="both"/>
    </w:pPr>
    <w:rPr>
      <w:rFonts w:ascii="Arial" w:eastAsia="Times New Roman" w:hAnsi="Arial"/>
      <w:sz w:val="24"/>
      <w:szCs w:val="20"/>
      <w:lang w:eastAsia="cs-CZ"/>
    </w:rPr>
  </w:style>
  <w:style w:type="paragraph" w:customStyle="1" w:styleId="Default">
    <w:name w:val="Default"/>
    <w:rsid w:val="004C5147"/>
    <w:pPr>
      <w:autoSpaceDE w:val="0"/>
      <w:autoSpaceDN w:val="0"/>
      <w:adjustRightInd w:val="0"/>
    </w:pPr>
    <w:rPr>
      <w:rFonts w:ascii="Times New Roman" w:hAnsi="Times New Roman"/>
      <w:color w:val="000000"/>
      <w:sz w:val="24"/>
      <w:szCs w:val="24"/>
    </w:rPr>
  </w:style>
  <w:style w:type="table" w:styleId="Mkatabulky">
    <w:name w:val="Table Grid"/>
    <w:basedOn w:val="Normlntabulka"/>
    <w:rsid w:val="00705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ce">
    <w:name w:val="Akce"/>
    <w:basedOn w:val="Normln"/>
    <w:qFormat/>
    <w:rsid w:val="000D318D"/>
    <w:pPr>
      <w:keepNext/>
      <w:spacing w:after="120"/>
      <w:jc w:val="both"/>
    </w:pPr>
    <w:rPr>
      <w:rFonts w:ascii="Verdana" w:eastAsia="Times New Roman" w:hAnsi="Verdana"/>
      <w:b/>
      <w:sz w:val="20"/>
      <w:szCs w:val="20"/>
    </w:rPr>
  </w:style>
  <w:style w:type="paragraph" w:styleId="AdresaHTML">
    <w:name w:val="HTML Address"/>
    <w:basedOn w:val="Normln"/>
    <w:link w:val="AdresaHTMLChar"/>
    <w:autoRedefine/>
    <w:rsid w:val="00C03AF4"/>
    <w:rPr>
      <w:rFonts w:ascii="Verdana" w:eastAsia="Times New Roman" w:hAnsi="Verdana"/>
      <w:iCs/>
      <w:szCs w:val="22"/>
      <w:lang w:eastAsia="cs-CZ"/>
    </w:rPr>
  </w:style>
  <w:style w:type="character" w:customStyle="1" w:styleId="AdresaHTMLChar">
    <w:name w:val="Adresa HTML Char"/>
    <w:basedOn w:val="Standardnpsmoodstavce"/>
    <w:link w:val="AdresaHTML"/>
    <w:rsid w:val="00C03AF4"/>
    <w:rPr>
      <w:rFonts w:ascii="Verdana" w:eastAsia="Times New Roman" w:hAnsi="Verdana"/>
      <w:iCs/>
      <w:sz w:val="22"/>
      <w:szCs w:val="22"/>
    </w:rPr>
  </w:style>
  <w:style w:type="character" w:styleId="AkronymHTML">
    <w:name w:val="HTML Acronym"/>
    <w:rsid w:val="00C03AF4"/>
    <w:rPr>
      <w:rFonts w:ascii="Verdana" w:hAnsi="Verdana"/>
    </w:rPr>
  </w:style>
  <w:style w:type="paragraph" w:customStyle="1" w:styleId="Cena">
    <w:name w:val="Cena"/>
    <w:basedOn w:val="Normln"/>
    <w:autoRedefine/>
    <w:semiHidden/>
    <w:rsid w:val="00C03AF4"/>
    <w:pPr>
      <w:tabs>
        <w:tab w:val="right" w:pos="8789"/>
      </w:tabs>
    </w:pPr>
    <w:rPr>
      <w:rFonts w:ascii="Verdana" w:eastAsia="Times New Roman" w:hAnsi="Verdana"/>
      <w:szCs w:val="22"/>
      <w:lang w:eastAsia="cs-CZ"/>
    </w:rPr>
  </w:style>
  <w:style w:type="character" w:styleId="CittHTML">
    <w:name w:val="HTML Cite"/>
    <w:rsid w:val="00C03AF4"/>
    <w:rPr>
      <w:rFonts w:ascii="Verdana" w:hAnsi="Verdana"/>
      <w:iCs/>
    </w:rPr>
  </w:style>
  <w:style w:type="character" w:styleId="slodku">
    <w:name w:val="line number"/>
    <w:rsid w:val="00C03AF4"/>
    <w:rPr>
      <w:rFonts w:ascii="Verdana" w:hAnsi="Verdana"/>
    </w:rPr>
  </w:style>
  <w:style w:type="character" w:styleId="slostrnky">
    <w:name w:val="page number"/>
    <w:rsid w:val="00C03AF4"/>
    <w:rPr>
      <w:rFonts w:ascii="Verdana" w:hAnsi="Verdana"/>
    </w:rPr>
  </w:style>
  <w:style w:type="paragraph" w:styleId="slovanseznam">
    <w:name w:val="List Number"/>
    <w:basedOn w:val="Normln"/>
    <w:autoRedefine/>
    <w:rsid w:val="00C03AF4"/>
    <w:pPr>
      <w:numPr>
        <w:numId w:val="1"/>
      </w:numPr>
    </w:pPr>
    <w:rPr>
      <w:rFonts w:ascii="Verdana" w:eastAsia="Times New Roman" w:hAnsi="Verdana"/>
      <w:szCs w:val="22"/>
      <w:lang w:eastAsia="cs-CZ"/>
    </w:rPr>
  </w:style>
  <w:style w:type="paragraph" w:styleId="slovanseznam2">
    <w:name w:val="List Number 2"/>
    <w:basedOn w:val="Normln"/>
    <w:autoRedefine/>
    <w:rsid w:val="00C03AF4"/>
    <w:pPr>
      <w:numPr>
        <w:numId w:val="2"/>
      </w:numPr>
    </w:pPr>
    <w:rPr>
      <w:rFonts w:ascii="Verdana" w:eastAsia="Times New Roman" w:hAnsi="Verdana"/>
      <w:szCs w:val="22"/>
      <w:lang w:eastAsia="cs-CZ"/>
    </w:rPr>
  </w:style>
  <w:style w:type="paragraph" w:styleId="slovanseznam3">
    <w:name w:val="List Number 3"/>
    <w:basedOn w:val="Normln"/>
    <w:autoRedefine/>
    <w:rsid w:val="00C03AF4"/>
    <w:pPr>
      <w:numPr>
        <w:numId w:val="9"/>
      </w:numPr>
      <w:tabs>
        <w:tab w:val="clear" w:pos="360"/>
        <w:tab w:val="num" w:pos="926"/>
      </w:tabs>
      <w:ind w:left="926"/>
    </w:pPr>
    <w:rPr>
      <w:rFonts w:ascii="Verdana" w:eastAsia="Times New Roman" w:hAnsi="Verdana"/>
      <w:szCs w:val="22"/>
      <w:lang w:eastAsia="cs-CZ"/>
    </w:rPr>
  </w:style>
  <w:style w:type="paragraph" w:styleId="slovanseznam4">
    <w:name w:val="List Number 4"/>
    <w:basedOn w:val="Normln"/>
    <w:autoRedefine/>
    <w:rsid w:val="00C03AF4"/>
    <w:pPr>
      <w:numPr>
        <w:numId w:val="10"/>
      </w:numPr>
      <w:tabs>
        <w:tab w:val="clear" w:pos="643"/>
        <w:tab w:val="num" w:pos="1209"/>
      </w:tabs>
      <w:ind w:left="1209"/>
    </w:pPr>
    <w:rPr>
      <w:rFonts w:ascii="Verdana" w:eastAsia="Times New Roman" w:hAnsi="Verdana"/>
      <w:szCs w:val="22"/>
      <w:lang w:eastAsia="cs-CZ"/>
    </w:rPr>
  </w:style>
  <w:style w:type="paragraph" w:styleId="slovanseznam5">
    <w:name w:val="List Number 5"/>
    <w:basedOn w:val="Normln"/>
    <w:autoRedefine/>
    <w:rsid w:val="00C03AF4"/>
    <w:pPr>
      <w:numPr>
        <w:numId w:val="11"/>
      </w:numPr>
      <w:tabs>
        <w:tab w:val="clear" w:pos="926"/>
        <w:tab w:val="num" w:pos="1492"/>
      </w:tabs>
      <w:ind w:left="1492"/>
    </w:pPr>
    <w:rPr>
      <w:rFonts w:ascii="Verdana" w:eastAsia="Times New Roman" w:hAnsi="Verdana"/>
      <w:szCs w:val="22"/>
      <w:lang w:eastAsia="cs-CZ"/>
    </w:rPr>
  </w:style>
  <w:style w:type="paragraph" w:styleId="Datum">
    <w:name w:val="Date"/>
    <w:basedOn w:val="Normln"/>
    <w:next w:val="Normln"/>
    <w:link w:val="DatumChar"/>
    <w:autoRedefine/>
    <w:rsid w:val="00C03AF4"/>
    <w:pPr>
      <w:numPr>
        <w:numId w:val="12"/>
      </w:numPr>
      <w:tabs>
        <w:tab w:val="clear" w:pos="1209"/>
      </w:tabs>
      <w:ind w:left="0" w:firstLine="0"/>
    </w:pPr>
    <w:rPr>
      <w:rFonts w:ascii="Verdana" w:eastAsia="Times New Roman" w:hAnsi="Verdana"/>
      <w:szCs w:val="22"/>
      <w:lang w:eastAsia="cs-CZ"/>
    </w:rPr>
  </w:style>
  <w:style w:type="character" w:customStyle="1" w:styleId="DatumChar">
    <w:name w:val="Datum Char"/>
    <w:basedOn w:val="Standardnpsmoodstavce"/>
    <w:link w:val="Datum"/>
    <w:rsid w:val="00C03AF4"/>
    <w:rPr>
      <w:rFonts w:ascii="Verdana" w:eastAsia="Times New Roman" w:hAnsi="Verdana"/>
      <w:sz w:val="22"/>
      <w:szCs w:val="22"/>
    </w:rPr>
  </w:style>
  <w:style w:type="character" w:styleId="DefiniceHTML">
    <w:name w:val="HTML Definition"/>
    <w:rsid w:val="00C03AF4"/>
    <w:rPr>
      <w:rFonts w:ascii="Verdana" w:hAnsi="Verdana"/>
      <w:iCs/>
    </w:rPr>
  </w:style>
  <w:style w:type="paragraph" w:styleId="FormtovanvHTML">
    <w:name w:val="HTML Preformatted"/>
    <w:basedOn w:val="Normln"/>
    <w:link w:val="FormtovanvHTMLChar"/>
    <w:rsid w:val="00C03AF4"/>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C03AF4"/>
    <w:rPr>
      <w:rFonts w:ascii="Courier New" w:eastAsia="Times New Roman" w:hAnsi="Courier New" w:cs="Courier New"/>
    </w:rPr>
  </w:style>
  <w:style w:type="character" w:styleId="KlvesniceHTML">
    <w:name w:val="HTML Keyboard"/>
    <w:rsid w:val="00C03AF4"/>
    <w:rPr>
      <w:rFonts w:ascii="Courier New" w:hAnsi="Courier New" w:cs="Courier New"/>
      <w:sz w:val="20"/>
      <w:szCs w:val="20"/>
    </w:rPr>
  </w:style>
  <w:style w:type="character" w:styleId="KdHTML">
    <w:name w:val="HTML Code"/>
    <w:rsid w:val="00C03AF4"/>
    <w:rPr>
      <w:rFonts w:ascii="Courier New" w:hAnsi="Courier New" w:cs="Courier New"/>
      <w:sz w:val="20"/>
      <w:szCs w:val="20"/>
    </w:rPr>
  </w:style>
  <w:style w:type="paragraph" w:styleId="Nadpispoznmky">
    <w:name w:val="Note Heading"/>
    <w:basedOn w:val="Normln"/>
    <w:next w:val="Normln"/>
    <w:link w:val="NadpispoznmkyChar"/>
    <w:autoRedefine/>
    <w:rsid w:val="00C03AF4"/>
    <w:rPr>
      <w:rFonts w:ascii="Verdana" w:eastAsia="Times New Roman" w:hAnsi="Verdana"/>
      <w:szCs w:val="22"/>
      <w:lang w:eastAsia="cs-CZ"/>
    </w:rPr>
  </w:style>
  <w:style w:type="character" w:customStyle="1" w:styleId="NadpispoznmkyChar">
    <w:name w:val="Nadpis poznámky Char"/>
    <w:basedOn w:val="Standardnpsmoodstavce"/>
    <w:link w:val="Nadpispoznmky"/>
    <w:rsid w:val="00C03AF4"/>
    <w:rPr>
      <w:rFonts w:ascii="Verdana" w:eastAsia="Times New Roman" w:hAnsi="Verdana"/>
      <w:sz w:val="22"/>
      <w:szCs w:val="22"/>
    </w:rPr>
  </w:style>
  <w:style w:type="paragraph" w:styleId="Nzev">
    <w:name w:val="Title"/>
    <w:basedOn w:val="Normln"/>
    <w:link w:val="NzevChar"/>
    <w:qFormat/>
    <w:rsid w:val="00C03AF4"/>
    <w:pPr>
      <w:spacing w:before="240" w:after="60"/>
      <w:jc w:val="center"/>
      <w:outlineLvl w:val="0"/>
    </w:pPr>
    <w:rPr>
      <w:rFonts w:ascii="Verdana" w:eastAsia="Times New Roman" w:hAnsi="Verdana" w:cs="Arial"/>
      <w:b/>
      <w:bCs/>
      <w:kern w:val="28"/>
      <w:sz w:val="32"/>
      <w:szCs w:val="32"/>
      <w:lang w:eastAsia="cs-CZ"/>
    </w:rPr>
  </w:style>
  <w:style w:type="character" w:customStyle="1" w:styleId="NzevChar">
    <w:name w:val="Název Char"/>
    <w:basedOn w:val="Standardnpsmoodstavce"/>
    <w:link w:val="Nzev"/>
    <w:rsid w:val="00C03AF4"/>
    <w:rPr>
      <w:rFonts w:ascii="Verdana" w:eastAsia="Times New Roman" w:hAnsi="Verdana" w:cs="Arial"/>
      <w:b/>
      <w:bCs/>
      <w:kern w:val="28"/>
      <w:sz w:val="32"/>
      <w:szCs w:val="32"/>
    </w:rPr>
  </w:style>
  <w:style w:type="paragraph" w:styleId="Normlnodsazen">
    <w:name w:val="Normal Indent"/>
    <w:basedOn w:val="Normln"/>
    <w:rsid w:val="00C03AF4"/>
    <w:pPr>
      <w:ind w:left="454"/>
    </w:pPr>
    <w:rPr>
      <w:rFonts w:ascii="Arial" w:eastAsia="Times New Roman" w:hAnsi="Arial"/>
      <w:szCs w:val="22"/>
      <w:lang w:eastAsia="cs-CZ"/>
    </w:rPr>
  </w:style>
  <w:style w:type="paragraph" w:styleId="Obsah4">
    <w:name w:val="toc 4"/>
    <w:basedOn w:val="Normln"/>
    <w:next w:val="Normln"/>
    <w:autoRedefine/>
    <w:semiHidden/>
    <w:rsid w:val="00C03AF4"/>
    <w:pPr>
      <w:ind w:left="600"/>
    </w:pPr>
    <w:rPr>
      <w:rFonts w:ascii="Arial" w:eastAsia="Times New Roman" w:hAnsi="Arial"/>
      <w:szCs w:val="22"/>
      <w:lang w:eastAsia="cs-CZ"/>
    </w:rPr>
  </w:style>
  <w:style w:type="paragraph" w:styleId="Obsah5">
    <w:name w:val="toc 5"/>
    <w:basedOn w:val="Normln"/>
    <w:next w:val="Normln"/>
    <w:autoRedefine/>
    <w:semiHidden/>
    <w:rsid w:val="00C03AF4"/>
    <w:pPr>
      <w:ind w:left="800"/>
    </w:pPr>
    <w:rPr>
      <w:rFonts w:ascii="Arial" w:eastAsia="Times New Roman" w:hAnsi="Arial"/>
      <w:szCs w:val="22"/>
      <w:lang w:eastAsia="cs-CZ"/>
    </w:rPr>
  </w:style>
  <w:style w:type="paragraph" w:styleId="Obsah6">
    <w:name w:val="toc 6"/>
    <w:basedOn w:val="Normln"/>
    <w:next w:val="Normln"/>
    <w:autoRedefine/>
    <w:semiHidden/>
    <w:rsid w:val="00C03AF4"/>
    <w:pPr>
      <w:tabs>
        <w:tab w:val="right" w:leader="dot" w:pos="8789"/>
      </w:tabs>
      <w:ind w:left="1000"/>
    </w:pPr>
    <w:rPr>
      <w:rFonts w:ascii="Arial" w:eastAsia="Times New Roman" w:hAnsi="Arial"/>
      <w:szCs w:val="22"/>
      <w:lang w:eastAsia="cs-CZ"/>
    </w:rPr>
  </w:style>
  <w:style w:type="paragraph" w:styleId="Obsah7">
    <w:name w:val="toc 7"/>
    <w:basedOn w:val="Normln"/>
    <w:next w:val="Normln"/>
    <w:autoRedefine/>
    <w:semiHidden/>
    <w:rsid w:val="00C03AF4"/>
    <w:pPr>
      <w:tabs>
        <w:tab w:val="right" w:leader="dot" w:pos="8789"/>
      </w:tabs>
      <w:ind w:left="1200"/>
    </w:pPr>
    <w:rPr>
      <w:rFonts w:ascii="Arial" w:eastAsia="Times New Roman" w:hAnsi="Arial"/>
      <w:szCs w:val="22"/>
      <w:lang w:eastAsia="cs-CZ"/>
    </w:rPr>
  </w:style>
  <w:style w:type="paragraph" w:styleId="Obsah8">
    <w:name w:val="toc 8"/>
    <w:basedOn w:val="Normln"/>
    <w:next w:val="Normln"/>
    <w:autoRedefine/>
    <w:semiHidden/>
    <w:rsid w:val="00C03AF4"/>
    <w:pPr>
      <w:tabs>
        <w:tab w:val="right" w:leader="dot" w:pos="8789"/>
      </w:tabs>
      <w:ind w:left="1400"/>
    </w:pPr>
    <w:rPr>
      <w:rFonts w:ascii="Arial" w:eastAsia="Times New Roman" w:hAnsi="Arial"/>
      <w:szCs w:val="22"/>
      <w:lang w:eastAsia="cs-CZ"/>
    </w:rPr>
  </w:style>
  <w:style w:type="paragraph" w:styleId="Obsah9">
    <w:name w:val="toc 9"/>
    <w:basedOn w:val="Normln"/>
    <w:next w:val="Normln"/>
    <w:autoRedefine/>
    <w:semiHidden/>
    <w:rsid w:val="00C03AF4"/>
    <w:pPr>
      <w:tabs>
        <w:tab w:val="right" w:leader="dot" w:pos="8789"/>
      </w:tabs>
      <w:ind w:left="1600"/>
    </w:pPr>
    <w:rPr>
      <w:rFonts w:ascii="Arial" w:eastAsia="Times New Roman" w:hAnsi="Arial"/>
      <w:szCs w:val="22"/>
      <w:lang w:eastAsia="cs-CZ"/>
    </w:rPr>
  </w:style>
  <w:style w:type="paragraph" w:styleId="Osloven">
    <w:name w:val="Salutation"/>
    <w:basedOn w:val="Normln"/>
    <w:next w:val="Normln"/>
    <w:link w:val="OslovenChar"/>
    <w:rsid w:val="00C03AF4"/>
    <w:rPr>
      <w:rFonts w:ascii="Arial" w:eastAsia="Times New Roman" w:hAnsi="Arial"/>
      <w:szCs w:val="22"/>
      <w:lang w:eastAsia="cs-CZ"/>
    </w:rPr>
  </w:style>
  <w:style w:type="character" w:customStyle="1" w:styleId="OslovenChar">
    <w:name w:val="Oslovení Char"/>
    <w:basedOn w:val="Standardnpsmoodstavce"/>
    <w:link w:val="Osloven"/>
    <w:rsid w:val="00C03AF4"/>
    <w:rPr>
      <w:rFonts w:ascii="Arial" w:eastAsia="Times New Roman" w:hAnsi="Arial"/>
      <w:sz w:val="22"/>
      <w:szCs w:val="22"/>
    </w:rPr>
  </w:style>
  <w:style w:type="paragraph" w:styleId="Podpis">
    <w:name w:val="Signature"/>
    <w:basedOn w:val="Normln"/>
    <w:link w:val="PodpisChar"/>
    <w:rsid w:val="00C03AF4"/>
    <w:pPr>
      <w:tabs>
        <w:tab w:val="left" w:pos="5954"/>
      </w:tabs>
      <w:ind w:left="5954"/>
    </w:pPr>
    <w:rPr>
      <w:rFonts w:ascii="Arial" w:eastAsia="Times New Roman" w:hAnsi="Arial"/>
      <w:b/>
      <w:szCs w:val="22"/>
      <w:lang w:eastAsia="cs-CZ"/>
    </w:rPr>
  </w:style>
  <w:style w:type="character" w:customStyle="1" w:styleId="PodpisChar">
    <w:name w:val="Podpis Char"/>
    <w:basedOn w:val="Standardnpsmoodstavce"/>
    <w:link w:val="Podpis"/>
    <w:rsid w:val="00C03AF4"/>
    <w:rPr>
      <w:rFonts w:ascii="Arial" w:eastAsia="Times New Roman" w:hAnsi="Arial"/>
      <w:b/>
      <w:sz w:val="22"/>
      <w:szCs w:val="22"/>
    </w:rPr>
  </w:style>
  <w:style w:type="paragraph" w:customStyle="1" w:styleId="Podpodpisem">
    <w:name w:val="Pod_podpisem"/>
    <w:basedOn w:val="Podpis"/>
    <w:autoRedefine/>
    <w:semiHidden/>
    <w:rsid w:val="00C03AF4"/>
    <w:rPr>
      <w:b w:val="0"/>
      <w:sz w:val="18"/>
    </w:rPr>
  </w:style>
  <w:style w:type="paragraph" w:styleId="Podpise-mailu">
    <w:name w:val="E-mail Signature"/>
    <w:basedOn w:val="Normln"/>
    <w:link w:val="Podpise-mailuChar"/>
    <w:rsid w:val="00C03AF4"/>
    <w:rPr>
      <w:rFonts w:ascii="Arial" w:eastAsia="Times New Roman" w:hAnsi="Arial"/>
      <w:szCs w:val="22"/>
      <w:lang w:eastAsia="cs-CZ"/>
    </w:rPr>
  </w:style>
  <w:style w:type="character" w:customStyle="1" w:styleId="Podpise-mailuChar">
    <w:name w:val="Podpis e-mailu Char"/>
    <w:basedOn w:val="Standardnpsmoodstavce"/>
    <w:link w:val="Podpise-mailu"/>
    <w:rsid w:val="00C03AF4"/>
    <w:rPr>
      <w:rFonts w:ascii="Arial" w:eastAsia="Times New Roman" w:hAnsi="Arial"/>
      <w:sz w:val="22"/>
      <w:szCs w:val="22"/>
    </w:rPr>
  </w:style>
  <w:style w:type="paragraph" w:styleId="Pokraovnseznamu">
    <w:name w:val="List Continue"/>
    <w:basedOn w:val="Normln"/>
    <w:rsid w:val="00C03AF4"/>
    <w:pPr>
      <w:spacing w:after="120"/>
      <w:ind w:left="283"/>
    </w:pPr>
    <w:rPr>
      <w:rFonts w:ascii="Arial" w:eastAsia="Times New Roman" w:hAnsi="Arial"/>
      <w:szCs w:val="22"/>
      <w:lang w:eastAsia="cs-CZ"/>
    </w:rPr>
  </w:style>
  <w:style w:type="paragraph" w:styleId="Pokraovnseznamu2">
    <w:name w:val="List Continue 2"/>
    <w:basedOn w:val="Normln"/>
    <w:rsid w:val="00C03AF4"/>
    <w:pPr>
      <w:spacing w:after="120"/>
      <w:ind w:left="566"/>
    </w:pPr>
    <w:rPr>
      <w:rFonts w:ascii="Arial" w:eastAsia="Times New Roman" w:hAnsi="Arial"/>
      <w:szCs w:val="22"/>
      <w:lang w:eastAsia="cs-CZ"/>
    </w:rPr>
  </w:style>
  <w:style w:type="paragraph" w:styleId="Pokraovnseznamu3">
    <w:name w:val="List Continue 3"/>
    <w:basedOn w:val="Normln"/>
    <w:rsid w:val="00C03AF4"/>
    <w:pPr>
      <w:spacing w:after="120"/>
      <w:ind w:left="849"/>
    </w:pPr>
    <w:rPr>
      <w:rFonts w:ascii="Arial" w:eastAsia="Times New Roman" w:hAnsi="Arial"/>
      <w:szCs w:val="22"/>
      <w:lang w:eastAsia="cs-CZ"/>
    </w:rPr>
  </w:style>
  <w:style w:type="paragraph" w:styleId="Pokraovnseznamu4">
    <w:name w:val="List Continue 4"/>
    <w:basedOn w:val="Normln"/>
    <w:rsid w:val="00C03AF4"/>
    <w:pPr>
      <w:spacing w:after="120"/>
      <w:ind w:left="1132"/>
    </w:pPr>
    <w:rPr>
      <w:rFonts w:ascii="Arial" w:eastAsia="Times New Roman" w:hAnsi="Arial"/>
      <w:szCs w:val="22"/>
      <w:lang w:eastAsia="cs-CZ"/>
    </w:rPr>
  </w:style>
  <w:style w:type="paragraph" w:styleId="Pokraovnseznamu5">
    <w:name w:val="List Continue 5"/>
    <w:basedOn w:val="Normln"/>
    <w:rsid w:val="00C03AF4"/>
    <w:pPr>
      <w:spacing w:after="120"/>
      <w:ind w:left="1415"/>
    </w:pPr>
    <w:rPr>
      <w:rFonts w:ascii="Arial" w:eastAsia="Times New Roman" w:hAnsi="Arial"/>
      <w:szCs w:val="22"/>
      <w:lang w:eastAsia="cs-CZ"/>
    </w:rPr>
  </w:style>
  <w:style w:type="character" w:styleId="PromnnHTML">
    <w:name w:val="HTML Variable"/>
    <w:rsid w:val="00C03AF4"/>
    <w:rPr>
      <w:rFonts w:ascii="Verdana" w:hAnsi="Verdana"/>
      <w:iCs/>
    </w:rPr>
  </w:style>
  <w:style w:type="paragraph" w:styleId="Prosttext">
    <w:name w:val="Plain Text"/>
    <w:basedOn w:val="Normln"/>
    <w:link w:val="ProsttextChar"/>
    <w:rsid w:val="00C03AF4"/>
    <w:rPr>
      <w:rFonts w:ascii="Arial" w:eastAsia="Times New Roman" w:hAnsi="Arial" w:cs="Courier New"/>
      <w:szCs w:val="20"/>
      <w:lang w:eastAsia="cs-CZ"/>
    </w:rPr>
  </w:style>
  <w:style w:type="character" w:customStyle="1" w:styleId="ProsttextChar">
    <w:name w:val="Prostý text Char"/>
    <w:basedOn w:val="Standardnpsmoodstavce"/>
    <w:link w:val="Prosttext"/>
    <w:rsid w:val="00C03AF4"/>
    <w:rPr>
      <w:rFonts w:ascii="Arial" w:eastAsia="Times New Roman" w:hAnsi="Arial" w:cs="Courier New"/>
      <w:sz w:val="22"/>
    </w:rPr>
  </w:style>
  <w:style w:type="character" w:styleId="PsacstrojHTML">
    <w:name w:val="HTML Typewriter"/>
    <w:rsid w:val="00C03AF4"/>
    <w:rPr>
      <w:rFonts w:ascii="Courier New" w:hAnsi="Courier New" w:cs="Courier New"/>
      <w:sz w:val="20"/>
      <w:szCs w:val="20"/>
    </w:rPr>
  </w:style>
  <w:style w:type="paragraph" w:styleId="Seznam">
    <w:name w:val="List"/>
    <w:basedOn w:val="Normln"/>
    <w:rsid w:val="00C03AF4"/>
    <w:pPr>
      <w:ind w:left="283" w:hanging="283"/>
    </w:pPr>
    <w:rPr>
      <w:rFonts w:ascii="Arial" w:eastAsia="Times New Roman" w:hAnsi="Arial"/>
      <w:szCs w:val="22"/>
      <w:lang w:eastAsia="cs-CZ"/>
    </w:rPr>
  </w:style>
  <w:style w:type="paragraph" w:styleId="Seznam2">
    <w:name w:val="List 2"/>
    <w:basedOn w:val="Normln"/>
    <w:rsid w:val="00C03AF4"/>
    <w:pPr>
      <w:ind w:left="566" w:hanging="283"/>
    </w:pPr>
    <w:rPr>
      <w:rFonts w:ascii="Arial" w:eastAsia="Times New Roman" w:hAnsi="Arial"/>
      <w:szCs w:val="22"/>
      <w:lang w:eastAsia="cs-CZ"/>
    </w:rPr>
  </w:style>
  <w:style w:type="paragraph" w:styleId="Seznam3">
    <w:name w:val="List 3"/>
    <w:basedOn w:val="Normln"/>
    <w:rsid w:val="00C03AF4"/>
    <w:pPr>
      <w:ind w:left="849" w:hanging="283"/>
    </w:pPr>
    <w:rPr>
      <w:rFonts w:ascii="Arial" w:eastAsia="Times New Roman" w:hAnsi="Arial"/>
      <w:szCs w:val="22"/>
      <w:lang w:eastAsia="cs-CZ"/>
    </w:rPr>
  </w:style>
  <w:style w:type="paragraph" w:styleId="Seznam4">
    <w:name w:val="List 4"/>
    <w:basedOn w:val="Normln"/>
    <w:rsid w:val="00C03AF4"/>
    <w:pPr>
      <w:ind w:left="1132" w:hanging="283"/>
    </w:pPr>
    <w:rPr>
      <w:rFonts w:ascii="Arial" w:eastAsia="Times New Roman" w:hAnsi="Arial"/>
      <w:szCs w:val="22"/>
      <w:lang w:eastAsia="cs-CZ"/>
    </w:rPr>
  </w:style>
  <w:style w:type="paragraph" w:styleId="Seznam5">
    <w:name w:val="List 5"/>
    <w:basedOn w:val="Normln"/>
    <w:rsid w:val="00C03AF4"/>
    <w:pPr>
      <w:ind w:left="1415" w:hanging="283"/>
    </w:pPr>
    <w:rPr>
      <w:rFonts w:ascii="Arial" w:eastAsia="Times New Roman" w:hAnsi="Arial"/>
      <w:szCs w:val="22"/>
      <w:lang w:eastAsia="cs-CZ"/>
    </w:rPr>
  </w:style>
  <w:style w:type="paragraph" w:styleId="Seznamsodrkami">
    <w:name w:val="List Bullet"/>
    <w:basedOn w:val="Normln"/>
    <w:autoRedefine/>
    <w:rsid w:val="00C03AF4"/>
    <w:pPr>
      <w:ind w:left="720" w:hanging="360"/>
    </w:pPr>
    <w:rPr>
      <w:rFonts w:ascii="Arial" w:eastAsia="Times New Roman" w:hAnsi="Arial"/>
      <w:szCs w:val="22"/>
      <w:lang w:eastAsia="cs-CZ"/>
    </w:rPr>
  </w:style>
  <w:style w:type="paragraph" w:styleId="Seznamsodrkami2">
    <w:name w:val="List Bullet 2"/>
    <w:basedOn w:val="Normln"/>
    <w:autoRedefine/>
    <w:rsid w:val="00C03AF4"/>
    <w:pPr>
      <w:numPr>
        <w:numId w:val="6"/>
      </w:numPr>
    </w:pPr>
    <w:rPr>
      <w:rFonts w:ascii="Arial" w:eastAsia="Times New Roman" w:hAnsi="Arial"/>
      <w:szCs w:val="22"/>
      <w:lang w:eastAsia="cs-CZ"/>
    </w:rPr>
  </w:style>
  <w:style w:type="paragraph" w:styleId="Seznamsodrkami3">
    <w:name w:val="List Bullet 3"/>
    <w:basedOn w:val="Normln"/>
    <w:autoRedefine/>
    <w:rsid w:val="00C03AF4"/>
    <w:pPr>
      <w:numPr>
        <w:numId w:val="7"/>
      </w:numPr>
    </w:pPr>
    <w:rPr>
      <w:rFonts w:ascii="Arial" w:eastAsia="Times New Roman" w:hAnsi="Arial"/>
      <w:szCs w:val="22"/>
      <w:lang w:eastAsia="cs-CZ"/>
    </w:rPr>
  </w:style>
  <w:style w:type="paragraph" w:styleId="Seznamsodrkami4">
    <w:name w:val="List Bullet 4"/>
    <w:basedOn w:val="Normln"/>
    <w:autoRedefine/>
    <w:rsid w:val="00C03AF4"/>
    <w:pPr>
      <w:numPr>
        <w:numId w:val="13"/>
      </w:numPr>
      <w:tabs>
        <w:tab w:val="clear" w:pos="360"/>
        <w:tab w:val="num" w:pos="1209"/>
      </w:tabs>
      <w:ind w:left="1209"/>
    </w:pPr>
    <w:rPr>
      <w:rFonts w:ascii="Arial" w:eastAsia="Times New Roman" w:hAnsi="Arial"/>
      <w:szCs w:val="22"/>
      <w:lang w:eastAsia="cs-CZ"/>
    </w:rPr>
  </w:style>
  <w:style w:type="paragraph" w:styleId="Seznamsodrkami5">
    <w:name w:val="List Bullet 5"/>
    <w:basedOn w:val="Normln"/>
    <w:autoRedefine/>
    <w:rsid w:val="00C03AF4"/>
    <w:pPr>
      <w:numPr>
        <w:numId w:val="14"/>
      </w:numPr>
      <w:tabs>
        <w:tab w:val="clear" w:pos="643"/>
        <w:tab w:val="num" w:pos="1492"/>
      </w:tabs>
      <w:ind w:left="1492"/>
    </w:pPr>
    <w:rPr>
      <w:rFonts w:ascii="Arial" w:eastAsia="Times New Roman" w:hAnsi="Arial"/>
      <w:szCs w:val="22"/>
      <w:lang w:eastAsia="cs-CZ"/>
    </w:rPr>
  </w:style>
  <w:style w:type="character" w:styleId="Siln">
    <w:name w:val="Strong"/>
    <w:uiPriority w:val="22"/>
    <w:qFormat/>
    <w:rsid w:val="00C03AF4"/>
    <w:rPr>
      <w:rFonts w:ascii="Verdana" w:hAnsi="Verdana"/>
      <w:b/>
      <w:bCs/>
    </w:rPr>
  </w:style>
  <w:style w:type="character" w:styleId="Sledovanodkaz">
    <w:name w:val="FollowedHyperlink"/>
    <w:rsid w:val="00C03AF4"/>
    <w:rPr>
      <w:rFonts w:ascii="Verdana" w:hAnsi="Verdana"/>
      <w:color w:val="800080"/>
      <w:u w:val="none"/>
    </w:rPr>
  </w:style>
  <w:style w:type="paragraph" w:customStyle="1" w:styleId="Smlouvalnek">
    <w:name w:val="Smlouva_článek"/>
    <w:basedOn w:val="Normln"/>
    <w:next w:val="Normln"/>
    <w:rsid w:val="00C03AF4"/>
    <w:pPr>
      <w:spacing w:after="180"/>
      <w:ind w:left="9149" w:hanging="360"/>
      <w:jc w:val="center"/>
    </w:pPr>
    <w:rPr>
      <w:rFonts w:ascii="Arial" w:eastAsia="Times New Roman" w:hAnsi="Arial"/>
      <w:b/>
      <w:szCs w:val="22"/>
      <w:lang w:eastAsia="cs-CZ"/>
    </w:rPr>
  </w:style>
  <w:style w:type="paragraph" w:customStyle="1" w:styleId="Smlouvaodstavec">
    <w:name w:val="Smlouva_odstavec"/>
    <w:basedOn w:val="Normln"/>
    <w:link w:val="SmlouvaodstavecChar"/>
    <w:rsid w:val="00C03AF4"/>
    <w:pPr>
      <w:numPr>
        <w:ilvl w:val="1"/>
        <w:numId w:val="15"/>
      </w:numPr>
    </w:pPr>
    <w:rPr>
      <w:rFonts w:ascii="Arial" w:eastAsia="Times New Roman" w:hAnsi="Arial"/>
      <w:szCs w:val="22"/>
      <w:lang w:eastAsia="cs-CZ"/>
    </w:rPr>
  </w:style>
  <w:style w:type="character" w:customStyle="1" w:styleId="SmlouvaodstavecChar">
    <w:name w:val="Smlouva_odstavec Char"/>
    <w:link w:val="Smlouvaodstavec"/>
    <w:rsid w:val="00C03AF4"/>
    <w:rPr>
      <w:rFonts w:ascii="Arial" w:eastAsia="Times New Roman" w:hAnsi="Arial"/>
      <w:sz w:val="22"/>
      <w:szCs w:val="22"/>
    </w:rPr>
  </w:style>
  <w:style w:type="paragraph" w:customStyle="1" w:styleId="Text">
    <w:name w:val="Text"/>
    <w:basedOn w:val="Normln"/>
    <w:rsid w:val="00C03AF4"/>
    <w:pPr>
      <w:ind w:left="-181" w:right="-113"/>
    </w:pPr>
    <w:rPr>
      <w:rFonts w:ascii="Arial" w:eastAsia="Times New Roman" w:hAnsi="Arial"/>
      <w:szCs w:val="22"/>
      <w:lang w:eastAsia="cs-CZ"/>
    </w:rPr>
  </w:style>
  <w:style w:type="paragraph" w:styleId="Textvbloku">
    <w:name w:val="Block Text"/>
    <w:basedOn w:val="Normln"/>
    <w:rsid w:val="00C03AF4"/>
    <w:pPr>
      <w:spacing w:after="120"/>
      <w:ind w:left="1440" w:right="1440"/>
    </w:pPr>
    <w:rPr>
      <w:rFonts w:ascii="Arial" w:eastAsia="Times New Roman" w:hAnsi="Arial"/>
      <w:szCs w:val="22"/>
      <w:lang w:eastAsia="cs-CZ"/>
    </w:rPr>
  </w:style>
  <w:style w:type="character" w:styleId="UkzkaHTML">
    <w:name w:val="HTML Sample"/>
    <w:rsid w:val="00C03AF4"/>
    <w:rPr>
      <w:rFonts w:ascii="Courier New" w:hAnsi="Courier New" w:cs="Courier New"/>
    </w:rPr>
  </w:style>
  <w:style w:type="paragraph" w:styleId="Zhlavzprvy">
    <w:name w:val="Message Header"/>
    <w:basedOn w:val="Normln"/>
    <w:link w:val="ZhlavzprvyChar"/>
    <w:autoRedefine/>
    <w:rsid w:val="00C03A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2"/>
      <w:lang w:eastAsia="cs-CZ"/>
    </w:rPr>
  </w:style>
  <w:style w:type="character" w:customStyle="1" w:styleId="ZhlavzprvyChar">
    <w:name w:val="Záhlaví zprávy Char"/>
    <w:basedOn w:val="Standardnpsmoodstavce"/>
    <w:link w:val="Zhlavzprvy"/>
    <w:rsid w:val="00C03AF4"/>
    <w:rPr>
      <w:rFonts w:ascii="Arial" w:eastAsia="Times New Roman" w:hAnsi="Arial" w:cs="Arial"/>
      <w:sz w:val="24"/>
      <w:szCs w:val="22"/>
      <w:shd w:val="pct20" w:color="auto" w:fill="auto"/>
    </w:rPr>
  </w:style>
  <w:style w:type="paragraph" w:styleId="Zkladntext-prvnodsazen">
    <w:name w:val="Body Text First Indent"/>
    <w:basedOn w:val="Zkladntext"/>
    <w:link w:val="Zkladntext-prvnodsazenChar"/>
    <w:rsid w:val="00C03AF4"/>
    <w:pPr>
      <w:spacing w:after="120"/>
      <w:ind w:firstLine="210"/>
      <w:jc w:val="left"/>
    </w:pPr>
    <w:rPr>
      <w:rFonts w:ascii="Arial" w:hAnsi="Arial"/>
      <w:b w:val="0"/>
      <w:i w:val="0"/>
      <w:sz w:val="22"/>
      <w:szCs w:val="22"/>
      <w:u w:val="none"/>
    </w:rPr>
  </w:style>
  <w:style w:type="character" w:customStyle="1" w:styleId="Zkladntext-prvnodsazenChar">
    <w:name w:val="Základní text - první odsazený Char"/>
    <w:basedOn w:val="ZkladntextChar"/>
    <w:link w:val="Zkladntext-prvnodsazen"/>
    <w:rsid w:val="00C03AF4"/>
    <w:rPr>
      <w:rFonts w:ascii="Arial" w:eastAsia="Times New Roman" w:hAnsi="Arial"/>
      <w:b w:val="0"/>
      <w:i w:val="0"/>
      <w:sz w:val="22"/>
      <w:szCs w:val="22"/>
      <w:u w:val="single"/>
    </w:rPr>
  </w:style>
  <w:style w:type="paragraph" w:styleId="Zkladntextodsazen">
    <w:name w:val="Body Text Indent"/>
    <w:basedOn w:val="Normln"/>
    <w:link w:val="ZkladntextodsazenChar"/>
    <w:rsid w:val="00C03AF4"/>
    <w:pPr>
      <w:spacing w:after="120"/>
      <w:ind w:left="283"/>
    </w:pPr>
    <w:rPr>
      <w:rFonts w:ascii="Arial" w:eastAsia="Times New Roman" w:hAnsi="Arial"/>
      <w:szCs w:val="22"/>
      <w:lang w:eastAsia="cs-CZ"/>
    </w:rPr>
  </w:style>
  <w:style w:type="character" w:customStyle="1" w:styleId="ZkladntextodsazenChar">
    <w:name w:val="Základní text odsazený Char"/>
    <w:basedOn w:val="Standardnpsmoodstavce"/>
    <w:link w:val="Zkladntextodsazen"/>
    <w:rsid w:val="00C03AF4"/>
    <w:rPr>
      <w:rFonts w:ascii="Arial" w:eastAsia="Times New Roman" w:hAnsi="Arial"/>
      <w:sz w:val="22"/>
      <w:szCs w:val="22"/>
    </w:rPr>
  </w:style>
  <w:style w:type="paragraph" w:styleId="Zkladntext-prvnodsazen2">
    <w:name w:val="Body Text First Indent 2"/>
    <w:basedOn w:val="Zkladntextodsazen"/>
    <w:link w:val="Zkladntext-prvnodsazen2Char"/>
    <w:rsid w:val="00C03AF4"/>
    <w:pPr>
      <w:ind w:firstLine="210"/>
    </w:pPr>
  </w:style>
  <w:style w:type="character" w:customStyle="1" w:styleId="Zkladntext-prvnodsazen2Char">
    <w:name w:val="Základní text - první odsazený 2 Char"/>
    <w:basedOn w:val="ZkladntextodsazenChar"/>
    <w:link w:val="Zkladntext-prvnodsazen2"/>
    <w:rsid w:val="00C03AF4"/>
    <w:rPr>
      <w:rFonts w:ascii="Arial" w:eastAsia="Times New Roman" w:hAnsi="Arial"/>
      <w:sz w:val="22"/>
      <w:szCs w:val="22"/>
    </w:rPr>
  </w:style>
  <w:style w:type="paragraph" w:styleId="Zkladntext2">
    <w:name w:val="Body Text 2"/>
    <w:basedOn w:val="Normln"/>
    <w:link w:val="Zkladntext2Char"/>
    <w:rsid w:val="00C03AF4"/>
    <w:pPr>
      <w:spacing w:after="120" w:line="480" w:lineRule="auto"/>
    </w:pPr>
    <w:rPr>
      <w:rFonts w:ascii="Arial" w:eastAsia="Times New Roman" w:hAnsi="Arial"/>
      <w:szCs w:val="22"/>
      <w:lang w:eastAsia="cs-CZ"/>
    </w:rPr>
  </w:style>
  <w:style w:type="character" w:customStyle="1" w:styleId="Zkladntext2Char">
    <w:name w:val="Základní text 2 Char"/>
    <w:basedOn w:val="Standardnpsmoodstavce"/>
    <w:link w:val="Zkladntext2"/>
    <w:rsid w:val="00C03AF4"/>
    <w:rPr>
      <w:rFonts w:ascii="Arial" w:eastAsia="Times New Roman" w:hAnsi="Arial"/>
      <w:sz w:val="22"/>
      <w:szCs w:val="22"/>
    </w:rPr>
  </w:style>
  <w:style w:type="paragraph" w:styleId="Zkladntext3">
    <w:name w:val="Body Text 3"/>
    <w:basedOn w:val="Normln"/>
    <w:link w:val="Zkladntext3Char"/>
    <w:rsid w:val="00C03AF4"/>
    <w:pPr>
      <w:spacing w:after="120"/>
    </w:pPr>
    <w:rPr>
      <w:rFonts w:ascii="Arial" w:eastAsia="Times New Roman" w:hAnsi="Arial"/>
      <w:sz w:val="16"/>
      <w:szCs w:val="16"/>
      <w:lang w:eastAsia="cs-CZ"/>
    </w:rPr>
  </w:style>
  <w:style w:type="character" w:customStyle="1" w:styleId="Zkladntext3Char">
    <w:name w:val="Základní text 3 Char"/>
    <w:basedOn w:val="Standardnpsmoodstavce"/>
    <w:link w:val="Zkladntext3"/>
    <w:rsid w:val="00C03AF4"/>
    <w:rPr>
      <w:rFonts w:ascii="Arial" w:eastAsia="Times New Roman" w:hAnsi="Arial"/>
      <w:sz w:val="16"/>
      <w:szCs w:val="16"/>
    </w:rPr>
  </w:style>
  <w:style w:type="paragraph" w:styleId="Zkladntextodsazen2">
    <w:name w:val="Body Text Indent 2"/>
    <w:basedOn w:val="Normln"/>
    <w:link w:val="Zkladntextodsazen2Char"/>
    <w:rsid w:val="00C03AF4"/>
    <w:pPr>
      <w:spacing w:after="120" w:line="480" w:lineRule="auto"/>
      <w:ind w:left="283"/>
    </w:pPr>
    <w:rPr>
      <w:rFonts w:ascii="Arial" w:eastAsia="Times New Roman" w:hAnsi="Arial"/>
      <w:szCs w:val="22"/>
      <w:lang w:eastAsia="cs-CZ"/>
    </w:rPr>
  </w:style>
  <w:style w:type="character" w:customStyle="1" w:styleId="Zkladntextodsazen2Char">
    <w:name w:val="Základní text odsazený 2 Char"/>
    <w:basedOn w:val="Standardnpsmoodstavce"/>
    <w:link w:val="Zkladntextodsazen2"/>
    <w:rsid w:val="00C03AF4"/>
    <w:rPr>
      <w:rFonts w:ascii="Arial" w:eastAsia="Times New Roman" w:hAnsi="Arial"/>
      <w:sz w:val="22"/>
      <w:szCs w:val="22"/>
    </w:rPr>
  </w:style>
  <w:style w:type="paragraph" w:styleId="Zkladntextodsazen3">
    <w:name w:val="Body Text Indent 3"/>
    <w:basedOn w:val="Normln"/>
    <w:link w:val="Zkladntextodsazen3Char"/>
    <w:rsid w:val="00C03AF4"/>
    <w:pPr>
      <w:spacing w:after="120"/>
      <w:ind w:left="283"/>
    </w:pPr>
    <w:rPr>
      <w:rFonts w:ascii="Arial" w:eastAsia="Times New Roman" w:hAnsi="Arial"/>
      <w:sz w:val="16"/>
      <w:szCs w:val="16"/>
      <w:lang w:eastAsia="cs-CZ"/>
    </w:rPr>
  </w:style>
  <w:style w:type="character" w:customStyle="1" w:styleId="Zkladntextodsazen3Char">
    <w:name w:val="Základní text odsazený 3 Char"/>
    <w:basedOn w:val="Standardnpsmoodstavce"/>
    <w:link w:val="Zkladntextodsazen3"/>
    <w:rsid w:val="00C03AF4"/>
    <w:rPr>
      <w:rFonts w:ascii="Arial" w:eastAsia="Times New Roman" w:hAnsi="Arial"/>
      <w:sz w:val="16"/>
      <w:szCs w:val="16"/>
    </w:rPr>
  </w:style>
  <w:style w:type="paragraph" w:styleId="Zvr">
    <w:name w:val="Closing"/>
    <w:basedOn w:val="Normln"/>
    <w:link w:val="ZvrChar"/>
    <w:rsid w:val="00C03AF4"/>
    <w:pPr>
      <w:ind w:left="4252"/>
    </w:pPr>
    <w:rPr>
      <w:rFonts w:ascii="Arial" w:eastAsia="Times New Roman" w:hAnsi="Arial"/>
      <w:szCs w:val="22"/>
      <w:lang w:eastAsia="cs-CZ"/>
    </w:rPr>
  </w:style>
  <w:style w:type="character" w:customStyle="1" w:styleId="ZvrChar">
    <w:name w:val="Závěr Char"/>
    <w:basedOn w:val="Standardnpsmoodstavce"/>
    <w:link w:val="Zvr"/>
    <w:rsid w:val="00C03AF4"/>
    <w:rPr>
      <w:rFonts w:ascii="Arial" w:eastAsia="Times New Roman" w:hAnsi="Arial"/>
      <w:sz w:val="22"/>
      <w:szCs w:val="22"/>
    </w:rPr>
  </w:style>
  <w:style w:type="character" w:styleId="Znakapoznpodarou">
    <w:name w:val="footnote reference"/>
    <w:semiHidden/>
    <w:rsid w:val="00C03AF4"/>
    <w:rPr>
      <w:rFonts w:ascii="Verdana" w:hAnsi="Verdana"/>
      <w:vertAlign w:val="superscript"/>
    </w:rPr>
  </w:style>
  <w:style w:type="character" w:styleId="Odkaznakoment">
    <w:name w:val="annotation reference"/>
    <w:semiHidden/>
    <w:rsid w:val="00C03AF4"/>
    <w:rPr>
      <w:rFonts w:ascii="Verdana" w:hAnsi="Verdana"/>
      <w:sz w:val="16"/>
      <w:szCs w:val="16"/>
    </w:rPr>
  </w:style>
  <w:style w:type="character" w:styleId="Odkaznavysvtlivky">
    <w:name w:val="endnote reference"/>
    <w:semiHidden/>
    <w:rsid w:val="00C03AF4"/>
    <w:rPr>
      <w:rFonts w:ascii="Verdana" w:hAnsi="Verdana"/>
      <w:vertAlign w:val="superscript"/>
    </w:rPr>
  </w:style>
  <w:style w:type="paragraph" w:styleId="Zptenadresanaoblku">
    <w:name w:val="envelope return"/>
    <w:basedOn w:val="Normln"/>
    <w:rsid w:val="00C03AF4"/>
    <w:rPr>
      <w:rFonts w:ascii="Arial" w:eastAsia="Times New Roman" w:hAnsi="Arial" w:cs="Arial"/>
      <w:szCs w:val="20"/>
      <w:lang w:eastAsia="cs-CZ"/>
    </w:rPr>
  </w:style>
  <w:style w:type="paragraph" w:customStyle="1" w:styleId="Seznama">
    <w:name w:val="Seznam a"/>
    <w:aliases w:val="b,c"/>
    <w:basedOn w:val="Seznam2"/>
    <w:rsid w:val="00C03AF4"/>
    <w:pPr>
      <w:numPr>
        <w:numId w:val="16"/>
      </w:numPr>
    </w:pPr>
  </w:style>
  <w:style w:type="paragraph" w:customStyle="1" w:styleId="Identifikace">
    <w:name w:val="Identifikace"/>
    <w:basedOn w:val="Normln"/>
    <w:rsid w:val="00C03AF4"/>
    <w:pPr>
      <w:jc w:val="both"/>
    </w:pPr>
    <w:rPr>
      <w:rFonts w:ascii="Arial" w:eastAsia="Times New Roman" w:hAnsi="Arial"/>
      <w:szCs w:val="20"/>
      <w:lang w:eastAsia="cs-CZ"/>
    </w:rPr>
  </w:style>
  <w:style w:type="paragraph" w:styleId="Textkomente">
    <w:name w:val="annotation text"/>
    <w:basedOn w:val="Normln"/>
    <w:link w:val="TextkomenteChar"/>
    <w:semiHidden/>
    <w:rsid w:val="00C03AF4"/>
    <w:rPr>
      <w:rFonts w:ascii="Arial" w:eastAsia="Times New Roman" w:hAnsi="Arial"/>
      <w:sz w:val="20"/>
      <w:szCs w:val="20"/>
      <w:lang w:eastAsia="cs-CZ"/>
    </w:rPr>
  </w:style>
  <w:style w:type="character" w:customStyle="1" w:styleId="TextkomenteChar">
    <w:name w:val="Text komentáře Char"/>
    <w:basedOn w:val="Standardnpsmoodstavce"/>
    <w:link w:val="Textkomente"/>
    <w:semiHidden/>
    <w:rsid w:val="00C03AF4"/>
    <w:rPr>
      <w:rFonts w:ascii="Arial" w:eastAsia="Times New Roman" w:hAnsi="Arial"/>
    </w:rPr>
  </w:style>
  <w:style w:type="paragraph" w:styleId="Pedmtkomente">
    <w:name w:val="annotation subject"/>
    <w:basedOn w:val="Textkomente"/>
    <w:next w:val="Textkomente"/>
    <w:link w:val="PedmtkomenteChar"/>
    <w:semiHidden/>
    <w:rsid w:val="00C03AF4"/>
    <w:rPr>
      <w:b/>
      <w:bCs/>
    </w:rPr>
  </w:style>
  <w:style w:type="character" w:customStyle="1" w:styleId="PedmtkomenteChar">
    <w:name w:val="Předmět komentáře Char"/>
    <w:basedOn w:val="TextkomenteChar"/>
    <w:link w:val="Pedmtkomente"/>
    <w:semiHidden/>
    <w:rsid w:val="00C03AF4"/>
    <w:rPr>
      <w:rFonts w:ascii="Arial" w:eastAsia="Times New Roman" w:hAnsi="Arial"/>
      <w:b/>
      <w:bCs/>
    </w:rPr>
  </w:style>
  <w:style w:type="paragraph" w:customStyle="1" w:styleId="mskodrka">
    <w:name w:val="Římská odrážka"/>
    <w:basedOn w:val="Normln"/>
    <w:qFormat/>
    <w:rsid w:val="00C03AF4"/>
    <w:pPr>
      <w:spacing w:after="240" w:line="336" w:lineRule="auto"/>
      <w:jc w:val="both"/>
    </w:pPr>
    <w:rPr>
      <w:rFonts w:ascii="Arial" w:hAnsi="Arial"/>
      <w:sz w:val="18"/>
      <w:szCs w:val="22"/>
    </w:rPr>
  </w:style>
  <w:style w:type="paragraph" w:customStyle="1" w:styleId="Oddl">
    <w:name w:val="Oddíl"/>
    <w:basedOn w:val="Normln"/>
    <w:qFormat/>
    <w:rsid w:val="00C03AF4"/>
    <w:pPr>
      <w:keepNext/>
      <w:spacing w:after="120"/>
      <w:ind w:left="284"/>
      <w:jc w:val="both"/>
    </w:pPr>
    <w:rPr>
      <w:b/>
      <w:sz w:val="24"/>
    </w:rPr>
  </w:style>
  <w:style w:type="character" w:customStyle="1" w:styleId="person-type">
    <w:name w:val="person-type"/>
    <w:basedOn w:val="Standardnpsmoodstavce"/>
    <w:rsid w:val="00C03AF4"/>
  </w:style>
  <w:style w:type="character" w:customStyle="1" w:styleId="comma">
    <w:name w:val="comma"/>
    <w:basedOn w:val="Standardnpsmoodstavce"/>
    <w:rsid w:val="00C03AF4"/>
  </w:style>
  <w:style w:type="character" w:styleId="Zdraznn">
    <w:name w:val="Emphasis"/>
    <w:basedOn w:val="Standardnpsmoodstavce"/>
    <w:uiPriority w:val="20"/>
    <w:qFormat/>
    <w:rsid w:val="00C03AF4"/>
    <w:rPr>
      <w:i/>
      <w:iCs/>
    </w:rPr>
  </w:style>
  <w:style w:type="paragraph" w:customStyle="1" w:styleId="Odrka1">
    <w:name w:val="Odrážka 1"/>
    <w:basedOn w:val="Podnadpis"/>
    <w:qFormat/>
    <w:rsid w:val="00486D40"/>
    <w:pPr>
      <w:numPr>
        <w:ilvl w:val="0"/>
      </w:num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041">
      <w:bodyDiv w:val="1"/>
      <w:marLeft w:val="0"/>
      <w:marRight w:val="0"/>
      <w:marTop w:val="0"/>
      <w:marBottom w:val="0"/>
      <w:divBdr>
        <w:top w:val="none" w:sz="0" w:space="0" w:color="auto"/>
        <w:left w:val="none" w:sz="0" w:space="0" w:color="auto"/>
        <w:bottom w:val="none" w:sz="0" w:space="0" w:color="auto"/>
        <w:right w:val="none" w:sz="0" w:space="0" w:color="auto"/>
      </w:divBdr>
    </w:div>
    <w:div w:id="9643527">
      <w:bodyDiv w:val="1"/>
      <w:marLeft w:val="0"/>
      <w:marRight w:val="0"/>
      <w:marTop w:val="0"/>
      <w:marBottom w:val="0"/>
      <w:divBdr>
        <w:top w:val="none" w:sz="0" w:space="0" w:color="auto"/>
        <w:left w:val="none" w:sz="0" w:space="0" w:color="auto"/>
        <w:bottom w:val="none" w:sz="0" w:space="0" w:color="auto"/>
        <w:right w:val="none" w:sz="0" w:space="0" w:color="auto"/>
      </w:divBdr>
    </w:div>
    <w:div w:id="227544591">
      <w:bodyDiv w:val="1"/>
      <w:marLeft w:val="0"/>
      <w:marRight w:val="0"/>
      <w:marTop w:val="0"/>
      <w:marBottom w:val="0"/>
      <w:divBdr>
        <w:top w:val="none" w:sz="0" w:space="0" w:color="auto"/>
        <w:left w:val="none" w:sz="0" w:space="0" w:color="auto"/>
        <w:bottom w:val="none" w:sz="0" w:space="0" w:color="auto"/>
        <w:right w:val="none" w:sz="0" w:space="0" w:color="auto"/>
      </w:divBdr>
    </w:div>
    <w:div w:id="277183303">
      <w:bodyDiv w:val="1"/>
      <w:marLeft w:val="0"/>
      <w:marRight w:val="0"/>
      <w:marTop w:val="0"/>
      <w:marBottom w:val="0"/>
      <w:divBdr>
        <w:top w:val="none" w:sz="0" w:space="0" w:color="auto"/>
        <w:left w:val="none" w:sz="0" w:space="0" w:color="auto"/>
        <w:bottom w:val="none" w:sz="0" w:space="0" w:color="auto"/>
        <w:right w:val="none" w:sz="0" w:space="0" w:color="auto"/>
      </w:divBdr>
    </w:div>
    <w:div w:id="418916000">
      <w:bodyDiv w:val="1"/>
      <w:marLeft w:val="0"/>
      <w:marRight w:val="0"/>
      <w:marTop w:val="0"/>
      <w:marBottom w:val="0"/>
      <w:divBdr>
        <w:top w:val="none" w:sz="0" w:space="0" w:color="auto"/>
        <w:left w:val="none" w:sz="0" w:space="0" w:color="auto"/>
        <w:bottom w:val="none" w:sz="0" w:space="0" w:color="auto"/>
        <w:right w:val="none" w:sz="0" w:space="0" w:color="auto"/>
      </w:divBdr>
      <w:divsChild>
        <w:div w:id="523396517">
          <w:marLeft w:val="0"/>
          <w:marRight w:val="0"/>
          <w:marTop w:val="0"/>
          <w:marBottom w:val="0"/>
          <w:divBdr>
            <w:top w:val="none" w:sz="0" w:space="0" w:color="auto"/>
            <w:left w:val="none" w:sz="0" w:space="0" w:color="auto"/>
            <w:bottom w:val="none" w:sz="0" w:space="0" w:color="auto"/>
            <w:right w:val="none" w:sz="0" w:space="0" w:color="auto"/>
          </w:divBdr>
          <w:divsChild>
            <w:div w:id="1024284816">
              <w:marLeft w:val="0"/>
              <w:marRight w:val="0"/>
              <w:marTop w:val="0"/>
              <w:marBottom w:val="0"/>
              <w:divBdr>
                <w:top w:val="none" w:sz="0" w:space="0" w:color="auto"/>
                <w:left w:val="none" w:sz="0" w:space="0" w:color="auto"/>
                <w:bottom w:val="none" w:sz="0" w:space="0" w:color="auto"/>
                <w:right w:val="none" w:sz="0" w:space="0" w:color="auto"/>
              </w:divBdr>
              <w:divsChild>
                <w:div w:id="765346906">
                  <w:marLeft w:val="0"/>
                  <w:marRight w:val="0"/>
                  <w:marTop w:val="0"/>
                  <w:marBottom w:val="0"/>
                  <w:divBdr>
                    <w:top w:val="none" w:sz="0" w:space="0" w:color="auto"/>
                    <w:left w:val="none" w:sz="0" w:space="0" w:color="auto"/>
                    <w:bottom w:val="none" w:sz="0" w:space="0" w:color="auto"/>
                    <w:right w:val="none" w:sz="0" w:space="0" w:color="auto"/>
                  </w:divBdr>
                  <w:divsChild>
                    <w:div w:id="571887569">
                      <w:marLeft w:val="0"/>
                      <w:marRight w:val="0"/>
                      <w:marTop w:val="0"/>
                      <w:marBottom w:val="0"/>
                      <w:divBdr>
                        <w:top w:val="none" w:sz="0" w:space="0" w:color="auto"/>
                        <w:left w:val="none" w:sz="0" w:space="0" w:color="auto"/>
                        <w:bottom w:val="none" w:sz="0" w:space="0" w:color="auto"/>
                        <w:right w:val="none" w:sz="0" w:space="0" w:color="auto"/>
                      </w:divBdr>
                      <w:divsChild>
                        <w:div w:id="17976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704442">
      <w:bodyDiv w:val="1"/>
      <w:marLeft w:val="0"/>
      <w:marRight w:val="0"/>
      <w:marTop w:val="0"/>
      <w:marBottom w:val="0"/>
      <w:divBdr>
        <w:top w:val="none" w:sz="0" w:space="0" w:color="auto"/>
        <w:left w:val="none" w:sz="0" w:space="0" w:color="auto"/>
        <w:bottom w:val="none" w:sz="0" w:space="0" w:color="auto"/>
        <w:right w:val="none" w:sz="0" w:space="0" w:color="auto"/>
      </w:divBdr>
    </w:div>
    <w:div w:id="714232619">
      <w:bodyDiv w:val="1"/>
      <w:marLeft w:val="0"/>
      <w:marRight w:val="0"/>
      <w:marTop w:val="0"/>
      <w:marBottom w:val="0"/>
      <w:divBdr>
        <w:top w:val="none" w:sz="0" w:space="0" w:color="auto"/>
        <w:left w:val="none" w:sz="0" w:space="0" w:color="auto"/>
        <w:bottom w:val="none" w:sz="0" w:space="0" w:color="auto"/>
        <w:right w:val="none" w:sz="0" w:space="0" w:color="auto"/>
      </w:divBdr>
    </w:div>
    <w:div w:id="930552341">
      <w:bodyDiv w:val="1"/>
      <w:marLeft w:val="0"/>
      <w:marRight w:val="0"/>
      <w:marTop w:val="0"/>
      <w:marBottom w:val="0"/>
      <w:divBdr>
        <w:top w:val="none" w:sz="0" w:space="0" w:color="auto"/>
        <w:left w:val="none" w:sz="0" w:space="0" w:color="auto"/>
        <w:bottom w:val="none" w:sz="0" w:space="0" w:color="auto"/>
        <w:right w:val="none" w:sz="0" w:space="0" w:color="auto"/>
      </w:divBdr>
    </w:div>
    <w:div w:id="1323193904">
      <w:bodyDiv w:val="1"/>
      <w:marLeft w:val="0"/>
      <w:marRight w:val="0"/>
      <w:marTop w:val="0"/>
      <w:marBottom w:val="0"/>
      <w:divBdr>
        <w:top w:val="none" w:sz="0" w:space="0" w:color="auto"/>
        <w:left w:val="none" w:sz="0" w:space="0" w:color="auto"/>
        <w:bottom w:val="none" w:sz="0" w:space="0" w:color="auto"/>
        <w:right w:val="none" w:sz="0" w:space="0" w:color="auto"/>
      </w:divBdr>
    </w:div>
    <w:div w:id="1506824263">
      <w:bodyDiv w:val="1"/>
      <w:marLeft w:val="0"/>
      <w:marRight w:val="0"/>
      <w:marTop w:val="0"/>
      <w:marBottom w:val="0"/>
      <w:divBdr>
        <w:top w:val="none" w:sz="0" w:space="0" w:color="auto"/>
        <w:left w:val="none" w:sz="0" w:space="0" w:color="auto"/>
        <w:bottom w:val="none" w:sz="0" w:space="0" w:color="auto"/>
        <w:right w:val="none" w:sz="0" w:space="0" w:color="auto"/>
      </w:divBdr>
    </w:div>
    <w:div w:id="1652833963">
      <w:bodyDiv w:val="1"/>
      <w:marLeft w:val="0"/>
      <w:marRight w:val="0"/>
      <w:marTop w:val="0"/>
      <w:marBottom w:val="0"/>
      <w:divBdr>
        <w:top w:val="none" w:sz="0" w:space="0" w:color="auto"/>
        <w:left w:val="none" w:sz="0" w:space="0" w:color="auto"/>
        <w:bottom w:val="none" w:sz="0" w:space="0" w:color="auto"/>
        <w:right w:val="none" w:sz="0" w:space="0" w:color="auto"/>
      </w:divBdr>
      <w:divsChild>
        <w:div w:id="1474829053">
          <w:marLeft w:val="0"/>
          <w:marRight w:val="0"/>
          <w:marTop w:val="0"/>
          <w:marBottom w:val="0"/>
          <w:divBdr>
            <w:top w:val="none" w:sz="0" w:space="0" w:color="auto"/>
            <w:left w:val="none" w:sz="0" w:space="0" w:color="auto"/>
            <w:bottom w:val="none" w:sz="0" w:space="0" w:color="auto"/>
            <w:right w:val="none" w:sz="0" w:space="0" w:color="auto"/>
          </w:divBdr>
        </w:div>
      </w:divsChild>
    </w:div>
    <w:div w:id="1995255801">
      <w:bodyDiv w:val="1"/>
      <w:marLeft w:val="0"/>
      <w:marRight w:val="0"/>
      <w:marTop w:val="0"/>
      <w:marBottom w:val="0"/>
      <w:divBdr>
        <w:top w:val="none" w:sz="0" w:space="0" w:color="auto"/>
        <w:left w:val="none" w:sz="0" w:space="0" w:color="auto"/>
        <w:bottom w:val="none" w:sz="0" w:space="0" w:color="auto"/>
        <w:right w:val="none" w:sz="0" w:space="0" w:color="auto"/>
      </w:divBdr>
    </w:div>
    <w:div w:id="20330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o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F2DF-4D02-40F7-BE6F-A34121A1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55</Pages>
  <Words>17646</Words>
  <Characters>104118</Characters>
  <Application>Microsoft Office Word</Application>
  <DocSecurity>0</DocSecurity>
  <Lines>867</Lines>
  <Paragraphs>243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soukup</dc:creator>
  <cp:keywords/>
  <dc:description/>
  <cp:lastModifiedBy>zaboj</cp:lastModifiedBy>
  <cp:revision>3</cp:revision>
  <cp:lastPrinted>2021-08-26T06:05:00Z</cp:lastPrinted>
  <dcterms:created xsi:type="dcterms:W3CDTF">2021-09-20T10:58:00Z</dcterms:created>
  <dcterms:modified xsi:type="dcterms:W3CDTF">2021-09-20T11:47:00Z</dcterms:modified>
</cp:coreProperties>
</file>