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D82E3C" w14:textId="77777777" w:rsidR="00D53027" w:rsidRPr="0028213C" w:rsidRDefault="00E3754E">
      <w:pPr>
        <w:jc w:val="center"/>
      </w:pPr>
      <w:r w:rsidRPr="0028213C">
        <w:rPr>
          <w:rFonts w:ascii="Calibri" w:eastAsia="Calibri" w:hAnsi="Calibri" w:cs="Calibri"/>
          <w:b/>
          <w:sz w:val="32"/>
          <w:szCs w:val="32"/>
        </w:rPr>
        <w:t>Smlouva o spolupráci</w:t>
      </w:r>
    </w:p>
    <w:p w14:paraId="2372B31A" w14:textId="77777777" w:rsidR="00D53027" w:rsidRDefault="00E3754E" w:rsidP="004C14BC">
      <w:pPr>
        <w:jc w:val="center"/>
        <w:rPr>
          <w:rFonts w:ascii="Calibri" w:eastAsia="Calibri" w:hAnsi="Calibri" w:cs="Calibri"/>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4F944985" w14:textId="42147126" w:rsidR="004C14BC" w:rsidRPr="00815E30" w:rsidRDefault="004C14BC" w:rsidP="004C14BC">
      <w:pPr>
        <w:jc w:val="center"/>
        <w:rPr>
          <w:sz w:val="18"/>
          <w:szCs w:val="18"/>
        </w:rPr>
      </w:pPr>
      <w:r>
        <w:rPr>
          <w:rFonts w:ascii="Calibri" w:eastAsia="Calibri" w:hAnsi="Calibri" w:cs="Calibri"/>
          <w:sz w:val="18"/>
          <w:szCs w:val="18"/>
        </w:rPr>
        <w:t>Evidenční číslo smlouvy: OŠPPKTV-D/0171/2021</w:t>
      </w:r>
    </w:p>
    <w:p w14:paraId="024DB74E" w14:textId="77777777" w:rsidR="00D53027" w:rsidRPr="0028213C" w:rsidRDefault="00D53027"/>
    <w:p w14:paraId="7A7DCA0E" w14:textId="77777777" w:rsidR="00D53027" w:rsidRPr="0028213C" w:rsidRDefault="00E3754E">
      <w:r w:rsidRPr="0028213C">
        <w:rPr>
          <w:rFonts w:ascii="Calibri" w:eastAsia="Calibri" w:hAnsi="Calibri" w:cs="Calibri"/>
          <w:b/>
        </w:rPr>
        <w:t>Smluvní strany</w:t>
      </w:r>
    </w:p>
    <w:p w14:paraId="46BD670F" w14:textId="77777777" w:rsidR="00D53027" w:rsidRPr="0028213C" w:rsidRDefault="00D53027"/>
    <w:p w14:paraId="6B279179" w14:textId="237DD4BD" w:rsidR="00D53027" w:rsidRPr="0028213C" w:rsidRDefault="00725AA8">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w:t>
      </w:r>
      <w:r w:rsidR="004C14BC">
        <w:rPr>
          <w:rFonts w:asciiTheme="minorHAnsi" w:eastAsia="Calibri" w:hAnsiTheme="minorHAnsi" w:cstheme="minorHAnsi"/>
          <w:b/>
          <w:bCs/>
          <w:color w:val="auto"/>
          <w:sz w:val="22"/>
          <w:szCs w:val="22"/>
        </w:rPr>
        <w:t xml:space="preserve"> Město Rakovník</w:t>
      </w:r>
      <w:r w:rsidR="00A56B0A" w:rsidRPr="0028213C">
        <w:rPr>
          <w:rFonts w:asciiTheme="minorHAnsi" w:eastAsia="Calibri" w:hAnsiTheme="minorHAnsi" w:cstheme="minorHAnsi"/>
          <w:b/>
          <w:bCs/>
          <w:color w:val="auto"/>
          <w:sz w:val="22"/>
          <w:szCs w:val="22"/>
        </w:rPr>
        <w:t xml:space="preserve"> </w:t>
      </w:r>
    </w:p>
    <w:p w14:paraId="6804C5CB" w14:textId="35576364" w:rsidR="00D53027" w:rsidRPr="0028213C" w:rsidRDefault="00DA4AE3" w:rsidP="0021059D">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4C14BC">
        <w:rPr>
          <w:rFonts w:ascii="Calibri" w:eastAsia="Calibri" w:hAnsi="Calibri" w:cs="Calibri"/>
          <w:color w:val="auto"/>
          <w:sz w:val="22"/>
          <w:szCs w:val="22"/>
        </w:rPr>
        <w:t>Husovo náměstí 27, 269 01 Rakovník</w:t>
      </w:r>
    </w:p>
    <w:p w14:paraId="1A24D9E2" w14:textId="73994E9D" w:rsidR="00151A76"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4C14BC">
        <w:rPr>
          <w:rFonts w:ascii="Calibri" w:eastAsia="Calibri" w:hAnsi="Calibri" w:cs="Calibri"/>
          <w:color w:val="auto"/>
          <w:sz w:val="22"/>
          <w:szCs w:val="22"/>
        </w:rPr>
        <w:t>00244309</w:t>
      </w:r>
    </w:p>
    <w:p w14:paraId="12C7847A" w14:textId="65367C1A" w:rsidR="00DB35ED" w:rsidRDefault="00DB35ED"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4C14BC">
        <w:rPr>
          <w:rFonts w:ascii="Calibri" w:eastAsia="Calibri" w:hAnsi="Calibri" w:cs="Calibri"/>
          <w:color w:val="auto"/>
          <w:sz w:val="22"/>
          <w:szCs w:val="22"/>
        </w:rPr>
        <w:t>CZ00244309</w:t>
      </w:r>
    </w:p>
    <w:p w14:paraId="0B31F9D7" w14:textId="731B8270" w:rsidR="00DB35ED"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ba</w:t>
      </w:r>
      <w:r w:rsidR="00DB35ED">
        <w:rPr>
          <w:rFonts w:ascii="Calibri" w:eastAsia="Calibri" w:hAnsi="Calibri" w:cs="Calibri"/>
          <w:color w:val="auto"/>
          <w:sz w:val="22"/>
          <w:szCs w:val="22"/>
        </w:rPr>
        <w:t xml:space="preserve">nkovní spojení: </w:t>
      </w:r>
      <w:proofErr w:type="spellStart"/>
      <w:r w:rsidR="00771535">
        <w:rPr>
          <w:rFonts w:ascii="Calibri" w:eastAsia="Calibri" w:hAnsi="Calibri" w:cs="Calibri"/>
          <w:color w:val="auto"/>
          <w:sz w:val="22"/>
          <w:szCs w:val="22"/>
        </w:rPr>
        <w:t>xxx</w:t>
      </w:r>
      <w:proofErr w:type="spellEnd"/>
    </w:p>
    <w:p w14:paraId="174A6574" w14:textId="3AD90366" w:rsidR="00DB35ED"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w:t>
      </w:r>
      <w:r w:rsidR="00DB35ED">
        <w:rPr>
          <w:rFonts w:ascii="Calibri" w:eastAsia="Calibri" w:hAnsi="Calibri" w:cs="Calibri"/>
          <w:color w:val="auto"/>
          <w:sz w:val="22"/>
          <w:szCs w:val="22"/>
        </w:rPr>
        <w:t>íslo účtu:</w:t>
      </w:r>
      <w:r w:rsidR="00DB35ED">
        <w:rPr>
          <w:rFonts w:ascii="Calibri" w:eastAsia="Calibri" w:hAnsi="Calibri" w:cs="Calibri"/>
          <w:color w:val="auto"/>
          <w:sz w:val="22"/>
          <w:szCs w:val="22"/>
        </w:rPr>
        <w:tab/>
      </w:r>
      <w:r w:rsidR="004C14BC">
        <w:rPr>
          <w:rFonts w:ascii="Calibri" w:eastAsia="Calibri" w:hAnsi="Calibri" w:cs="Calibri"/>
          <w:color w:val="auto"/>
          <w:sz w:val="22"/>
          <w:szCs w:val="22"/>
        </w:rPr>
        <w:t xml:space="preserve">  </w:t>
      </w:r>
      <w:proofErr w:type="spellStart"/>
      <w:r w:rsidR="00771535">
        <w:rPr>
          <w:rFonts w:ascii="Calibri" w:eastAsia="Calibri" w:hAnsi="Calibri" w:cs="Calibri"/>
          <w:color w:val="auto"/>
          <w:sz w:val="22"/>
          <w:szCs w:val="22"/>
        </w:rPr>
        <w:t>xxx</w:t>
      </w:r>
      <w:proofErr w:type="spellEnd"/>
      <w:r w:rsidR="00233E2C" w:rsidRPr="0028213C">
        <w:rPr>
          <w:rFonts w:asciiTheme="minorHAnsi" w:eastAsia="Calibri" w:hAnsiTheme="minorHAnsi" w:cstheme="minorHAnsi"/>
          <w:b/>
          <w:bCs/>
          <w:color w:val="auto"/>
          <w:sz w:val="22"/>
          <w:szCs w:val="22"/>
        </w:rPr>
        <w:t xml:space="preserve"> </w:t>
      </w:r>
    </w:p>
    <w:p w14:paraId="1C22DD66" w14:textId="66245E83" w:rsidR="00400866" w:rsidRPr="0028213C"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e-mail pro fakturaci: </w:t>
      </w:r>
      <w:r w:rsidR="004C14BC">
        <w:rPr>
          <w:rFonts w:ascii="Calibri" w:eastAsia="Calibri" w:hAnsi="Calibri" w:cs="Calibri"/>
          <w:color w:val="auto"/>
          <w:sz w:val="22"/>
          <w:szCs w:val="22"/>
        </w:rPr>
        <w:t>ihejdova@murako.cz</w:t>
      </w:r>
    </w:p>
    <w:p w14:paraId="009445C2" w14:textId="2D572137" w:rsidR="00A56B0A" w:rsidRPr="0028213C" w:rsidRDefault="000A11CB"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r w:rsidR="00E3754E" w:rsidRPr="0028213C">
        <w:rPr>
          <w:rFonts w:ascii="Calibri" w:eastAsia="Calibri" w:hAnsi="Calibri" w:cs="Calibri"/>
          <w:color w:val="auto"/>
          <w:sz w:val="22"/>
          <w:szCs w:val="22"/>
        </w:rPr>
        <w:t>:</w:t>
      </w:r>
      <w:r w:rsidR="00E3754E"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4C14BC">
        <w:rPr>
          <w:rFonts w:ascii="Calibri" w:eastAsia="Calibri" w:hAnsi="Calibri" w:cs="Calibri"/>
          <w:color w:val="auto"/>
          <w:sz w:val="22"/>
          <w:szCs w:val="22"/>
        </w:rPr>
        <w:t xml:space="preserve"> PaedDr. Luďkem </w:t>
      </w:r>
      <w:proofErr w:type="spellStart"/>
      <w:r w:rsidR="004C14BC">
        <w:rPr>
          <w:rFonts w:ascii="Calibri" w:eastAsia="Calibri" w:hAnsi="Calibri" w:cs="Calibri"/>
          <w:color w:val="auto"/>
          <w:sz w:val="22"/>
          <w:szCs w:val="22"/>
        </w:rPr>
        <w:t>Štíbrem</w:t>
      </w:r>
      <w:proofErr w:type="spellEnd"/>
      <w:r w:rsidR="004C14BC">
        <w:rPr>
          <w:rFonts w:ascii="Calibri" w:eastAsia="Calibri" w:hAnsi="Calibri" w:cs="Calibri"/>
          <w:color w:val="auto"/>
          <w:sz w:val="22"/>
          <w:szCs w:val="22"/>
        </w:rPr>
        <w:t>, starostou</w:t>
      </w:r>
    </w:p>
    <w:p w14:paraId="5344E3B0" w14:textId="67788080" w:rsidR="00DB35ED" w:rsidRPr="00233E2C" w:rsidRDefault="001E1222" w:rsidP="00233E2C">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w:t>
      </w:r>
      <w:r w:rsidR="00823018" w:rsidRPr="0028213C">
        <w:rPr>
          <w:rFonts w:ascii="Calibri" w:eastAsia="Calibri" w:hAnsi="Calibri" w:cs="Calibri"/>
          <w:color w:val="auto"/>
          <w:sz w:val="22"/>
          <w:szCs w:val="22"/>
        </w:rPr>
        <w:t>osoba:</w:t>
      </w:r>
      <w:r w:rsidR="00823018">
        <w:rPr>
          <w:rFonts w:ascii="Calibri" w:eastAsia="Calibri" w:hAnsi="Calibri" w:cs="Calibri"/>
          <w:color w:val="auto"/>
          <w:sz w:val="22"/>
          <w:szCs w:val="22"/>
        </w:rPr>
        <w:t xml:space="preserve"> </w:t>
      </w:r>
      <w:r w:rsidR="004C14BC">
        <w:rPr>
          <w:rFonts w:ascii="Calibri" w:eastAsia="Calibri" w:hAnsi="Calibri" w:cs="Calibri"/>
          <w:color w:val="auto"/>
          <w:sz w:val="22"/>
          <w:szCs w:val="22"/>
        </w:rPr>
        <w:t>Ing. Tomáš Kapsa</w:t>
      </w:r>
      <w:r w:rsidR="00233E2C">
        <w:rPr>
          <w:rFonts w:asciiTheme="minorHAnsi" w:eastAsia="Calibri" w:hAnsiTheme="minorHAnsi" w:cstheme="minorHAnsi"/>
          <w:b/>
          <w:bCs/>
          <w:color w:val="auto"/>
          <w:sz w:val="22"/>
          <w:szCs w:val="22"/>
        </w:rPr>
        <w:t xml:space="preserve">, </w:t>
      </w:r>
      <w:r w:rsidR="00233E2C" w:rsidRPr="00233E2C">
        <w:rPr>
          <w:rFonts w:asciiTheme="minorHAnsi" w:eastAsia="Calibri" w:hAnsiTheme="minorHAnsi" w:cstheme="minorHAnsi"/>
          <w:bCs/>
          <w:color w:val="auto"/>
          <w:sz w:val="22"/>
          <w:szCs w:val="22"/>
        </w:rPr>
        <w:t xml:space="preserve">tel. </w:t>
      </w:r>
      <w:r w:rsidR="004C14BC">
        <w:rPr>
          <w:rFonts w:asciiTheme="minorHAnsi" w:eastAsia="Calibri" w:hAnsiTheme="minorHAnsi" w:cstheme="minorHAnsi"/>
          <w:bCs/>
          <w:color w:val="auto"/>
          <w:sz w:val="22"/>
          <w:szCs w:val="22"/>
        </w:rPr>
        <w:t>602684894</w:t>
      </w:r>
      <w:r w:rsidR="00233E2C">
        <w:rPr>
          <w:rFonts w:ascii="Calibri" w:eastAsia="Calibri" w:hAnsi="Calibri" w:cs="Calibri"/>
          <w:color w:val="auto"/>
          <w:sz w:val="22"/>
          <w:szCs w:val="22"/>
        </w:rPr>
        <w:t xml:space="preserve">, </w:t>
      </w:r>
      <w:r w:rsidR="00DB35ED">
        <w:rPr>
          <w:rFonts w:ascii="Calibri" w:eastAsia="Calibri" w:hAnsi="Calibri" w:cs="Calibri"/>
          <w:color w:val="auto"/>
          <w:sz w:val="22"/>
          <w:szCs w:val="22"/>
        </w:rPr>
        <w:t xml:space="preserve">e-mail: </w:t>
      </w:r>
      <w:r w:rsidR="004C14BC">
        <w:rPr>
          <w:rFonts w:ascii="Calibri" w:eastAsia="Calibri" w:hAnsi="Calibri" w:cs="Calibri"/>
          <w:color w:val="auto"/>
          <w:sz w:val="22"/>
          <w:szCs w:val="22"/>
        </w:rPr>
        <w:t>tkapsa@murako.cz</w:t>
      </w:r>
    </w:p>
    <w:p w14:paraId="14DFCA55" w14:textId="77777777" w:rsidR="00D53027" w:rsidRPr="0028213C" w:rsidRDefault="00D53027">
      <w:pPr>
        <w:jc w:val="both"/>
      </w:pPr>
    </w:p>
    <w:p w14:paraId="6861D354"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0BF51D0D" w14:textId="77777777" w:rsidR="00D53027" w:rsidRPr="0028213C" w:rsidRDefault="00D53027">
      <w:pPr>
        <w:jc w:val="both"/>
      </w:pPr>
    </w:p>
    <w:p w14:paraId="556845E7" w14:textId="77777777" w:rsidR="00D53027" w:rsidRPr="0028213C" w:rsidRDefault="00E3754E" w:rsidP="00DA4AE3">
      <w:pPr>
        <w:jc w:val="both"/>
      </w:pPr>
      <w:r w:rsidRPr="0028213C">
        <w:rPr>
          <w:rFonts w:ascii="Calibri" w:eastAsia="Calibri" w:hAnsi="Calibri" w:cs="Calibri"/>
          <w:b/>
          <w:sz w:val="22"/>
          <w:szCs w:val="22"/>
        </w:rPr>
        <w:t>a</w:t>
      </w:r>
    </w:p>
    <w:p w14:paraId="1C4E8204" w14:textId="77777777" w:rsidR="00D53027" w:rsidRPr="0028213C" w:rsidRDefault="00D53027">
      <w:pPr>
        <w:ind w:firstLine="708"/>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14E69B86"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77777777"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77777777"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 tel. +420 774 724757</w:t>
      </w:r>
    </w:p>
    <w:p w14:paraId="7812783D"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9">
        <w:r w:rsidR="00E3754E" w:rsidRPr="0028213C">
          <w:rPr>
            <w:rFonts w:ascii="Calibri" w:eastAsia="Calibri" w:hAnsi="Calibri" w:cs="Calibri"/>
            <w:sz w:val="22"/>
            <w:szCs w:val="22"/>
          </w:rPr>
          <w:t>info@novecesko.cz</w:t>
        </w:r>
      </w:hyperlink>
      <w:hyperlink r:id="rId10"/>
    </w:p>
    <w:p w14:paraId="779BBB03"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2C624FDC" w14:textId="77777777"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proofErr w:type="spellStart"/>
      <w:r w:rsidR="007B3368" w:rsidRPr="007B3368">
        <w:rPr>
          <w:rFonts w:ascii="Calibri" w:eastAsia="Calibri" w:hAnsi="Calibri" w:cs="Calibri"/>
          <w:color w:val="auto"/>
          <w:sz w:val="22"/>
          <w:szCs w:val="22"/>
        </w:rPr>
        <w:t>Patrizia</w:t>
      </w:r>
      <w:proofErr w:type="spellEnd"/>
      <w:r w:rsidR="007B3368" w:rsidRPr="007B3368">
        <w:rPr>
          <w:rFonts w:ascii="Calibri" w:eastAsia="Calibri" w:hAnsi="Calibri" w:cs="Calibri"/>
          <w:color w:val="auto"/>
          <w:sz w:val="22"/>
          <w:szCs w:val="22"/>
        </w:rPr>
        <w:t xml:space="preserve"> </w:t>
      </w:r>
      <w:proofErr w:type="spellStart"/>
      <w:r w:rsidR="007B3368" w:rsidRPr="007B3368">
        <w:rPr>
          <w:rFonts w:ascii="Calibri" w:eastAsia="Calibri" w:hAnsi="Calibri" w:cs="Calibri"/>
          <w:color w:val="auto"/>
          <w:sz w:val="22"/>
          <w:szCs w:val="22"/>
        </w:rPr>
        <w:t>Jonsonová</w:t>
      </w:r>
      <w:proofErr w:type="spellEnd"/>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+420</w:t>
      </w:r>
      <w:r w:rsidR="007B3368" w:rsidRPr="007B3368">
        <w:rPr>
          <w:rFonts w:ascii="Calibri" w:eastAsia="Calibri" w:hAnsi="Calibri" w:cs="Calibri"/>
          <w:color w:val="auto"/>
          <w:sz w:val="22"/>
          <w:szCs w:val="22"/>
        </w:rPr>
        <w:t> 777 473 030</w:t>
      </w:r>
    </w:p>
    <w:p w14:paraId="529E88CE"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r w:rsidR="007B3368" w:rsidRPr="007B3368">
        <w:rPr>
          <w:rFonts w:ascii="Calibri" w:eastAsia="Calibri" w:hAnsi="Calibri" w:cs="Calibri"/>
          <w:color w:val="auto"/>
          <w:sz w:val="22"/>
          <w:szCs w:val="22"/>
        </w:rPr>
        <w:t>jonson</w:t>
      </w:r>
      <w:r w:rsidR="00E3754E" w:rsidRPr="007B3368">
        <w:rPr>
          <w:rFonts w:ascii="Calibri" w:eastAsia="Calibri" w:hAnsi="Calibri" w:cs="Calibri"/>
          <w:color w:val="auto"/>
          <w:sz w:val="22"/>
          <w:szCs w:val="22"/>
        </w:rPr>
        <w:t>@revolutiontrain.cz</w:t>
      </w:r>
    </w:p>
    <w:p w14:paraId="5BA61713" w14:textId="2D7CD335" w:rsidR="00D53027" w:rsidRPr="00F1312A" w:rsidRDefault="001B78E1" w:rsidP="00F1312A">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proofErr w:type="spellStart"/>
      <w:r w:rsidR="00771535">
        <w:rPr>
          <w:rFonts w:ascii="Calibri" w:eastAsia="Calibri" w:hAnsi="Calibri" w:cs="Calibri"/>
          <w:sz w:val="22"/>
          <w:szCs w:val="22"/>
        </w:rPr>
        <w:t>xxx</w:t>
      </w:r>
      <w:proofErr w:type="spellEnd"/>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0DD0165D"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02F694D4" w14:textId="77777777" w:rsidR="00D53027" w:rsidRPr="0028213C" w:rsidRDefault="00D53027">
      <w:pPr>
        <w:ind w:firstLine="708"/>
        <w:jc w:val="both"/>
      </w:pPr>
    </w:p>
    <w:p w14:paraId="48B82E7B" w14:textId="77777777" w:rsidR="00D53027" w:rsidRPr="0028213C" w:rsidRDefault="00D53027">
      <w:pPr>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29CDCC66" w14:textId="77777777" w:rsidR="00D53027" w:rsidRPr="0028213C" w:rsidRDefault="00D53027">
      <w:pPr>
        <w:jc w:val="both"/>
      </w:pPr>
    </w:p>
    <w:p w14:paraId="572739F3" w14:textId="77777777" w:rsidR="00D53027" w:rsidRPr="0028213C" w:rsidRDefault="00E3754E">
      <w:pPr>
        <w:jc w:val="center"/>
      </w:pPr>
      <w:r w:rsidRPr="0028213C">
        <w:rPr>
          <w:rFonts w:ascii="Calibri" w:eastAsia="Calibri" w:hAnsi="Calibri" w:cs="Calibri"/>
          <w:b/>
        </w:rPr>
        <w:t>Preambule</w:t>
      </w:r>
    </w:p>
    <w:p w14:paraId="16E6F167" w14:textId="77777777" w:rsidR="00D53027" w:rsidRPr="0028213C" w:rsidRDefault="00D53027">
      <w:pPr>
        <w:jc w:val="both"/>
      </w:pPr>
    </w:p>
    <w:p w14:paraId="34C7B2E4" w14:textId="6D3806D9"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 </w:t>
      </w:r>
      <w:r w:rsidR="004C14BC">
        <w:rPr>
          <w:rFonts w:ascii="Calibri" w:eastAsia="Calibri" w:hAnsi="Calibri" w:cs="Calibri"/>
          <w:sz w:val="22"/>
          <w:szCs w:val="22"/>
        </w:rPr>
        <w:t>Město Rakovník.</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26B0B0" w14:textId="77777777" w:rsidR="00D53027" w:rsidRPr="0028213C" w:rsidRDefault="00D53027">
      <w:pPr>
        <w:jc w:val="both"/>
      </w:pPr>
    </w:p>
    <w:p w14:paraId="2355444E" w14:textId="77777777"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činností v plném rozsahu souhlasí. Z těchto důvodů se Smluvní strany rozhodly níže uvedeného dne </w:t>
      </w:r>
      <w:r w:rsidRPr="0028213C">
        <w:rPr>
          <w:rFonts w:ascii="Calibri" w:eastAsia="Calibri" w:hAnsi="Calibri" w:cs="Calibri"/>
          <w:sz w:val="22"/>
          <w:szCs w:val="22"/>
        </w:rPr>
        <w:lastRenderedPageBreak/>
        <w:t xml:space="preserve">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192A1B43" w14:textId="77777777" w:rsidR="00D53027" w:rsidRPr="0028213C" w:rsidRDefault="00D53027">
      <w:pPr>
        <w:jc w:val="both"/>
      </w:pPr>
    </w:p>
    <w:p w14:paraId="7F649248" w14:textId="77777777" w:rsidR="00D53027" w:rsidRPr="0028213C" w:rsidRDefault="00E3754E" w:rsidP="00057A60">
      <w:pPr>
        <w:keepNext/>
        <w:jc w:val="center"/>
      </w:pPr>
      <w:r w:rsidRPr="0028213C">
        <w:rPr>
          <w:rFonts w:ascii="Calibri" w:eastAsia="Calibri" w:hAnsi="Calibri" w:cs="Calibri"/>
          <w:b/>
        </w:rPr>
        <w:t>Článek I</w:t>
      </w:r>
    </w:p>
    <w:p w14:paraId="504CD628" w14:textId="77777777" w:rsidR="00D53027" w:rsidRPr="0028213C" w:rsidRDefault="00E3754E" w:rsidP="00057A60">
      <w:pPr>
        <w:keepNext/>
        <w:jc w:val="center"/>
      </w:pPr>
      <w:r w:rsidRPr="0028213C">
        <w:rPr>
          <w:rFonts w:ascii="Calibri" w:eastAsia="Calibri" w:hAnsi="Calibri" w:cs="Calibri"/>
          <w:b/>
        </w:rPr>
        <w:t>Předmět smlouvy</w:t>
      </w:r>
    </w:p>
    <w:p w14:paraId="2EC09C11" w14:textId="1ADF4489"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383A6E">
        <w:rPr>
          <w:rFonts w:ascii="Calibri" w:eastAsia="Calibri" w:hAnsi="Calibri" w:cs="Calibri"/>
          <w:color w:val="auto"/>
          <w:sz w:val="22"/>
          <w:szCs w:val="22"/>
        </w:rPr>
        <w:t>202</w:t>
      </w:r>
      <w:r w:rsidR="00ED04D4">
        <w:rPr>
          <w:rFonts w:ascii="Calibri" w:eastAsia="Calibri" w:hAnsi="Calibri" w:cs="Calibri"/>
          <w:color w:val="auto"/>
          <w:sz w:val="22"/>
          <w:szCs w:val="22"/>
        </w:rPr>
        <w:t>1</w:t>
      </w:r>
      <w:r w:rsidR="00E3754E" w:rsidRPr="0028213C">
        <w:rPr>
          <w:rFonts w:ascii="Calibri" w:eastAsia="Calibri" w:hAnsi="Calibri" w:cs="Calibri"/>
          <w:color w:val="auto"/>
          <w:sz w:val="22"/>
          <w:szCs w:val="22"/>
        </w:rPr>
        <w:t>“.</w:t>
      </w:r>
    </w:p>
    <w:p w14:paraId="2E30025B"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zaplatit Dodavateli za řádně, včas a s odbornou péčí vykonané Služby odměnu specifikovanou v Článku III </w:t>
      </w:r>
      <w:proofErr w:type="gramStart"/>
      <w:r w:rsidRPr="0028213C">
        <w:rPr>
          <w:rFonts w:ascii="Calibri" w:eastAsia="Calibri" w:hAnsi="Calibri" w:cs="Calibri"/>
          <w:sz w:val="22"/>
          <w:szCs w:val="22"/>
        </w:rPr>
        <w:t>této</w:t>
      </w:r>
      <w:proofErr w:type="gramEnd"/>
      <w:r w:rsidRPr="0028213C">
        <w:rPr>
          <w:rFonts w:ascii="Calibri" w:eastAsia="Calibri" w:hAnsi="Calibri" w:cs="Calibri"/>
          <w:sz w:val="22"/>
          <w:szCs w:val="22"/>
        </w:rPr>
        <w:t xml:space="preserve"> Smlouvy.</w:t>
      </w:r>
    </w:p>
    <w:p w14:paraId="145F32DE"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77777777"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p>
    <w:p w14:paraId="17C56B90" w14:textId="77777777"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p>
    <w:p w14:paraId="0BBC26CB" w14:textId="77777777"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520719">
        <w:rPr>
          <w:rFonts w:ascii="Calibri" w:eastAsia="Calibri" w:hAnsi="Calibri" w:cs="Calibri"/>
          <w:color w:val="auto"/>
          <w:sz w:val="22"/>
          <w:szCs w:val="22"/>
        </w:rPr>
        <w:t>3</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p>
    <w:p w14:paraId="4C28E50E" w14:textId="77777777"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zajištění protidrogového programu pro každou skupinu v délce 90</w:t>
      </w:r>
      <w:r w:rsidR="00D56368">
        <w:rPr>
          <w:rFonts w:ascii="Calibri" w:eastAsia="Calibri" w:hAnsi="Calibri" w:cs="Calibri"/>
          <w:color w:val="auto"/>
          <w:sz w:val="22"/>
          <w:szCs w:val="22"/>
        </w:rPr>
        <w:t xml:space="preserve"> minut</w:t>
      </w:r>
    </w:p>
    <w:p w14:paraId="57E82379" w14:textId="77777777"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p>
    <w:p w14:paraId="7FA5CD8B" w14:textId="77777777" w:rsidR="00B91DF8" w:rsidRPr="0028213C" w:rsidRDefault="00B91DF8">
      <w:pPr>
        <w:jc w:val="center"/>
      </w:pPr>
    </w:p>
    <w:p w14:paraId="16CB3F9D" w14:textId="77777777"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0D9E1BDF" w14:textId="6C288070" w:rsidR="00B91DF8" w:rsidRDefault="00E3754E" w:rsidP="00A1041C">
      <w:pPr>
        <w:spacing w:before="120"/>
        <w:jc w:val="both"/>
        <w:rPr>
          <w:rFonts w:ascii="Calibri" w:eastAsia="Calibri" w:hAnsi="Calibri" w:cs="Calibri"/>
          <w:color w:val="auto"/>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00151A76" w:rsidRPr="0028213C">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001B6A35" w:rsidRPr="0028213C">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v železniční </w:t>
      </w:r>
      <w:r w:rsidR="00270376">
        <w:rPr>
          <w:rFonts w:ascii="Calibri" w:eastAsia="Calibri" w:hAnsi="Calibri" w:cs="Calibri"/>
          <w:color w:val="auto"/>
          <w:sz w:val="22"/>
          <w:szCs w:val="22"/>
        </w:rPr>
        <w:t xml:space="preserve">stanici </w:t>
      </w:r>
      <w:r w:rsidR="00A1041C" w:rsidRPr="00A1041C">
        <w:rPr>
          <w:rFonts w:ascii="Calibri" w:eastAsia="Calibri" w:hAnsi="Calibri" w:cs="Calibri"/>
          <w:color w:val="auto"/>
          <w:sz w:val="22"/>
          <w:szCs w:val="22"/>
        </w:rPr>
        <w:t xml:space="preserve">RAKOVNÍK </w:t>
      </w:r>
      <w:r w:rsidR="001D7A9B" w:rsidRPr="00A1041C">
        <w:rPr>
          <w:rFonts w:ascii="Calibri" w:eastAsia="Calibri" w:hAnsi="Calibri" w:cs="Calibri"/>
          <w:color w:val="auto"/>
          <w:sz w:val="22"/>
          <w:szCs w:val="22"/>
        </w:rPr>
        <w:t xml:space="preserve">dne </w:t>
      </w:r>
      <w:r w:rsidR="00A1041C" w:rsidRPr="00A1041C">
        <w:rPr>
          <w:rFonts w:ascii="Calibri" w:eastAsia="Calibri" w:hAnsi="Calibri" w:cs="Calibri"/>
          <w:color w:val="auto"/>
          <w:sz w:val="22"/>
          <w:szCs w:val="22"/>
        </w:rPr>
        <w:t>16.</w:t>
      </w:r>
      <w:r w:rsidR="008C5F38">
        <w:rPr>
          <w:rFonts w:ascii="Calibri" w:eastAsia="Calibri" w:hAnsi="Calibri" w:cs="Calibri"/>
          <w:color w:val="auto"/>
          <w:sz w:val="22"/>
          <w:szCs w:val="22"/>
        </w:rPr>
        <w:t xml:space="preserve"> </w:t>
      </w:r>
      <w:r w:rsidR="00A1041C" w:rsidRPr="00A1041C">
        <w:rPr>
          <w:rFonts w:ascii="Calibri" w:eastAsia="Calibri" w:hAnsi="Calibri" w:cs="Calibri"/>
          <w:color w:val="auto"/>
          <w:sz w:val="22"/>
          <w:szCs w:val="22"/>
        </w:rPr>
        <w:t>9.</w:t>
      </w:r>
      <w:r w:rsidR="008C5F38">
        <w:rPr>
          <w:rFonts w:ascii="Calibri" w:eastAsia="Calibri" w:hAnsi="Calibri" w:cs="Calibri"/>
          <w:color w:val="auto"/>
          <w:sz w:val="22"/>
          <w:szCs w:val="22"/>
        </w:rPr>
        <w:t xml:space="preserve"> </w:t>
      </w:r>
      <w:r w:rsidR="00A1041C" w:rsidRPr="00A1041C">
        <w:rPr>
          <w:rFonts w:ascii="Calibri" w:eastAsia="Calibri" w:hAnsi="Calibri" w:cs="Calibri"/>
          <w:color w:val="auto"/>
          <w:sz w:val="22"/>
          <w:szCs w:val="22"/>
        </w:rPr>
        <w:t>2021</w:t>
      </w:r>
      <w:r w:rsidR="00A1041C">
        <w:rPr>
          <w:rFonts w:ascii="Calibri" w:eastAsia="Calibri" w:hAnsi="Calibri" w:cs="Calibri"/>
          <w:color w:val="auto"/>
          <w:sz w:val="22"/>
          <w:szCs w:val="22"/>
        </w:rPr>
        <w:t>.</w:t>
      </w:r>
    </w:p>
    <w:p w14:paraId="68D4375B" w14:textId="77777777" w:rsidR="008C5F38" w:rsidRPr="0028213C" w:rsidRDefault="008C5F38" w:rsidP="00A1041C">
      <w:pPr>
        <w:spacing w:before="120"/>
        <w:jc w:val="both"/>
        <w:rPr>
          <w:rFonts w:ascii="Calibri" w:eastAsia="Calibri" w:hAnsi="Calibri" w:cs="Calibri"/>
          <w:sz w:val="22"/>
          <w:szCs w:val="22"/>
        </w:rPr>
      </w:pPr>
    </w:p>
    <w:p w14:paraId="059FE9AC" w14:textId="77777777" w:rsidR="00D53027" w:rsidRPr="0028213C" w:rsidRDefault="00E3754E">
      <w:pPr>
        <w:ind w:left="3600" w:firstLine="720"/>
        <w:jc w:val="both"/>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7BF73497" w14:textId="3410D78C"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r w:rsidR="00F70E4A">
        <w:rPr>
          <w:rFonts w:ascii="Calibri" w:eastAsia="Calibri" w:hAnsi="Calibri" w:cs="Calibri"/>
          <w:color w:val="auto"/>
          <w:sz w:val="22"/>
          <w:szCs w:val="22"/>
        </w:rPr>
        <w:t>1</w:t>
      </w:r>
      <w:r w:rsidR="00ED04D4">
        <w:rPr>
          <w:rFonts w:ascii="Calibri" w:eastAsia="Calibri" w:hAnsi="Calibri" w:cs="Calibri"/>
          <w:color w:val="auto"/>
          <w:sz w:val="22"/>
          <w:szCs w:val="22"/>
        </w:rPr>
        <w:t>1</w:t>
      </w:r>
      <w:r w:rsidR="008C5F38">
        <w:rPr>
          <w:rFonts w:ascii="Calibri" w:eastAsia="Calibri" w:hAnsi="Calibri" w:cs="Calibri"/>
          <w:color w:val="auto"/>
          <w:sz w:val="22"/>
          <w:szCs w:val="22"/>
        </w:rPr>
        <w:t>0</w:t>
      </w:r>
      <w:r w:rsidR="00F70E4A">
        <w:rPr>
          <w:rFonts w:ascii="Calibri" w:eastAsia="Calibri" w:hAnsi="Calibri" w:cs="Calibri"/>
          <w:color w:val="auto"/>
          <w:sz w:val="22"/>
          <w:szCs w:val="22"/>
        </w:rPr>
        <w:t>.000, -</w:t>
      </w:r>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 xml:space="preserve">Kč (slovy: </w:t>
      </w:r>
      <w:r w:rsidR="003F2F01">
        <w:rPr>
          <w:rFonts w:ascii="Calibri" w:eastAsia="Calibri" w:hAnsi="Calibri" w:cs="Calibri"/>
          <w:color w:val="auto"/>
          <w:sz w:val="22"/>
          <w:szCs w:val="22"/>
        </w:rPr>
        <w:t xml:space="preserve">sto </w:t>
      </w:r>
      <w:r w:rsidR="008C5F38">
        <w:rPr>
          <w:rFonts w:ascii="Calibri" w:eastAsia="Calibri" w:hAnsi="Calibri" w:cs="Calibri"/>
          <w:color w:val="auto"/>
          <w:sz w:val="22"/>
          <w:szCs w:val="22"/>
        </w:rPr>
        <w:t>deset</w:t>
      </w:r>
      <w:r w:rsidR="003F2F01">
        <w:rPr>
          <w:rFonts w:ascii="Calibri" w:eastAsia="Calibri" w:hAnsi="Calibri" w:cs="Calibri"/>
          <w:color w:val="auto"/>
          <w:sz w:val="22"/>
          <w:szCs w:val="22"/>
        </w:rPr>
        <w:t xml:space="preserve"> tisíc </w:t>
      </w:r>
      <w:r w:rsidR="003F2F01" w:rsidRPr="0028213C">
        <w:rPr>
          <w:rFonts w:ascii="Calibri" w:eastAsia="Calibri" w:hAnsi="Calibri" w:cs="Calibri"/>
          <w:color w:val="auto"/>
          <w:sz w:val="22"/>
          <w:szCs w:val="22"/>
        </w:rPr>
        <w:t>korun českých)</w:t>
      </w:r>
      <w:r w:rsidR="00277A9E">
        <w:rPr>
          <w:rFonts w:ascii="Calibri" w:eastAsia="Calibri" w:hAnsi="Calibri" w:cs="Calibri"/>
          <w:color w:val="auto"/>
          <w:sz w:val="22"/>
          <w:szCs w:val="22"/>
        </w:rPr>
        <w:t>, a to bezhotovostně na bankovní účet Dodavatele uvedený v záhlaví Smlouvy</w:t>
      </w:r>
      <w:r w:rsidR="003F2F01"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 Za objednaný </w:t>
      </w:r>
      <w:r w:rsidR="00F70E4A">
        <w:rPr>
          <w:rFonts w:ascii="Calibri" w:eastAsia="Calibri" w:hAnsi="Calibri" w:cs="Calibri"/>
          <w:color w:val="auto"/>
          <w:sz w:val="22"/>
          <w:szCs w:val="22"/>
        </w:rPr>
        <w:t xml:space="preserve">1 den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1</w:t>
      </w:r>
      <w:r w:rsidR="00ED04D4">
        <w:rPr>
          <w:rFonts w:ascii="Calibri" w:eastAsia="Calibri" w:hAnsi="Calibri" w:cs="Calibri"/>
          <w:color w:val="auto"/>
          <w:sz w:val="22"/>
          <w:szCs w:val="22"/>
        </w:rPr>
        <w:t>1</w:t>
      </w:r>
      <w:r w:rsidR="008C5F38">
        <w:rPr>
          <w:rFonts w:ascii="Calibri" w:eastAsia="Calibri" w:hAnsi="Calibri" w:cs="Calibri"/>
          <w:color w:val="auto"/>
          <w:sz w:val="22"/>
          <w:szCs w:val="22"/>
        </w:rPr>
        <w:t>0</w:t>
      </w:r>
      <w:r w:rsidR="00F70E4A">
        <w:rPr>
          <w:rFonts w:ascii="Calibri" w:eastAsia="Calibri" w:hAnsi="Calibri" w:cs="Calibri"/>
          <w:color w:val="auto"/>
          <w:sz w:val="22"/>
          <w:szCs w:val="22"/>
        </w:rPr>
        <w:t xml:space="preserve">.000, - </w:t>
      </w:r>
      <w:r w:rsidR="00F70E4A" w:rsidRPr="0028213C">
        <w:rPr>
          <w:rFonts w:ascii="Calibri" w:eastAsia="Calibri" w:hAnsi="Calibri" w:cs="Calibri"/>
          <w:color w:val="auto"/>
          <w:sz w:val="22"/>
          <w:szCs w:val="22"/>
        </w:rPr>
        <w:t xml:space="preserve">Kč (slovy: </w:t>
      </w:r>
      <w:r w:rsidR="00F70E4A">
        <w:rPr>
          <w:rFonts w:ascii="Calibri" w:eastAsia="Calibri" w:hAnsi="Calibri" w:cs="Calibri"/>
          <w:color w:val="auto"/>
          <w:sz w:val="22"/>
          <w:szCs w:val="22"/>
        </w:rPr>
        <w:t xml:space="preserve">sto </w:t>
      </w:r>
      <w:r w:rsidR="008C5F38">
        <w:rPr>
          <w:rFonts w:ascii="Calibri" w:eastAsia="Calibri" w:hAnsi="Calibri" w:cs="Calibri"/>
          <w:color w:val="auto"/>
          <w:sz w:val="22"/>
          <w:szCs w:val="22"/>
        </w:rPr>
        <w:t>deset</w:t>
      </w:r>
      <w:r w:rsidR="00F70E4A">
        <w:rPr>
          <w:rFonts w:ascii="Calibri" w:eastAsia="Calibri" w:hAnsi="Calibri" w:cs="Calibri"/>
          <w:color w:val="auto"/>
          <w:sz w:val="22"/>
          <w:szCs w:val="22"/>
        </w:rPr>
        <w:t xml:space="preserve"> tisíc </w:t>
      </w:r>
      <w:r w:rsidR="00F70E4A" w:rsidRPr="0028213C">
        <w:rPr>
          <w:rFonts w:ascii="Calibri" w:eastAsia="Calibri" w:hAnsi="Calibri" w:cs="Calibri"/>
          <w:color w:val="auto"/>
          <w:sz w:val="22"/>
          <w:szCs w:val="22"/>
        </w:rPr>
        <w:t>korun českých)</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55A98CB3" w14:textId="73F4D7FF" w:rsidR="00D53027" w:rsidRPr="000E6D37" w:rsidRDefault="00E3754E" w:rsidP="000434E9">
      <w:pPr>
        <w:numPr>
          <w:ilvl w:val="0"/>
          <w:numId w:val="11"/>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796186" w:rsidRPr="000E6D37">
        <w:rPr>
          <w:rFonts w:ascii="Calibri" w:eastAsia="Calibri" w:hAnsi="Calibri" w:cs="Calibri"/>
          <w:color w:val="auto"/>
          <w:sz w:val="22"/>
          <w:szCs w:val="22"/>
        </w:rPr>
        <w:t>V případě porušení podmínek smlouvy na straně Dodavatele se stává záloha vratnou v celém jejím rozsahu, a to do 14 dnů od doručení výzvy objednatele k jejímu vrácení.</w:t>
      </w:r>
    </w:p>
    <w:p w14:paraId="64879501"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14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406C295F"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V Odměně jsou zahrnuty veškeré náklady Dodavatele spojené s výkonem a zajišťováním Služeb pro Objednatele. Dodavatel není oprávněn na základě této Smlouvy účtovat Objednateli jiné platby, vyjma Odměny.</w:t>
      </w:r>
    </w:p>
    <w:p w14:paraId="107BEB78" w14:textId="77777777" w:rsidR="00D53027" w:rsidRPr="0028213C" w:rsidRDefault="00D53027">
      <w:pPr>
        <w:jc w:val="both"/>
      </w:pPr>
    </w:p>
    <w:p w14:paraId="7D0518C8" w14:textId="77777777" w:rsidR="00D53027" w:rsidRPr="0028213C" w:rsidRDefault="00E3754E" w:rsidP="00057A60">
      <w:pPr>
        <w:keepNext/>
        <w:jc w:val="center"/>
      </w:pPr>
      <w:r w:rsidRPr="0028213C">
        <w:rPr>
          <w:rFonts w:ascii="Calibri" w:eastAsia="Calibri" w:hAnsi="Calibri" w:cs="Calibri"/>
          <w:b/>
        </w:rPr>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 Služby, kdykoliv o to Dodavatele požádá</w:t>
      </w:r>
      <w:r w:rsidR="00E3754E" w:rsidRPr="0028213C">
        <w:rPr>
          <w:rFonts w:ascii="Calibri" w:eastAsia="Calibri" w:hAnsi="Calibri" w:cs="Calibri"/>
          <w:sz w:val="22"/>
          <w:szCs w:val="22"/>
        </w:rPr>
        <w:t>,</w:t>
      </w:r>
    </w:p>
    <w:p w14:paraId="577CC10D"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77777777" w:rsidR="00B91DF8" w:rsidRPr="0028213C" w:rsidRDefault="00B91DF8">
      <w:pPr>
        <w:ind w:left="708"/>
      </w:pPr>
    </w:p>
    <w:p w14:paraId="695314BC" w14:textId="77777777" w:rsidR="00D53027" w:rsidRPr="0028213C" w:rsidRDefault="00E3754E">
      <w:pPr>
        <w:ind w:left="357" w:hanging="357"/>
        <w:jc w:val="center"/>
      </w:pPr>
      <w:r w:rsidRPr="0028213C">
        <w:rPr>
          <w:rFonts w:ascii="Calibri" w:eastAsia="Calibri" w:hAnsi="Calibri" w:cs="Calibri"/>
          <w:b/>
        </w:rPr>
        <w:t>Článek V</w:t>
      </w:r>
    </w:p>
    <w:p w14:paraId="334F6171"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0759EA2C"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p>
    <w:p w14:paraId="1F793D5A"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14:paraId="09337559" w14:textId="77777777" w:rsidR="00D53027" w:rsidRPr="0028213C" w:rsidRDefault="00D53027">
      <w:pPr>
        <w:ind w:left="357" w:hanging="357"/>
        <w:jc w:val="both"/>
      </w:pPr>
    </w:p>
    <w:p w14:paraId="16298E08" w14:textId="77777777" w:rsidR="00D53027" w:rsidRPr="0028213C" w:rsidRDefault="00E3754E" w:rsidP="00C26589">
      <w:pPr>
        <w:keepNext/>
        <w:ind w:left="357" w:hanging="357"/>
        <w:jc w:val="center"/>
      </w:pPr>
      <w:r w:rsidRPr="0028213C">
        <w:rPr>
          <w:rFonts w:ascii="Calibri" w:eastAsia="Calibri" w:hAnsi="Calibri" w:cs="Calibri"/>
          <w:b/>
        </w:rPr>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w:t>
      </w:r>
      <w:proofErr w:type="gramStart"/>
      <w:r w:rsidR="00255E5D" w:rsidRPr="0028213C">
        <w:rPr>
          <w:rFonts w:ascii="Calibri" w:eastAsia="Calibri" w:hAnsi="Calibri" w:cs="Calibri"/>
          <w:sz w:val="22"/>
          <w:szCs w:val="22"/>
        </w:rPr>
        <w:t>této</w:t>
      </w:r>
      <w:proofErr w:type="gramEnd"/>
      <w:r w:rsidR="00255E5D" w:rsidRPr="0028213C">
        <w:rPr>
          <w:rFonts w:ascii="Calibri" w:eastAsia="Calibri" w:hAnsi="Calibri" w:cs="Calibri"/>
          <w:sz w:val="22"/>
          <w:szCs w:val="22"/>
        </w:rPr>
        <w:t xml:space="preserve">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54B10D1A" w14:textId="77777777" w:rsidR="00682C86" w:rsidRPr="0028213C" w:rsidRDefault="00682C86" w:rsidP="00EC79E7">
      <w:pPr>
        <w:spacing w:before="120"/>
        <w:ind w:left="357"/>
      </w:pPr>
    </w:p>
    <w:p w14:paraId="27507D15" w14:textId="77777777"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14:paraId="5BF7AA00"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28213C" w:rsidRDefault="00D53027">
      <w:pPr>
        <w:tabs>
          <w:tab w:val="left" w:pos="283"/>
        </w:tabs>
        <w:jc w:val="center"/>
      </w:pPr>
    </w:p>
    <w:p w14:paraId="53872142" w14:textId="77777777"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4E8BF52C" w14:textId="3CF920CD" w:rsidR="00F1312A" w:rsidRPr="00724AF8" w:rsidRDefault="00F1312A" w:rsidP="004B567F">
      <w:pPr>
        <w:numPr>
          <w:ilvl w:val="0"/>
          <w:numId w:val="12"/>
        </w:numPr>
        <w:spacing w:before="120"/>
        <w:ind w:left="357" w:hanging="357"/>
        <w:jc w:val="both"/>
        <w:rPr>
          <w:rFonts w:ascii="Calibri" w:eastAsia="Calibri" w:hAnsi="Calibri" w:cs="Calibri"/>
          <w:color w:val="auto"/>
          <w:sz w:val="22"/>
          <w:szCs w:val="22"/>
        </w:rPr>
      </w:pPr>
      <w:r w:rsidRPr="00724AF8">
        <w:rPr>
          <w:rFonts w:ascii="Calibri" w:eastAsia="Calibri" w:hAnsi="Calibri" w:cs="Calibri"/>
          <w:color w:val="auto"/>
          <w:sz w:val="22"/>
          <w:szCs w:val="22"/>
        </w:rPr>
        <w:t xml:space="preserve">Smlouva může být ukončena dohodou smluvních stran. </w:t>
      </w:r>
    </w:p>
    <w:p w14:paraId="41AA86C0" w14:textId="77777777"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77777777" w:rsidR="00B91DF8" w:rsidRPr="0028213C" w:rsidRDefault="00B91DF8" w:rsidP="00B91DF8">
      <w:pPr>
        <w:ind w:left="360"/>
      </w:pPr>
    </w:p>
    <w:p w14:paraId="7BC774A0" w14:textId="77777777" w:rsidR="00D53027" w:rsidRPr="0028213C" w:rsidRDefault="00E3754E">
      <w:pPr>
        <w:tabs>
          <w:tab w:val="left" w:pos="283"/>
        </w:tabs>
        <w:jc w:val="center"/>
      </w:pPr>
      <w:r w:rsidRPr="0028213C">
        <w:rPr>
          <w:rFonts w:ascii="Calibri" w:eastAsia="Calibri" w:hAnsi="Calibri" w:cs="Calibri"/>
          <w:b/>
        </w:rPr>
        <w:t>Článek IX.</w:t>
      </w:r>
    </w:p>
    <w:p w14:paraId="2DD22B5E" w14:textId="77777777" w:rsidR="00D53027" w:rsidRPr="0028213C" w:rsidRDefault="00E3754E">
      <w:pPr>
        <w:jc w:val="center"/>
      </w:pPr>
      <w:r w:rsidRPr="0028213C">
        <w:rPr>
          <w:rFonts w:ascii="Calibri" w:eastAsia="Calibri" w:hAnsi="Calibri" w:cs="Calibri"/>
          <w:b/>
        </w:rPr>
        <w:t>Společná a závěrečná ustanovení</w:t>
      </w:r>
    </w:p>
    <w:p w14:paraId="72D677C2"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28BD39AD"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7E5A606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6C318FAE" w14:textId="77777777"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14:paraId="44620A0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0026DC0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6DD492B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F0D9F4C"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8A4F19E" w14:textId="19ABF479" w:rsidR="00D53027" w:rsidRPr="00724AF8" w:rsidRDefault="00E3754E" w:rsidP="00273DC3">
      <w:pPr>
        <w:numPr>
          <w:ilvl w:val="0"/>
          <w:numId w:val="5"/>
        </w:numPr>
        <w:tabs>
          <w:tab w:val="left" w:pos="426"/>
        </w:tabs>
        <w:spacing w:before="120"/>
        <w:ind w:left="425" w:hanging="425"/>
        <w:jc w:val="both"/>
        <w:rPr>
          <w:rFonts w:ascii="Calibri" w:eastAsia="Calibri" w:hAnsi="Calibri" w:cs="Calibri"/>
          <w:color w:val="auto"/>
          <w:sz w:val="22"/>
          <w:szCs w:val="22"/>
        </w:rPr>
      </w:pPr>
      <w:r w:rsidRPr="0028213C">
        <w:rPr>
          <w:rFonts w:ascii="Calibri" w:eastAsia="Calibri" w:hAnsi="Calibri" w:cs="Calibri"/>
          <w:sz w:val="22"/>
          <w:szCs w:val="22"/>
        </w:rPr>
        <w:t xml:space="preserve">Tato Smlouva se vyhotovuje ve </w:t>
      </w:r>
      <w:r w:rsidR="00F1312A" w:rsidRPr="00724AF8">
        <w:rPr>
          <w:rFonts w:ascii="Calibri" w:eastAsia="Calibri" w:hAnsi="Calibri" w:cs="Calibri"/>
          <w:color w:val="auto"/>
          <w:sz w:val="22"/>
          <w:szCs w:val="22"/>
        </w:rPr>
        <w:t>třech</w:t>
      </w:r>
      <w:r w:rsidRPr="00724AF8">
        <w:rPr>
          <w:rFonts w:ascii="Calibri" w:eastAsia="Calibri" w:hAnsi="Calibri" w:cs="Calibri"/>
          <w:color w:val="auto"/>
          <w:sz w:val="22"/>
          <w:szCs w:val="22"/>
        </w:rPr>
        <w:t xml:space="preserve"> provedeních, každé s platností originálu, z nichž </w:t>
      </w:r>
      <w:r w:rsidR="00F1312A" w:rsidRPr="00724AF8">
        <w:rPr>
          <w:rFonts w:ascii="Calibri" w:eastAsia="Calibri" w:hAnsi="Calibri" w:cs="Calibri"/>
          <w:color w:val="auto"/>
          <w:sz w:val="22"/>
          <w:szCs w:val="22"/>
        </w:rPr>
        <w:t>Objednatel obdrží 2 vyhotovení a Dodavatel 1 vyhotovení.</w:t>
      </w:r>
    </w:p>
    <w:p w14:paraId="74CE827F" w14:textId="33FABCA2" w:rsidR="00F1312A" w:rsidRPr="00724AF8" w:rsidRDefault="00F1312A" w:rsidP="00273DC3">
      <w:pPr>
        <w:numPr>
          <w:ilvl w:val="0"/>
          <w:numId w:val="5"/>
        </w:numPr>
        <w:tabs>
          <w:tab w:val="left" w:pos="426"/>
        </w:tabs>
        <w:spacing w:before="120"/>
        <w:ind w:left="425" w:hanging="425"/>
        <w:jc w:val="both"/>
        <w:rPr>
          <w:rFonts w:ascii="Calibri" w:eastAsia="Calibri" w:hAnsi="Calibri" w:cs="Calibri"/>
          <w:color w:val="auto"/>
          <w:sz w:val="22"/>
          <w:szCs w:val="22"/>
        </w:rPr>
      </w:pPr>
      <w:r w:rsidRPr="00724AF8">
        <w:rPr>
          <w:rFonts w:ascii="Calibri" w:eastAsia="Calibri" w:hAnsi="Calibri" w:cs="Calibri"/>
          <w:color w:val="auto"/>
          <w:sz w:val="22"/>
          <w:szCs w:val="22"/>
        </w:rPr>
        <w:t xml:space="preserve">Uzavření této smlouvy bylo schváleno Radou města Rakovníka dne 8. 9. 2021 usnesením č.  </w:t>
      </w:r>
      <w:r w:rsidR="00480B35">
        <w:rPr>
          <w:rFonts w:ascii="Calibri" w:eastAsia="Calibri" w:hAnsi="Calibri" w:cs="Calibri"/>
          <w:color w:val="auto"/>
          <w:sz w:val="22"/>
          <w:szCs w:val="22"/>
        </w:rPr>
        <w:t>550</w:t>
      </w:r>
      <w:r w:rsidRPr="00724AF8">
        <w:rPr>
          <w:rFonts w:ascii="Calibri" w:eastAsia="Calibri" w:hAnsi="Calibri" w:cs="Calibri"/>
          <w:color w:val="auto"/>
          <w:sz w:val="22"/>
          <w:szCs w:val="22"/>
        </w:rPr>
        <w:t xml:space="preserve">/21. </w:t>
      </w:r>
    </w:p>
    <w:p w14:paraId="0AD5E70F" w14:textId="77777777"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00C17FEE" w:rsidRPr="0028213C">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14:paraId="4B0DE7D1" w14:textId="77777777" w:rsidR="00273DC3" w:rsidRPr="0028213C"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6F830DB2" w14:textId="77777777" w:rsidR="00D53027"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14:paraId="5C841411" w14:textId="77777777" w:rsidR="00B91DF8" w:rsidRPr="00724AF8" w:rsidRDefault="00B91DF8">
      <w:pPr>
        <w:rPr>
          <w:color w:val="auto"/>
        </w:rPr>
      </w:pPr>
    </w:p>
    <w:p w14:paraId="5202C4C3" w14:textId="6390065F"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585E83">
        <w:rPr>
          <w:rFonts w:ascii="Calibri" w:eastAsia="Calibri" w:hAnsi="Calibri" w:cs="Calibri"/>
          <w:color w:val="auto"/>
          <w:sz w:val="22"/>
          <w:szCs w:val="22"/>
        </w:rPr>
        <w:t> </w:t>
      </w:r>
      <w:r w:rsidR="00480B35">
        <w:rPr>
          <w:rFonts w:ascii="Calibri" w:eastAsia="Calibri" w:hAnsi="Calibri" w:cs="Calibri"/>
          <w:color w:val="auto"/>
          <w:sz w:val="22"/>
          <w:szCs w:val="22"/>
        </w:rPr>
        <w:t>Rakovníku</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480B35">
        <w:rPr>
          <w:rFonts w:ascii="Calibri" w:eastAsia="Calibri" w:hAnsi="Calibri" w:cs="Calibri"/>
          <w:color w:val="auto"/>
          <w:sz w:val="22"/>
          <w:szCs w:val="22"/>
        </w:rPr>
        <w:t>8.9.2021</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771535">
        <w:rPr>
          <w:rFonts w:ascii="Calibri" w:eastAsia="Calibri" w:hAnsi="Calibri" w:cs="Calibri"/>
          <w:color w:val="auto"/>
          <w:sz w:val="22"/>
          <w:szCs w:val="22"/>
        </w:rPr>
        <w:t>14.9.2021</w:t>
      </w:r>
      <w:bookmarkStart w:id="1" w:name="_GoBack"/>
      <w:bookmarkEnd w:id="1"/>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14:paraId="050DECBE" w14:textId="77777777" w:rsidTr="009E76B7">
        <w:trPr>
          <w:trHeight w:val="1757"/>
        </w:trPr>
        <w:tc>
          <w:tcPr>
            <w:tcW w:w="3096" w:type="dxa"/>
            <w:tcBorders>
              <w:bottom w:val="single" w:sz="4" w:space="0" w:color="000000"/>
            </w:tcBorders>
          </w:tcPr>
          <w:p w14:paraId="4F435EF4" w14:textId="77777777" w:rsidR="00D53027" w:rsidRPr="0028213C" w:rsidRDefault="00D53027">
            <w:pPr>
              <w:jc w:val="both"/>
              <w:rPr>
                <w:color w:val="auto"/>
              </w:rPr>
            </w:pPr>
          </w:p>
        </w:tc>
        <w:tc>
          <w:tcPr>
            <w:tcW w:w="3072" w:type="dxa"/>
          </w:tcPr>
          <w:p w14:paraId="669EA8FB" w14:textId="77777777" w:rsidR="00D53027" w:rsidRPr="0028213C" w:rsidRDefault="00D53027">
            <w:pPr>
              <w:jc w:val="both"/>
              <w:rPr>
                <w:color w:val="auto"/>
              </w:rPr>
            </w:pPr>
          </w:p>
          <w:p w14:paraId="6FC58610" w14:textId="77777777" w:rsidR="00D53027" w:rsidRPr="0028213C" w:rsidRDefault="00D53027">
            <w:pPr>
              <w:jc w:val="both"/>
              <w:rPr>
                <w:color w:val="auto"/>
              </w:rPr>
            </w:pPr>
          </w:p>
          <w:p w14:paraId="07B50EB3" w14:textId="77777777" w:rsidR="00D53027" w:rsidRPr="0028213C" w:rsidRDefault="00D53027">
            <w:pPr>
              <w:jc w:val="both"/>
              <w:rPr>
                <w:color w:val="auto"/>
              </w:rPr>
            </w:pPr>
          </w:p>
          <w:p w14:paraId="4801984F" w14:textId="77777777" w:rsidR="00D53027" w:rsidRPr="0028213C" w:rsidRDefault="00D53027">
            <w:pPr>
              <w:jc w:val="both"/>
              <w:rPr>
                <w:color w:val="auto"/>
              </w:rPr>
            </w:pPr>
          </w:p>
          <w:p w14:paraId="003CD9C8" w14:textId="77777777" w:rsidR="00D53027" w:rsidRPr="0028213C" w:rsidRDefault="00D53027">
            <w:pPr>
              <w:jc w:val="both"/>
              <w:rPr>
                <w:color w:val="auto"/>
              </w:rPr>
            </w:pPr>
          </w:p>
          <w:p w14:paraId="397B8148" w14:textId="77777777" w:rsidR="00D53027" w:rsidRPr="0028213C" w:rsidRDefault="00D53027">
            <w:pPr>
              <w:jc w:val="both"/>
              <w:rPr>
                <w:color w:val="auto"/>
              </w:rPr>
            </w:pPr>
          </w:p>
        </w:tc>
        <w:tc>
          <w:tcPr>
            <w:tcW w:w="3330" w:type="dxa"/>
            <w:tcBorders>
              <w:bottom w:val="single" w:sz="4" w:space="0" w:color="000000"/>
            </w:tcBorders>
          </w:tcPr>
          <w:p w14:paraId="521B86C4" w14:textId="77777777" w:rsidR="00D53027" w:rsidRPr="0028213C" w:rsidRDefault="00D53027">
            <w:pPr>
              <w:jc w:val="both"/>
              <w:rPr>
                <w:color w:val="auto"/>
              </w:rPr>
            </w:pPr>
          </w:p>
        </w:tc>
      </w:tr>
      <w:tr w:rsidR="002B01AF" w:rsidRPr="0028213C" w14:paraId="016BDC73" w14:textId="77777777">
        <w:trPr>
          <w:trHeight w:val="380"/>
        </w:trPr>
        <w:tc>
          <w:tcPr>
            <w:tcW w:w="3096" w:type="dxa"/>
            <w:tcBorders>
              <w:top w:val="single" w:sz="4" w:space="0" w:color="000000"/>
            </w:tcBorders>
          </w:tcPr>
          <w:p w14:paraId="023FD8D8" w14:textId="0A327191" w:rsidR="00585E83" w:rsidRDefault="00F1312A"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Město Rakovník</w:t>
            </w:r>
          </w:p>
          <w:p w14:paraId="55216DE7" w14:textId="6275A9DB" w:rsidR="00F1312A" w:rsidRDefault="00F1312A"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PaedDr. Luděk Štíbr</w:t>
            </w:r>
          </w:p>
          <w:p w14:paraId="38AC263A" w14:textId="23DBB738" w:rsidR="00A00F07" w:rsidRDefault="00F1312A"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starosta</w:t>
            </w:r>
          </w:p>
          <w:p w14:paraId="3F4362BA" w14:textId="77777777" w:rsidR="00D53027" w:rsidRPr="009E76B7" w:rsidRDefault="00502C96" w:rsidP="009E76B7">
            <w:pPr>
              <w:rPr>
                <w:rFonts w:asciiTheme="minorHAnsi" w:hAnsiTheme="minorHAnsi" w:cstheme="minorHAnsi"/>
                <w:i/>
                <w:color w:val="auto"/>
                <w:sz w:val="22"/>
                <w:szCs w:val="22"/>
              </w:rPr>
            </w:pPr>
            <w:r w:rsidRPr="009E76B7">
              <w:rPr>
                <w:rFonts w:asciiTheme="minorHAnsi" w:eastAsia="Calibri" w:hAnsiTheme="minorHAnsi" w:cstheme="minorHAnsi"/>
                <w:i/>
                <w:color w:val="auto"/>
                <w:sz w:val="22"/>
                <w:szCs w:val="22"/>
              </w:rPr>
              <w:t>Objednatel</w:t>
            </w:r>
            <w:r w:rsidR="009E76B7" w:rsidRPr="009E76B7">
              <w:rPr>
                <w:rFonts w:ascii="Calibri" w:eastAsia="Calibri" w:hAnsi="Calibri" w:cs="Calibri"/>
                <w:i/>
                <w:sz w:val="22"/>
                <w:szCs w:val="22"/>
              </w:rPr>
              <w:t xml:space="preserve"> </w:t>
            </w:r>
          </w:p>
        </w:tc>
        <w:tc>
          <w:tcPr>
            <w:tcW w:w="3072" w:type="dxa"/>
          </w:tcPr>
          <w:p w14:paraId="172F4361" w14:textId="77777777" w:rsidR="00D53027" w:rsidRPr="0028213C" w:rsidRDefault="00D53027">
            <w:pPr>
              <w:jc w:val="both"/>
              <w:rPr>
                <w:color w:val="auto"/>
              </w:rPr>
            </w:pPr>
          </w:p>
          <w:p w14:paraId="0B38907F" w14:textId="77777777" w:rsidR="00502C96" w:rsidRPr="0028213C" w:rsidRDefault="00502C96">
            <w:pPr>
              <w:jc w:val="both"/>
              <w:rPr>
                <w:color w:val="auto"/>
              </w:rPr>
            </w:pPr>
          </w:p>
        </w:tc>
        <w:tc>
          <w:tcPr>
            <w:tcW w:w="3330" w:type="dxa"/>
            <w:tcBorders>
              <w:top w:val="single" w:sz="4" w:space="0" w:color="000000"/>
            </w:tcBorders>
          </w:tcPr>
          <w:p w14:paraId="140C0AB7" w14:textId="77777777"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14:paraId="2D03D943" w14:textId="77777777" w:rsidR="00D53027" w:rsidRPr="0028213C" w:rsidRDefault="00E3754E" w:rsidP="009E76B7">
            <w:pPr>
              <w:ind w:hanging="2"/>
              <w:rPr>
                <w:color w:val="auto"/>
              </w:rPr>
            </w:pPr>
            <w:r w:rsidRPr="0028213C">
              <w:rPr>
                <w:rFonts w:ascii="Calibri" w:eastAsia="Calibri" w:hAnsi="Calibri" w:cs="Calibri"/>
                <w:color w:val="auto"/>
                <w:sz w:val="22"/>
                <w:szCs w:val="22"/>
              </w:rPr>
              <w:t>Pavel Tůma, člen správní rady</w:t>
            </w:r>
          </w:p>
          <w:p w14:paraId="07B29D76" w14:textId="77777777" w:rsidR="00D53027" w:rsidRDefault="00E3754E" w:rsidP="009E76B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14:paraId="6A4F5B3B" w14:textId="77777777" w:rsidR="009E76B7" w:rsidRPr="009E76B7" w:rsidRDefault="009E76B7" w:rsidP="009E76B7">
            <w:pPr>
              <w:ind w:hanging="2"/>
              <w:rPr>
                <w:i/>
                <w:color w:val="auto"/>
              </w:rPr>
            </w:pPr>
            <w:r w:rsidRPr="009E76B7">
              <w:rPr>
                <w:rFonts w:ascii="Calibri" w:eastAsia="Calibri" w:hAnsi="Calibri" w:cs="Calibri"/>
                <w:i/>
                <w:sz w:val="22"/>
                <w:szCs w:val="22"/>
              </w:rPr>
              <w:t>Dodavatel</w:t>
            </w:r>
          </w:p>
        </w:tc>
      </w:tr>
    </w:tbl>
    <w:p w14:paraId="21F4DE7A" w14:textId="77777777" w:rsidR="00030FD0" w:rsidRPr="009E76B7" w:rsidRDefault="00030FD0" w:rsidP="00724AF8">
      <w:pPr>
        <w:tabs>
          <w:tab w:val="left" w:pos="1147"/>
        </w:tabs>
        <w:jc w:val="both"/>
      </w:pPr>
    </w:p>
    <w:sectPr w:rsidR="00030FD0" w:rsidRPr="009E76B7" w:rsidSect="00755A18">
      <w:footerReference w:type="default" r:id="rId11"/>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D6E9A" w14:textId="77777777" w:rsidR="00A4509F" w:rsidRDefault="00A4509F">
      <w:r>
        <w:separator/>
      </w:r>
    </w:p>
  </w:endnote>
  <w:endnote w:type="continuationSeparator" w:id="0">
    <w:p w14:paraId="55A4E33E" w14:textId="77777777" w:rsidR="00A4509F" w:rsidRDefault="00A4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237B" w14:textId="77777777" w:rsidR="00A56B0A" w:rsidRDefault="00A56B0A" w:rsidP="00DA4AE3">
    <w:pPr>
      <w:tabs>
        <w:tab w:val="center" w:pos="4536"/>
        <w:tab w:val="right" w:pos="9072"/>
      </w:tabs>
      <w:spacing w:after="120"/>
      <w:jc w:val="center"/>
    </w:pPr>
    <w:r>
      <w:fldChar w:fldCharType="begin"/>
    </w:r>
    <w:r>
      <w:instrText>PAGE</w:instrText>
    </w:r>
    <w:r>
      <w:fldChar w:fldCharType="separate"/>
    </w:r>
    <w:r w:rsidR="0077153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93A6E" w14:textId="77777777" w:rsidR="00A4509F" w:rsidRDefault="00A4509F">
      <w:r>
        <w:separator/>
      </w:r>
    </w:p>
  </w:footnote>
  <w:footnote w:type="continuationSeparator" w:id="0">
    <w:p w14:paraId="50823135" w14:textId="77777777" w:rsidR="00A4509F" w:rsidRDefault="00A45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abstractNumId w:val="6"/>
  </w:num>
  <w:num w:numId="2">
    <w:abstractNumId w:val="1"/>
  </w:num>
  <w:num w:numId="3">
    <w:abstractNumId w:val="3"/>
  </w:num>
  <w:num w:numId="4">
    <w:abstractNumId w:val="0"/>
  </w:num>
  <w:num w:numId="5">
    <w:abstractNumId w:val="13"/>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27"/>
    <w:rsid w:val="00006BEC"/>
    <w:rsid w:val="00030FD0"/>
    <w:rsid w:val="00034439"/>
    <w:rsid w:val="000376A5"/>
    <w:rsid w:val="000434E9"/>
    <w:rsid w:val="000470D1"/>
    <w:rsid w:val="0004783B"/>
    <w:rsid w:val="00057A60"/>
    <w:rsid w:val="00072937"/>
    <w:rsid w:val="00082030"/>
    <w:rsid w:val="00087A5C"/>
    <w:rsid w:val="00092BD6"/>
    <w:rsid w:val="00092F90"/>
    <w:rsid w:val="000A11CB"/>
    <w:rsid w:val="000A7813"/>
    <w:rsid w:val="000C0EC6"/>
    <w:rsid w:val="000C5740"/>
    <w:rsid w:val="000D0CDA"/>
    <w:rsid w:val="000D1EF2"/>
    <w:rsid w:val="000D30C2"/>
    <w:rsid w:val="000E6D37"/>
    <w:rsid w:val="000F7F4E"/>
    <w:rsid w:val="00103207"/>
    <w:rsid w:val="001129B6"/>
    <w:rsid w:val="00117BCF"/>
    <w:rsid w:val="0014661C"/>
    <w:rsid w:val="00150389"/>
    <w:rsid w:val="00151A76"/>
    <w:rsid w:val="00176F32"/>
    <w:rsid w:val="00177A47"/>
    <w:rsid w:val="00182E10"/>
    <w:rsid w:val="00195102"/>
    <w:rsid w:val="001A5938"/>
    <w:rsid w:val="001B04BF"/>
    <w:rsid w:val="001B6A35"/>
    <w:rsid w:val="001B78E1"/>
    <w:rsid w:val="001C31CA"/>
    <w:rsid w:val="001C5EF5"/>
    <w:rsid w:val="001D5CA6"/>
    <w:rsid w:val="001D7A9B"/>
    <w:rsid w:val="001E1222"/>
    <w:rsid w:val="001F46D7"/>
    <w:rsid w:val="001F7054"/>
    <w:rsid w:val="002012A9"/>
    <w:rsid w:val="00202004"/>
    <w:rsid w:val="00203574"/>
    <w:rsid w:val="00206053"/>
    <w:rsid w:val="0021059D"/>
    <w:rsid w:val="002204AB"/>
    <w:rsid w:val="002263BD"/>
    <w:rsid w:val="00233E2C"/>
    <w:rsid w:val="00245432"/>
    <w:rsid w:val="00255E5D"/>
    <w:rsid w:val="002605B9"/>
    <w:rsid w:val="00262F85"/>
    <w:rsid w:val="00270376"/>
    <w:rsid w:val="00273DC3"/>
    <w:rsid w:val="0027540A"/>
    <w:rsid w:val="00277A9E"/>
    <w:rsid w:val="0028213C"/>
    <w:rsid w:val="002A2AA9"/>
    <w:rsid w:val="002B01AF"/>
    <w:rsid w:val="002D2168"/>
    <w:rsid w:val="002D57B9"/>
    <w:rsid w:val="002E578F"/>
    <w:rsid w:val="002E7191"/>
    <w:rsid w:val="003231E2"/>
    <w:rsid w:val="003232EC"/>
    <w:rsid w:val="0034203C"/>
    <w:rsid w:val="00343CFE"/>
    <w:rsid w:val="00355F58"/>
    <w:rsid w:val="00356A02"/>
    <w:rsid w:val="00373D03"/>
    <w:rsid w:val="003750B4"/>
    <w:rsid w:val="003755AA"/>
    <w:rsid w:val="00380E99"/>
    <w:rsid w:val="00383A6E"/>
    <w:rsid w:val="00395194"/>
    <w:rsid w:val="003A1F17"/>
    <w:rsid w:val="003A5D04"/>
    <w:rsid w:val="003B4665"/>
    <w:rsid w:val="003C15D4"/>
    <w:rsid w:val="003C70F2"/>
    <w:rsid w:val="003D4131"/>
    <w:rsid w:val="003F0125"/>
    <w:rsid w:val="003F2F01"/>
    <w:rsid w:val="003F6E97"/>
    <w:rsid w:val="00400866"/>
    <w:rsid w:val="00406565"/>
    <w:rsid w:val="00412A50"/>
    <w:rsid w:val="00417E10"/>
    <w:rsid w:val="00431BE0"/>
    <w:rsid w:val="00435E2D"/>
    <w:rsid w:val="00451EF4"/>
    <w:rsid w:val="004560BA"/>
    <w:rsid w:val="0045635A"/>
    <w:rsid w:val="00456656"/>
    <w:rsid w:val="00460E8C"/>
    <w:rsid w:val="0046414A"/>
    <w:rsid w:val="004675F4"/>
    <w:rsid w:val="00475E22"/>
    <w:rsid w:val="00480B35"/>
    <w:rsid w:val="00490285"/>
    <w:rsid w:val="004B236A"/>
    <w:rsid w:val="004B48F3"/>
    <w:rsid w:val="004B54A6"/>
    <w:rsid w:val="004B567F"/>
    <w:rsid w:val="004C14BC"/>
    <w:rsid w:val="004C5AF1"/>
    <w:rsid w:val="004C74CE"/>
    <w:rsid w:val="004D336F"/>
    <w:rsid w:val="004D7B7B"/>
    <w:rsid w:val="004E7E33"/>
    <w:rsid w:val="004F2F1E"/>
    <w:rsid w:val="00502C96"/>
    <w:rsid w:val="00504DDA"/>
    <w:rsid w:val="0050794C"/>
    <w:rsid w:val="00520719"/>
    <w:rsid w:val="00531498"/>
    <w:rsid w:val="00573CFE"/>
    <w:rsid w:val="005812AF"/>
    <w:rsid w:val="00585E83"/>
    <w:rsid w:val="0058721E"/>
    <w:rsid w:val="005945F1"/>
    <w:rsid w:val="00594CA2"/>
    <w:rsid w:val="005C7AA6"/>
    <w:rsid w:val="005C7FB4"/>
    <w:rsid w:val="005D73B1"/>
    <w:rsid w:val="005F3032"/>
    <w:rsid w:val="005F3F97"/>
    <w:rsid w:val="00615040"/>
    <w:rsid w:val="006208C2"/>
    <w:rsid w:val="00621AA2"/>
    <w:rsid w:val="0062538F"/>
    <w:rsid w:val="00627AB0"/>
    <w:rsid w:val="0063454F"/>
    <w:rsid w:val="006501E1"/>
    <w:rsid w:val="0065130D"/>
    <w:rsid w:val="0066241B"/>
    <w:rsid w:val="00662960"/>
    <w:rsid w:val="006721E7"/>
    <w:rsid w:val="00680D45"/>
    <w:rsid w:val="00682C86"/>
    <w:rsid w:val="00684B1F"/>
    <w:rsid w:val="006855E0"/>
    <w:rsid w:val="00685BB8"/>
    <w:rsid w:val="00695D89"/>
    <w:rsid w:val="006B316E"/>
    <w:rsid w:val="006C188E"/>
    <w:rsid w:val="006C3BE6"/>
    <w:rsid w:val="006C3F59"/>
    <w:rsid w:val="006C56AF"/>
    <w:rsid w:val="006C7EC0"/>
    <w:rsid w:val="006E0A74"/>
    <w:rsid w:val="006E6BCF"/>
    <w:rsid w:val="006F04A7"/>
    <w:rsid w:val="00714610"/>
    <w:rsid w:val="00723D5C"/>
    <w:rsid w:val="00724AF8"/>
    <w:rsid w:val="00724D00"/>
    <w:rsid w:val="00725AA8"/>
    <w:rsid w:val="007344F6"/>
    <w:rsid w:val="00755A18"/>
    <w:rsid w:val="00757D09"/>
    <w:rsid w:val="0076377D"/>
    <w:rsid w:val="00770145"/>
    <w:rsid w:val="00771535"/>
    <w:rsid w:val="00782969"/>
    <w:rsid w:val="00790D00"/>
    <w:rsid w:val="00796186"/>
    <w:rsid w:val="007B3368"/>
    <w:rsid w:val="007D5CB7"/>
    <w:rsid w:val="007E2039"/>
    <w:rsid w:val="007E27A3"/>
    <w:rsid w:val="00801E4D"/>
    <w:rsid w:val="00814456"/>
    <w:rsid w:val="00815DEE"/>
    <w:rsid w:val="00815E30"/>
    <w:rsid w:val="00820661"/>
    <w:rsid w:val="0082104D"/>
    <w:rsid w:val="00823018"/>
    <w:rsid w:val="00844AF2"/>
    <w:rsid w:val="00844B1C"/>
    <w:rsid w:val="00845B85"/>
    <w:rsid w:val="008605D8"/>
    <w:rsid w:val="00860847"/>
    <w:rsid w:val="00873D67"/>
    <w:rsid w:val="00887E5B"/>
    <w:rsid w:val="008A7678"/>
    <w:rsid w:val="008B236C"/>
    <w:rsid w:val="008B3F89"/>
    <w:rsid w:val="008C5F38"/>
    <w:rsid w:val="008D5972"/>
    <w:rsid w:val="008D6D67"/>
    <w:rsid w:val="008E2103"/>
    <w:rsid w:val="008E6581"/>
    <w:rsid w:val="009015C4"/>
    <w:rsid w:val="00905A85"/>
    <w:rsid w:val="0091589F"/>
    <w:rsid w:val="00920173"/>
    <w:rsid w:val="00920BD2"/>
    <w:rsid w:val="009211F8"/>
    <w:rsid w:val="00941E42"/>
    <w:rsid w:val="00952025"/>
    <w:rsid w:val="00953F1A"/>
    <w:rsid w:val="00964D04"/>
    <w:rsid w:val="00987577"/>
    <w:rsid w:val="00997722"/>
    <w:rsid w:val="009A2982"/>
    <w:rsid w:val="009D1EB8"/>
    <w:rsid w:val="009E76B7"/>
    <w:rsid w:val="00A00F07"/>
    <w:rsid w:val="00A1041C"/>
    <w:rsid w:val="00A3690F"/>
    <w:rsid w:val="00A4509F"/>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714E"/>
    <w:rsid w:val="00B20D4C"/>
    <w:rsid w:val="00B249D5"/>
    <w:rsid w:val="00B37EFC"/>
    <w:rsid w:val="00B55455"/>
    <w:rsid w:val="00B75E2D"/>
    <w:rsid w:val="00B768EE"/>
    <w:rsid w:val="00B77095"/>
    <w:rsid w:val="00B91DF8"/>
    <w:rsid w:val="00BA247E"/>
    <w:rsid w:val="00BC0B7E"/>
    <w:rsid w:val="00BD052D"/>
    <w:rsid w:val="00BF07BB"/>
    <w:rsid w:val="00BF2B34"/>
    <w:rsid w:val="00BF2EE8"/>
    <w:rsid w:val="00C17FEE"/>
    <w:rsid w:val="00C26589"/>
    <w:rsid w:val="00C5752A"/>
    <w:rsid w:val="00C8617D"/>
    <w:rsid w:val="00CC16B5"/>
    <w:rsid w:val="00CE263A"/>
    <w:rsid w:val="00D029A7"/>
    <w:rsid w:val="00D071B4"/>
    <w:rsid w:val="00D50FC7"/>
    <w:rsid w:val="00D52365"/>
    <w:rsid w:val="00D53027"/>
    <w:rsid w:val="00D56368"/>
    <w:rsid w:val="00D95C5B"/>
    <w:rsid w:val="00DA3A02"/>
    <w:rsid w:val="00DA4AE3"/>
    <w:rsid w:val="00DB348B"/>
    <w:rsid w:val="00DB35ED"/>
    <w:rsid w:val="00DC006B"/>
    <w:rsid w:val="00DC4982"/>
    <w:rsid w:val="00DE74FF"/>
    <w:rsid w:val="00E111B6"/>
    <w:rsid w:val="00E120A2"/>
    <w:rsid w:val="00E3754E"/>
    <w:rsid w:val="00E4111C"/>
    <w:rsid w:val="00E44C82"/>
    <w:rsid w:val="00E537BC"/>
    <w:rsid w:val="00E84713"/>
    <w:rsid w:val="00E931A7"/>
    <w:rsid w:val="00E9368D"/>
    <w:rsid w:val="00E978DB"/>
    <w:rsid w:val="00EB1FB4"/>
    <w:rsid w:val="00EC62A8"/>
    <w:rsid w:val="00EC79E7"/>
    <w:rsid w:val="00ED04D4"/>
    <w:rsid w:val="00ED5124"/>
    <w:rsid w:val="00EE26AB"/>
    <w:rsid w:val="00F1312A"/>
    <w:rsid w:val="00F1315F"/>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novecesko.cz" TargetMode="External"/><Relationship Id="rId4" Type="http://schemas.microsoft.com/office/2007/relationships/stylesWithEffects" Target="stylesWithEffect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6CA0-ED6D-4FBF-A523-621A315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2038</Words>
  <Characters>12030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Chourová Eva</cp:lastModifiedBy>
  <cp:revision>3</cp:revision>
  <cp:lastPrinted>2019-01-31T10:28:00Z</cp:lastPrinted>
  <dcterms:created xsi:type="dcterms:W3CDTF">2021-09-17T09:46:00Z</dcterms:created>
  <dcterms:modified xsi:type="dcterms:W3CDTF">2021-09-17T09:53:00Z</dcterms:modified>
</cp:coreProperties>
</file>