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3" w:rsidRDefault="00400831">
      <w:pPr>
        <w:spacing w:after="1078"/>
        <w:ind w:left="0" w:right="130" w:firstLine="0"/>
        <w:jc w:val="right"/>
      </w:pPr>
      <w:bookmarkStart w:id="0" w:name="_GoBack"/>
      <w:bookmarkEnd w:id="0"/>
      <w:r>
        <w:rPr>
          <w:sz w:val="30"/>
        </w:rPr>
        <w:t>Specifikace č. 5</w:t>
      </w:r>
    </w:p>
    <w:p w:rsidR="00D34AA3" w:rsidRDefault="00400831">
      <w:pPr>
        <w:pStyle w:val="Nadpis1"/>
      </w:pPr>
      <w:r>
        <w:t>TECHNICKÝ LIST</w:t>
      </w:r>
    </w:p>
    <w:p w:rsidR="00D34AA3" w:rsidRDefault="00400831">
      <w:pPr>
        <w:pStyle w:val="Nadpis2"/>
        <w:ind w:left="5"/>
      </w:pPr>
      <w:r>
        <w:t>Popis výrobku</w:t>
      </w:r>
    </w:p>
    <w:p w:rsidR="00D34AA3" w:rsidRDefault="00400831">
      <w:pPr>
        <w:spacing w:after="41"/>
        <w:ind w:left="14"/>
      </w:pPr>
      <w:r>
        <w:t>Nízkoviskozní houževnatý dvoukomponentní systém na bázi modifikované nízkomolekulární epoxidové pryskyřice s nereaktivními rozpouštědly.</w:t>
      </w:r>
    </w:p>
    <w:p w:rsidR="00D34AA3" w:rsidRDefault="00400831">
      <w:pPr>
        <w:pStyle w:val="Nadpis2"/>
        <w:ind w:left="5"/>
      </w:pPr>
      <w:r>
        <w:t>Použití</w:t>
      </w:r>
    </w:p>
    <w:p w:rsidR="00D34AA3" w:rsidRDefault="00400831">
      <w:pPr>
        <w:ind w:left="14"/>
      </w:pPr>
      <w:r>
        <w:t>Penetrační nátěry betonu a jiných podkladů.</w:t>
      </w:r>
    </w:p>
    <w:p w:rsidR="00D34AA3" w:rsidRDefault="00400831">
      <w:pPr>
        <w:pStyle w:val="Nadpis3"/>
      </w:pPr>
      <w:r>
        <w:t>Vlastnosti</w:t>
      </w:r>
    </w:p>
    <w:p w:rsidR="00D34AA3" w:rsidRDefault="00400831">
      <w:pPr>
        <w:ind w:left="14" w:right="4306"/>
      </w:pPr>
      <w:r>
        <w:t>Jednosložková mechanicky a chemicky odolná penetrace. Technické údaje výrobku:</w:t>
      </w:r>
    </w:p>
    <w:p w:rsidR="00D34AA3" w:rsidRDefault="00400831">
      <w:pPr>
        <w:tabs>
          <w:tab w:val="center" w:pos="4075"/>
        </w:tabs>
        <w:spacing w:after="2"/>
        <w:ind w:left="0" w:firstLine="0"/>
        <w:jc w:val="left"/>
      </w:pPr>
      <w:r>
        <w:rPr>
          <w:sz w:val="20"/>
        </w:rPr>
        <w:t xml:space="preserve">Viskozita (při 23 </w:t>
      </w:r>
      <w:r>
        <w:rPr>
          <w:sz w:val="20"/>
          <w:vertAlign w:val="superscript"/>
        </w:rPr>
        <w:t xml:space="preserve">0 </w:t>
      </w:r>
      <w:r>
        <w:rPr>
          <w:sz w:val="20"/>
        </w:rPr>
        <w:t>C):</w:t>
      </w:r>
      <w:r>
        <w:rPr>
          <w:sz w:val="20"/>
        </w:rPr>
        <w:tab/>
        <w:t>2.000 rnPas.</w:t>
      </w:r>
    </w:p>
    <w:p w:rsidR="00D34AA3" w:rsidRDefault="00400831">
      <w:pPr>
        <w:tabs>
          <w:tab w:val="center" w:pos="4054"/>
        </w:tabs>
        <w:spacing w:after="0"/>
        <w:ind w:left="0" w:firstLine="0"/>
        <w:jc w:val="left"/>
      </w:pPr>
      <w:r>
        <w:rPr>
          <w:sz w:val="16"/>
        </w:rPr>
        <w:t>Barevnost'</w:t>
      </w:r>
      <w:r>
        <w:rPr>
          <w:sz w:val="16"/>
        </w:rPr>
        <w:tab/>
        <w:t>transparentní</w:t>
      </w:r>
    </w:p>
    <w:p w:rsidR="00D34AA3" w:rsidRDefault="00400831">
      <w:pPr>
        <w:pStyle w:val="Nadpis2"/>
        <w:ind w:left="5"/>
      </w:pPr>
      <w:r>
        <w:t>Příprava podkladu</w:t>
      </w:r>
    </w:p>
    <w:p w:rsidR="00D34AA3" w:rsidRDefault="00400831">
      <w:pPr>
        <w:ind w:left="14"/>
      </w:pPr>
      <w:r>
        <w:t xml:space="preserve">Podklad musí být suchý, čistý, bez prachu a uvolněných částic, bez znečistění ropnými produkty a </w:t>
      </w:r>
      <w:r>
        <w:t>jeho únosnost musí odpovídat leho budoucímu zatížení. Cementové mléko na povrchu betonu musí být odstraněné (otryskáním, broušenim nebo frézováním a vysáváním). Aplikace</w:t>
      </w:r>
    </w:p>
    <w:p w:rsidR="00D34AA3" w:rsidRDefault="00400831">
      <w:pPr>
        <w:ind w:left="1032" w:hanging="1018"/>
      </w:pPr>
      <w:r>
        <w:t>l. Míchání: míchací poměr pro složkyA : B ve hmotnostních dílech je 100 :41 . Složku A</w:t>
      </w:r>
      <w:r>
        <w:t xml:space="preserve"> dobře promíchejte elektrickým míchadlem, Následně přidejte složku B a po dobu 2 až 3 minut intenzivně míchejte, V případě použití jako stěrková penetrace přidejte nebo křemičitý písek 022 , Po promíchání ihned aplikujte. Po aplikaci je možno plochu zaháze</w:t>
      </w:r>
      <w:r>
        <w:t>t jemným křemičitým pískem 022 pro lepší přilnavost následné vrstvy.</w:t>
      </w:r>
    </w:p>
    <w:p w:rsidR="00D34AA3" w:rsidRDefault="00400831">
      <w:pPr>
        <w:ind w:left="14"/>
      </w:pPr>
      <w:r>
        <w:t>2 Nanášení: natěračským válečkem, štětcem.</w:t>
      </w:r>
    </w:p>
    <w:p w:rsidR="00D34AA3" w:rsidRDefault="00400831">
      <w:pPr>
        <w:numPr>
          <w:ilvl w:val="0"/>
          <w:numId w:val="1"/>
        </w:numPr>
        <w:ind w:left="216" w:hanging="202"/>
      </w:pPr>
      <w:r>
        <w:t xml:space="preserve">Spotřeba: 0,3 — </w:t>
      </w:r>
      <w:r>
        <w:tab/>
        <w:t>kg/m</w:t>
      </w:r>
      <w:r>
        <w:rPr>
          <w:vertAlign w:val="superscript"/>
        </w:rPr>
        <w:t>2</w:t>
      </w:r>
    </w:p>
    <w:p w:rsidR="00D34AA3" w:rsidRDefault="00400831">
      <w:pPr>
        <w:ind w:left="1051"/>
      </w:pPr>
      <w:r>
        <w:t>Spotřeba penetrace je silně závislá na stavu podkladu.</w:t>
      </w:r>
    </w:p>
    <w:p w:rsidR="00D34AA3" w:rsidRDefault="00400831">
      <w:pPr>
        <w:numPr>
          <w:ilvl w:val="0"/>
          <w:numId w:val="1"/>
        </w:numPr>
        <w:ind w:left="216" w:hanging="202"/>
      </w:pPr>
      <w:r>
        <w:t>Vytvrzování: chemická reakce mezi složkou A a B:</w:t>
      </w:r>
    </w:p>
    <w:tbl>
      <w:tblPr>
        <w:tblStyle w:val="TableGrid"/>
        <w:tblW w:w="4954" w:type="dxa"/>
        <w:tblInd w:w="373" w:type="dxa"/>
        <w:tblCellMar>
          <w:top w:w="26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1680"/>
        <w:gridCol w:w="1630"/>
      </w:tblGrid>
      <w:tr w:rsidR="00D34AA3">
        <w:trPr>
          <w:trHeight w:val="208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D34AA3">
            <w:pPr>
              <w:spacing w:after="160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272" w:firstLine="0"/>
              <w:jc w:val="left"/>
            </w:pPr>
            <w:r>
              <w:rPr>
                <w:sz w:val="20"/>
              </w:rPr>
              <w:t>IOOC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267" w:firstLine="0"/>
              <w:jc w:val="left"/>
            </w:pPr>
            <w:r>
              <w:t>230C</w:t>
            </w:r>
          </w:p>
        </w:tc>
      </w:tr>
      <w:tr w:rsidR="00D34AA3">
        <w:trPr>
          <w:trHeight w:val="211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5" w:firstLine="0"/>
              <w:jc w:val="left"/>
            </w:pPr>
            <w:r>
              <w:t>Pochůzné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334" w:firstLine="0"/>
              <w:jc w:val="left"/>
            </w:pPr>
            <w:r>
              <w:t>0 30 hod,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0" w:right="58" w:firstLine="0"/>
              <w:jc w:val="center"/>
            </w:pPr>
            <w:r>
              <w:t>0 24 hod.</w:t>
            </w:r>
          </w:p>
        </w:tc>
      </w:tr>
      <w:tr w:rsidR="00D34AA3">
        <w:trPr>
          <w:trHeight w:val="226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0" w:firstLine="0"/>
              <w:jc w:val="left"/>
            </w:pPr>
            <w:r>
              <w:t>Lehce mechi zatiž.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17" w:firstLine="0"/>
              <w:jc w:val="center"/>
            </w:pPr>
            <w:r>
              <w:t>6 dnech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106" w:firstLine="0"/>
              <w:jc w:val="center"/>
            </w:pPr>
            <w:r>
              <w:t>5 dnech</w:t>
            </w:r>
          </w:p>
        </w:tc>
      </w:tr>
      <w:tr w:rsidR="00D34AA3">
        <w:trPr>
          <w:trHeight w:val="23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tabs>
                <w:tab w:val="center" w:pos="946"/>
              </w:tabs>
              <w:spacing w:after="0"/>
              <w:ind w:left="0" w:firstLine="0"/>
              <w:jc w:val="left"/>
            </w:pPr>
            <w:r>
              <w:t>Ú Iné</w:t>
            </w:r>
            <w:r>
              <w:tab/>
              <w:t>ení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8" w:firstLine="0"/>
              <w:jc w:val="center"/>
            </w:pPr>
            <w:r>
              <w:t>8 dnech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AA3" w:rsidRDefault="00400831">
            <w:pPr>
              <w:spacing w:after="0"/>
              <w:ind w:left="101" w:firstLine="0"/>
              <w:jc w:val="center"/>
            </w:pPr>
            <w:r>
              <w:t>7 dnech</w:t>
            </w:r>
          </w:p>
        </w:tc>
      </w:tr>
    </w:tbl>
    <w:p w:rsidR="00D34AA3" w:rsidRDefault="00400831">
      <w:pPr>
        <w:ind w:left="456"/>
      </w:pPr>
      <w:r>
        <w:t xml:space="preserve">Minimální přípustná teplota podkladu umožňující aplikaci je 10 </w:t>
      </w:r>
      <w:r>
        <w:rPr>
          <w:vertAlign w:val="superscript"/>
        </w:rPr>
        <w:t xml:space="preserve">o </w:t>
      </w:r>
      <w:r>
        <w:t>c.</w:t>
      </w:r>
    </w:p>
    <w:p w:rsidR="00D34AA3" w:rsidRDefault="00400831">
      <w:pPr>
        <w:spacing w:after="172"/>
        <w:ind w:left="24" w:firstLine="0"/>
        <w:jc w:val="center"/>
      </w:pPr>
      <w:r>
        <w:t>Nutno sledovat teplotu „rosného bodu% aby při aplikaci penetrace nedocházelo k nežádoucí kondenzaci vody na podlaze.</w:t>
      </w:r>
    </w:p>
    <w:p w:rsidR="00D34AA3" w:rsidRDefault="00400831">
      <w:pPr>
        <w:spacing w:after="0"/>
        <w:ind w:left="5" w:hanging="10"/>
        <w:jc w:val="left"/>
      </w:pPr>
      <w:r>
        <w:rPr>
          <w:sz w:val="24"/>
        </w:rPr>
        <w:t>Čištění</w:t>
      </w:r>
    </w:p>
    <w:p w:rsidR="00D34AA3" w:rsidRDefault="00400831">
      <w:pPr>
        <w:ind w:left="14"/>
      </w:pPr>
      <w:r>
        <w:t>Nářadí je nutno očistit ještě začerstva ředidlem. Po zaschnutí lze nářadí očistit pouze mechanicky.</w:t>
      </w:r>
    </w:p>
    <w:p w:rsidR="00D34AA3" w:rsidRDefault="00400831">
      <w:pPr>
        <w:spacing w:after="0"/>
        <w:ind w:left="5" w:hanging="10"/>
        <w:jc w:val="left"/>
      </w:pPr>
      <w:r>
        <w:rPr>
          <w:sz w:val="24"/>
        </w:rPr>
        <w:t>Balení</w:t>
      </w:r>
    </w:p>
    <w:p w:rsidR="00D34AA3" w:rsidRDefault="00400831">
      <w:pPr>
        <w:ind w:left="14"/>
      </w:pPr>
      <w:r>
        <w:t>Nádoby 15,25 a 200 kg.</w:t>
      </w:r>
    </w:p>
    <w:p w:rsidR="00D34AA3" w:rsidRDefault="00400831">
      <w:pPr>
        <w:pStyle w:val="Nadpis2"/>
        <w:ind w:left="5"/>
      </w:pPr>
      <w:r>
        <w:t>S</w:t>
      </w:r>
      <w:r>
        <w:t>kladování</w:t>
      </w:r>
    </w:p>
    <w:p w:rsidR="00D34AA3" w:rsidRDefault="00400831">
      <w:pPr>
        <w:ind w:left="14"/>
      </w:pPr>
      <w:r>
        <w:t>12 měsíců od data výroby v uzavřeném originálním balení na chladném a suchém místě. Nespotřebované originální balení je nutno znovu vzduchotěsně uzavřít a co nejdříve spotřebovat. Chránit před mrazem! Bezpečnostní data</w:t>
      </w:r>
    </w:p>
    <w:p w:rsidR="00D34AA3" w:rsidRDefault="00400831">
      <w:pPr>
        <w:ind w:left="14"/>
      </w:pPr>
      <w:r>
        <w:t>Nátěrová hmota obsahuje org</w:t>
      </w:r>
      <w:r>
        <w:t>anická rozpouštědla, dráždí oči a kůži. Není určena k nátěrům přicházejícím do přímého styku s pitnou vodou, potravinami, krmivy,nátěrům dětského nábytku a hraček pro děti. Při jejím použití je nutno dodržovat příslušné zákonné předpłsy (nařízení o nebezpe</w:t>
      </w:r>
      <w:r>
        <w:t>čných látkách) a pokyny výrobce uvedené v technickém a bezpečnostním listu,</w:t>
      </w:r>
    </w:p>
    <w:p w:rsidR="00D34AA3" w:rsidRDefault="00400831">
      <w:pPr>
        <w:pStyle w:val="Nadpis2"/>
        <w:ind w:left="5"/>
      </w:pPr>
      <w:r>
        <w:t>Zásady hygieny práce</w:t>
      </w:r>
    </w:p>
    <w:p w:rsidR="00D34AA3" w:rsidRDefault="00400831">
      <w:pPr>
        <w:ind w:left="14"/>
      </w:pPr>
      <w:r>
        <w:t xml:space="preserve">Při práci je nutno zajistit účinné větrání, aby nedošlo k vdechování škodlivých výparů, které dráždí nejen dýchací orgány ale i oči a kůži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2818" name="Picture 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" name="Picture 2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Proto je nutno chrá</w:t>
      </w:r>
      <w:r>
        <w:t>nit se při práci pracovním oděvem, ochrannými brýlemi, rukavicemi, polomaskou s filtrem pro organická rozpouštědla. Při aplikaci nejíst, nepít a nekouřit, Zásady první pomoci</w:t>
      </w:r>
    </w:p>
    <w:p w:rsidR="00D34AA3" w:rsidRDefault="00400831">
      <w:pPr>
        <w:ind w:left="14"/>
      </w:pPr>
      <w:r>
        <w:lastRenderedPageBreak/>
        <w:t>Při vniknutí do očí ihned vypláchnout vodou a poté vyhledat odborného lékaře. V případě znečistění pokožky svléknout oděv a pokožku dobře omýt vodou s mýdlem a ošetřit vhodným krémem (Indulona). Při nadýchání výparů vyvést dotyčného na čerstvý vzduch, zaji</w:t>
      </w:r>
      <w:r>
        <w:t>stit mu klid a zabránit podchlazení teplou přikrývkou. V případě požití ihned vypláchnout ústa vodou, vyvolat zvracení a ještě vypít asi půl litru pitné vody. Poté okamžitě vyhledat odborného lékaře.</w:t>
      </w:r>
    </w:p>
    <w:sectPr w:rsidR="00D34AA3">
      <w:pgSz w:w="11904" w:h="16834"/>
      <w:pgMar w:top="1440" w:right="1402" w:bottom="1440" w:left="12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503"/>
    <w:multiLevelType w:val="hybridMultilevel"/>
    <w:tmpl w:val="9A7AD89C"/>
    <w:lvl w:ilvl="0" w:tplc="858CF09C">
      <w:start w:val="3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D29F5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2290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4BF9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CCDC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A4E6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A266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20DA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4564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A3"/>
    <w:rsid w:val="00400831"/>
    <w:rsid w:val="00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6D86A-49DE-47AC-8F19-381176D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10" w:firstLine="9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2"/>
      <w:ind w:left="4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5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00206B4041E8210618074159</vt:lpstr>
    </vt:vector>
  </TitlesOfParts>
  <Company>Krajský úřad Zlínského kraje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00206B4041E8210618074159</dc:title>
  <dc:subject/>
  <dc:creator>Lancevská Marina</dc:creator>
  <cp:keywords/>
  <cp:lastModifiedBy>Lancevská Marina</cp:lastModifiedBy>
  <cp:revision>2</cp:revision>
  <dcterms:created xsi:type="dcterms:W3CDTF">2021-09-16T06:41:00Z</dcterms:created>
  <dcterms:modified xsi:type="dcterms:W3CDTF">2021-09-16T06:41:00Z</dcterms:modified>
</cp:coreProperties>
</file>