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A17C" w14:textId="77777777" w:rsidR="00FE6C51" w:rsidRPr="00346BDC" w:rsidRDefault="00FE6C51" w:rsidP="00FE6C51">
      <w:pPr>
        <w:jc w:val="both"/>
        <w:rPr>
          <w:rFonts w:ascii="Verdana" w:hAnsi="Verdana" w:cs="Arial"/>
          <w:b/>
        </w:rPr>
      </w:pPr>
      <w:r w:rsidRPr="00346BDC">
        <w:rPr>
          <w:rFonts w:ascii="Verdana" w:hAnsi="Verdana" w:cs="Arial"/>
          <w:b/>
        </w:rPr>
        <w:t>HARPAGON Software s.r.o.</w:t>
      </w:r>
    </w:p>
    <w:p w14:paraId="40C70476" w14:textId="77777777" w:rsidR="00FE6C51" w:rsidRPr="00FA4861" w:rsidRDefault="00FE6C51" w:rsidP="00FE6C51">
      <w:pPr>
        <w:pStyle w:val="Identifikace"/>
        <w:rPr>
          <w:rFonts w:cs="Arial"/>
          <w:szCs w:val="22"/>
        </w:rPr>
      </w:pPr>
      <w:r>
        <w:rPr>
          <w:rFonts w:cs="Arial"/>
          <w:szCs w:val="22"/>
        </w:rPr>
        <w:t>se sídlem v Chrudimi, Průmyslová 190</w:t>
      </w:r>
    </w:p>
    <w:p w14:paraId="2E030ACB" w14:textId="77777777" w:rsidR="00FE6C51" w:rsidRPr="00FA4861" w:rsidRDefault="00FE6C51" w:rsidP="00FE6C51">
      <w:pPr>
        <w:pStyle w:val="Identifikace"/>
        <w:rPr>
          <w:rFonts w:cs="Arial"/>
          <w:szCs w:val="22"/>
        </w:rPr>
      </w:pPr>
      <w:r w:rsidRPr="00FA4861">
        <w:rPr>
          <w:rFonts w:cs="Arial"/>
          <w:szCs w:val="22"/>
        </w:rPr>
        <w:t>IČ:</w:t>
      </w:r>
      <w:r>
        <w:rPr>
          <w:rFonts w:cs="Arial"/>
          <w:szCs w:val="22"/>
        </w:rPr>
        <w:t xml:space="preserve"> 62 02 59 70</w:t>
      </w:r>
    </w:p>
    <w:p w14:paraId="45C1E51D" w14:textId="77777777" w:rsidR="00FE6C51" w:rsidRDefault="00FE6C51" w:rsidP="00FE6C51">
      <w:pPr>
        <w:pStyle w:val="Identifikace"/>
        <w:rPr>
          <w:rFonts w:cs="Arial"/>
          <w:szCs w:val="22"/>
        </w:rPr>
      </w:pPr>
      <w:r>
        <w:rPr>
          <w:rFonts w:cs="Arial"/>
          <w:szCs w:val="22"/>
        </w:rPr>
        <w:t>z</w:t>
      </w:r>
      <w:r w:rsidRPr="00FA4861">
        <w:rPr>
          <w:rFonts w:cs="Arial"/>
          <w:szCs w:val="22"/>
        </w:rPr>
        <w:t>apsaná v </w:t>
      </w:r>
      <w:r>
        <w:rPr>
          <w:rFonts w:cs="Arial"/>
          <w:szCs w:val="22"/>
        </w:rPr>
        <w:t>O</w:t>
      </w:r>
      <w:r w:rsidRPr="00FA4861">
        <w:rPr>
          <w:rFonts w:cs="Arial"/>
          <w:szCs w:val="22"/>
        </w:rPr>
        <w:t>bchodním rejstříku vedeném</w:t>
      </w:r>
      <w:r>
        <w:rPr>
          <w:rFonts w:cs="Arial"/>
          <w:szCs w:val="22"/>
        </w:rPr>
        <w:t xml:space="preserve"> u </w:t>
      </w:r>
      <w:r w:rsidRPr="004B54D3">
        <w:rPr>
          <w:rFonts w:cs="Arial"/>
          <w:szCs w:val="22"/>
        </w:rPr>
        <w:t>Krajského soudu v Hradci Králové pod spisovou značkou C 6824</w:t>
      </w:r>
    </w:p>
    <w:p w14:paraId="3A7F5B6F" w14:textId="77777777" w:rsidR="00FE6C51" w:rsidRDefault="00FE6C51" w:rsidP="00FE6C51">
      <w:pPr>
        <w:pStyle w:val="Identifikace"/>
        <w:rPr>
          <w:rFonts w:cs="Arial"/>
          <w:szCs w:val="22"/>
        </w:rPr>
      </w:pPr>
      <w:r>
        <w:rPr>
          <w:rFonts w:cs="Arial"/>
          <w:szCs w:val="22"/>
        </w:rPr>
        <w:t xml:space="preserve">zastoupena </w:t>
      </w:r>
      <w:r w:rsidRPr="004B54D3">
        <w:rPr>
          <w:rFonts w:cs="Arial"/>
          <w:szCs w:val="22"/>
        </w:rPr>
        <w:t>Ing. Jaromírem Zajíčkem, jednatel</w:t>
      </w:r>
      <w:r>
        <w:rPr>
          <w:rFonts w:cs="Arial"/>
          <w:szCs w:val="22"/>
        </w:rPr>
        <w:t>em</w:t>
      </w:r>
      <w:r w:rsidRPr="004B54D3">
        <w:rPr>
          <w:rFonts w:cs="Arial"/>
          <w:szCs w:val="22"/>
        </w:rPr>
        <w:t xml:space="preserve"> společnosti</w:t>
      </w:r>
    </w:p>
    <w:p w14:paraId="42E37941" w14:textId="77777777" w:rsidR="00FE6C51" w:rsidRPr="00FA4861" w:rsidRDefault="00FE6C51" w:rsidP="00FE6C51">
      <w:pPr>
        <w:pStyle w:val="Identifikace"/>
        <w:rPr>
          <w:rFonts w:cs="Arial"/>
          <w:szCs w:val="22"/>
        </w:rPr>
      </w:pPr>
      <w:r w:rsidRPr="00FA4861">
        <w:rPr>
          <w:rFonts w:cs="Arial"/>
          <w:szCs w:val="22"/>
        </w:rPr>
        <w:t>dále jen „</w:t>
      </w:r>
      <w:r w:rsidRPr="00197E41">
        <w:rPr>
          <w:rFonts w:cs="Arial"/>
          <w:b/>
          <w:bCs/>
          <w:szCs w:val="22"/>
        </w:rPr>
        <w:t>Poskytovatel</w:t>
      </w:r>
      <w:r w:rsidRPr="00FA4861">
        <w:rPr>
          <w:rFonts w:cs="Arial"/>
          <w:szCs w:val="22"/>
        </w:rPr>
        <w:t>“</w:t>
      </w:r>
    </w:p>
    <w:p w14:paraId="57F64F17" w14:textId="77777777" w:rsidR="00A7203E" w:rsidRPr="00FA4861" w:rsidRDefault="00A7203E" w:rsidP="00A7203E">
      <w:pPr>
        <w:jc w:val="both"/>
        <w:rPr>
          <w:rFonts w:cs="Arial"/>
          <w:szCs w:val="22"/>
        </w:rPr>
      </w:pPr>
    </w:p>
    <w:p w14:paraId="1F45099D" w14:textId="77777777" w:rsidR="00A7203E" w:rsidRPr="00FA4861" w:rsidRDefault="00A7203E" w:rsidP="00A7203E">
      <w:pPr>
        <w:jc w:val="both"/>
        <w:rPr>
          <w:rFonts w:cs="Arial"/>
          <w:szCs w:val="22"/>
        </w:rPr>
      </w:pPr>
      <w:r w:rsidRPr="00FA4861">
        <w:rPr>
          <w:rFonts w:cs="Arial"/>
          <w:bCs/>
          <w:szCs w:val="22"/>
        </w:rPr>
        <w:t>a</w:t>
      </w:r>
    </w:p>
    <w:p w14:paraId="368E80DC" w14:textId="77777777" w:rsidR="00A7203E" w:rsidRPr="00FA4861" w:rsidRDefault="00A7203E" w:rsidP="00A7203E">
      <w:pPr>
        <w:jc w:val="both"/>
        <w:rPr>
          <w:rFonts w:cs="Arial"/>
          <w:szCs w:val="22"/>
        </w:rPr>
      </w:pPr>
    </w:p>
    <w:p w14:paraId="7689CC8D" w14:textId="77777777" w:rsidR="00FE6C51" w:rsidRPr="005A2FC3" w:rsidRDefault="00FE6C51" w:rsidP="00FE6C51">
      <w:pPr>
        <w:pStyle w:val="Identifikace"/>
        <w:rPr>
          <w:rFonts w:ascii="Verdana" w:hAnsi="Verdana" w:cs="Arial"/>
          <w:b/>
        </w:rPr>
      </w:pPr>
      <w:r w:rsidRPr="005A2FC3">
        <w:rPr>
          <w:rFonts w:ascii="Verdana" w:hAnsi="Verdana" w:cs="Arial"/>
          <w:b/>
        </w:rPr>
        <w:t xml:space="preserve">Psychiatrická nemocnice v </w:t>
      </w:r>
      <w:r>
        <w:rPr>
          <w:rFonts w:ascii="Verdana" w:hAnsi="Verdana" w:cs="Arial"/>
          <w:b/>
        </w:rPr>
        <w:t>Opavě</w:t>
      </w:r>
    </w:p>
    <w:p w14:paraId="1F79399B" w14:textId="77777777" w:rsidR="00FE6C51" w:rsidRDefault="00FE6C51" w:rsidP="00FE6C51">
      <w:r>
        <w:t>se sídlem Olomoucká 305/88, 746 01 Opava</w:t>
      </w:r>
    </w:p>
    <w:p w14:paraId="08A3B6DE" w14:textId="77777777" w:rsidR="00FE6C51" w:rsidRDefault="00FE6C51" w:rsidP="00FE6C51">
      <w:r>
        <w:t>IČ: 00844004</w:t>
      </w:r>
    </w:p>
    <w:p w14:paraId="0BAB2809" w14:textId="77777777" w:rsidR="00FE6C51" w:rsidRDefault="00FE6C51" w:rsidP="00FE6C51">
      <w:r>
        <w:t>zastoupena Ing. Zdeňkem Jiříčkem – ředitelem nemocnice</w:t>
      </w:r>
    </w:p>
    <w:p w14:paraId="402B9C63" w14:textId="77777777" w:rsidR="00FE6C51" w:rsidRPr="00A718D9" w:rsidRDefault="00FE6C51" w:rsidP="00FE6C51">
      <w:pPr>
        <w:pStyle w:val="Identifikace"/>
        <w:rPr>
          <w:rFonts w:cs="Arial"/>
          <w:szCs w:val="22"/>
        </w:rPr>
      </w:pPr>
      <w:r w:rsidRPr="00A718D9">
        <w:rPr>
          <w:rFonts w:cs="Arial"/>
          <w:szCs w:val="22"/>
        </w:rPr>
        <w:t>dále jen „</w:t>
      </w:r>
      <w:r w:rsidRPr="00A718D9">
        <w:rPr>
          <w:rFonts w:cs="Arial"/>
          <w:b/>
          <w:bCs/>
          <w:szCs w:val="22"/>
        </w:rPr>
        <w:t>Nabyvatel</w:t>
      </w:r>
      <w:r w:rsidRPr="00A718D9">
        <w:rPr>
          <w:rFonts w:cs="Arial"/>
          <w:szCs w:val="22"/>
        </w:rPr>
        <w:t>“</w:t>
      </w:r>
    </w:p>
    <w:p w14:paraId="509438C4" w14:textId="77777777" w:rsidR="00A7203E" w:rsidRPr="00FA4861" w:rsidRDefault="00A7203E" w:rsidP="00A7203E">
      <w:pPr>
        <w:jc w:val="both"/>
        <w:rPr>
          <w:rFonts w:cs="Arial"/>
          <w:szCs w:val="22"/>
        </w:rPr>
      </w:pPr>
    </w:p>
    <w:p w14:paraId="3ABDC033" w14:textId="77777777" w:rsidR="00A7203E" w:rsidRPr="00FA4861" w:rsidRDefault="00A7203E" w:rsidP="00FE6C51">
      <w:pPr>
        <w:jc w:val="center"/>
        <w:rPr>
          <w:rFonts w:cs="Arial"/>
          <w:szCs w:val="22"/>
        </w:rPr>
      </w:pPr>
      <w:r w:rsidRPr="00FA4861">
        <w:rPr>
          <w:rFonts w:cs="Arial"/>
          <w:szCs w:val="22"/>
        </w:rPr>
        <w:t>uzavírají tuto</w:t>
      </w:r>
    </w:p>
    <w:p w14:paraId="1C8332AE" w14:textId="77777777" w:rsidR="006A477C" w:rsidRPr="00FA4861" w:rsidRDefault="006A477C" w:rsidP="00A7203E">
      <w:pPr>
        <w:jc w:val="center"/>
        <w:rPr>
          <w:rFonts w:cs="Arial"/>
          <w:b/>
          <w:szCs w:val="22"/>
        </w:rPr>
      </w:pPr>
    </w:p>
    <w:p w14:paraId="703C01FE" w14:textId="77777777" w:rsidR="004B33E1" w:rsidRPr="00B9341D" w:rsidRDefault="004B33E1" w:rsidP="004B33E1">
      <w:pPr>
        <w:spacing w:after="120"/>
        <w:jc w:val="center"/>
        <w:rPr>
          <w:rFonts w:cs="Arial"/>
          <w:b/>
          <w:sz w:val="34"/>
          <w:szCs w:val="34"/>
        </w:rPr>
      </w:pPr>
      <w:r w:rsidRPr="00B9341D">
        <w:rPr>
          <w:rFonts w:cs="Arial"/>
          <w:b/>
          <w:sz w:val="34"/>
          <w:szCs w:val="34"/>
        </w:rPr>
        <w:t>Smlouvu o poskytnutí podlicence</w:t>
      </w:r>
      <w:r w:rsidR="00B9341D" w:rsidRPr="00B9341D">
        <w:rPr>
          <w:rFonts w:cs="Arial"/>
          <w:b/>
          <w:sz w:val="34"/>
          <w:szCs w:val="34"/>
        </w:rPr>
        <w:t xml:space="preserve"> </w:t>
      </w:r>
      <w:r w:rsidRPr="00B9341D">
        <w:rPr>
          <w:rFonts w:cs="Arial"/>
          <w:b/>
          <w:sz w:val="34"/>
          <w:szCs w:val="34"/>
        </w:rPr>
        <w:t>a smlouvu o systémové podpoře</w:t>
      </w:r>
    </w:p>
    <w:p w14:paraId="492563BC" w14:textId="77777777" w:rsidR="00B9341D" w:rsidRPr="00B9341D" w:rsidRDefault="00B9341D" w:rsidP="004B33E1">
      <w:pPr>
        <w:spacing w:after="120"/>
        <w:jc w:val="center"/>
        <w:rPr>
          <w:rFonts w:cs="Arial"/>
          <w:b/>
          <w:sz w:val="34"/>
          <w:szCs w:val="34"/>
        </w:rPr>
      </w:pPr>
      <w:r w:rsidRPr="00B9341D">
        <w:rPr>
          <w:rFonts w:cs="Arial"/>
          <w:b/>
          <w:sz w:val="34"/>
          <w:szCs w:val="34"/>
        </w:rPr>
        <w:t>(migrační smlouva iNUVIO)</w:t>
      </w:r>
    </w:p>
    <w:p w14:paraId="3A7003E1" w14:textId="31315932" w:rsidR="00A7203E" w:rsidRPr="00FA4861" w:rsidRDefault="00A7203E" w:rsidP="00A7203E">
      <w:pPr>
        <w:spacing w:after="180"/>
        <w:jc w:val="center"/>
        <w:rPr>
          <w:rFonts w:cs="Arial"/>
          <w:szCs w:val="22"/>
        </w:rPr>
      </w:pPr>
      <w:r w:rsidRPr="00FA4861">
        <w:rPr>
          <w:rFonts w:cs="Arial"/>
          <w:szCs w:val="22"/>
        </w:rPr>
        <w:t>č. smlouvy</w:t>
      </w:r>
      <w:r w:rsidRPr="007049B4">
        <w:rPr>
          <w:rFonts w:cs="Arial"/>
          <w:szCs w:val="22"/>
        </w:rPr>
        <w:t xml:space="preserve">: </w:t>
      </w:r>
      <w:r w:rsidR="00FE6C51" w:rsidRPr="00FE6C51">
        <w:rPr>
          <w:rFonts w:cs="Arial"/>
          <w:b/>
          <w:bCs/>
          <w:szCs w:val="22"/>
        </w:rPr>
        <w:t>iNUVIO-21/08-OPAVA</w:t>
      </w:r>
    </w:p>
    <w:p w14:paraId="7651ADBF" w14:textId="77777777" w:rsidR="00A7203E" w:rsidRDefault="00A7203E" w:rsidP="00A7203E">
      <w:pPr>
        <w:spacing w:after="180"/>
        <w:jc w:val="center"/>
        <w:rPr>
          <w:rFonts w:cs="Arial"/>
          <w:szCs w:val="22"/>
        </w:rPr>
      </w:pPr>
    </w:p>
    <w:p w14:paraId="36835E84" w14:textId="77777777" w:rsidR="005D6B64" w:rsidRPr="00CD59B1" w:rsidRDefault="005D6B64" w:rsidP="002055FE">
      <w:pPr>
        <w:pStyle w:val="Nadpis1"/>
      </w:pPr>
      <w:r w:rsidRPr="00CD59B1">
        <w:t xml:space="preserve">Úvodní ustanovení </w:t>
      </w:r>
    </w:p>
    <w:p w14:paraId="4AE160BA" w14:textId="25D28234" w:rsidR="005D6B64" w:rsidRDefault="005D6B64" w:rsidP="00EE1B8D">
      <w:pPr>
        <w:pStyle w:val="Nadpis2"/>
      </w:pPr>
      <w:r w:rsidRPr="00CD59B1">
        <w:t>Smluvní strany spolu dne</w:t>
      </w:r>
      <w:r w:rsidR="00FE6C51">
        <w:t xml:space="preserve"> 10. 12. 2013 </w:t>
      </w:r>
      <w:r w:rsidRPr="00CD59B1">
        <w:t>uzavřely</w:t>
      </w:r>
      <w:r w:rsidR="00FE6C51">
        <w:t xml:space="preserve"> </w:t>
      </w:r>
      <w:r w:rsidR="00FE6C51" w:rsidRPr="00EE1B8D">
        <w:rPr>
          <w:b/>
          <w:bCs/>
        </w:rPr>
        <w:t>Licenční smlouvu PLOP2013LIC</w:t>
      </w:r>
      <w:r w:rsidR="00FE6C51">
        <w:t xml:space="preserve"> a </w:t>
      </w:r>
      <w:r w:rsidR="00FE6C51" w:rsidRPr="00EE1B8D">
        <w:rPr>
          <w:b/>
          <w:bCs/>
        </w:rPr>
        <w:t>Smlouvu o systémové podpoře PLOP2013SP</w:t>
      </w:r>
      <w:r w:rsidRPr="00CD59B1">
        <w:t xml:space="preserve"> (dále jen jako „</w:t>
      </w:r>
      <w:r w:rsidRPr="00FE6C51">
        <w:rPr>
          <w:b/>
        </w:rPr>
        <w:t>Původní smlouv</w:t>
      </w:r>
      <w:r w:rsidR="00FE6C51" w:rsidRPr="00FE6C51">
        <w:rPr>
          <w:b/>
        </w:rPr>
        <w:t>y</w:t>
      </w:r>
      <w:r w:rsidRPr="00CD59B1">
        <w:t xml:space="preserve">“), na jejímž základě získal </w:t>
      </w:r>
      <w:r w:rsidR="00E00CFE">
        <w:t>Nabyvatel</w:t>
      </w:r>
      <w:r w:rsidRPr="00CD59B1">
        <w:t xml:space="preserve"> oprávnění k užívání </w:t>
      </w:r>
      <w:r w:rsidR="00E00CFE">
        <w:t>podlicence</w:t>
      </w:r>
      <w:r w:rsidRPr="00CD59B1">
        <w:t xml:space="preserve"> </w:t>
      </w:r>
      <w:bookmarkStart w:id="0" w:name="_Hlk27594307"/>
      <w:r w:rsidRPr="00CD59B1">
        <w:t>softwarového produktu vedeného pod názvem</w:t>
      </w:r>
      <w:r w:rsidR="00A37977">
        <w:t xml:space="preserve"> </w:t>
      </w:r>
      <w:r w:rsidRPr="00CD59B1">
        <w:t>HELIOS Orange, licenční číslo</w:t>
      </w:r>
      <w:r w:rsidR="00FE6C51">
        <w:t xml:space="preserve"> </w:t>
      </w:r>
      <w:r w:rsidR="00FE6C51" w:rsidRPr="00EE1B8D">
        <w:rPr>
          <w:b/>
          <w:bCs/>
        </w:rPr>
        <w:t>HEIQ0100-24926</w:t>
      </w:r>
      <w:r w:rsidR="00FE6C51">
        <w:t xml:space="preserve"> </w:t>
      </w:r>
      <w:r w:rsidRPr="00CD59B1">
        <w:t>(dále jen „</w:t>
      </w:r>
      <w:r w:rsidRPr="00FE6C51">
        <w:rPr>
          <w:b/>
        </w:rPr>
        <w:t xml:space="preserve">Původní </w:t>
      </w:r>
      <w:r w:rsidR="00E00CFE" w:rsidRPr="00FE6C51">
        <w:rPr>
          <w:b/>
        </w:rPr>
        <w:t>podlicence</w:t>
      </w:r>
      <w:r w:rsidRPr="00CD59B1">
        <w:t>“).</w:t>
      </w:r>
      <w:r w:rsidR="00A37977">
        <w:t xml:space="preserve"> </w:t>
      </w:r>
      <w:bookmarkEnd w:id="0"/>
    </w:p>
    <w:p w14:paraId="43488C26" w14:textId="77777777" w:rsidR="005D6B64" w:rsidRPr="00CD59B1" w:rsidRDefault="00E00CFE" w:rsidP="005D6B64">
      <w:pPr>
        <w:pStyle w:val="Nadpis2"/>
        <w:spacing w:after="180"/>
      </w:pPr>
      <w:r>
        <w:t>Nabyvatel</w:t>
      </w:r>
      <w:r w:rsidR="005D6B64" w:rsidRPr="00CD59B1">
        <w:t xml:space="preserve"> projevil zájem o migraci na </w:t>
      </w:r>
      <w:bookmarkStart w:id="1" w:name="_Hlk520139331"/>
      <w:r w:rsidR="005D6B64" w:rsidRPr="00CD59B1">
        <w:t>vyšší edici daného softwarového produktu</w:t>
      </w:r>
      <w:r w:rsidR="00A37977">
        <w:t xml:space="preserve"> </w:t>
      </w:r>
      <w:bookmarkStart w:id="2" w:name="_Hlk27594706"/>
      <w:r w:rsidR="005D6B64" w:rsidRPr="00CD59B1">
        <w:t xml:space="preserve">HELIOS Orange, jež je vedená pod názvem </w:t>
      </w:r>
      <w:r w:rsidR="005D6B64" w:rsidRPr="00EE1B8D">
        <w:rPr>
          <w:b/>
          <w:bCs/>
        </w:rPr>
        <w:t>iNUVIO</w:t>
      </w:r>
      <w:r w:rsidR="005D6B64" w:rsidRPr="00CD59B1">
        <w:t>.</w:t>
      </w:r>
      <w:bookmarkEnd w:id="2"/>
      <w:r w:rsidR="005D6B64" w:rsidRPr="00CD59B1">
        <w:t xml:space="preserve"> </w:t>
      </w:r>
    </w:p>
    <w:bookmarkEnd w:id="1"/>
    <w:p w14:paraId="513559B5" w14:textId="6CB5CB8B" w:rsidR="005D6B64" w:rsidRDefault="005D6B64" w:rsidP="005D6B64">
      <w:pPr>
        <w:pStyle w:val="Nadpis2"/>
        <w:spacing w:after="180"/>
      </w:pPr>
      <w:r w:rsidRPr="00CD59B1">
        <w:t>S ohledem na předchozí ustanovení odst. 1.1. a 1.2. spolu s</w:t>
      </w:r>
      <w:r>
        <w:t>mluvní strany níže uvedeného dne uzavírají tuto</w:t>
      </w:r>
      <w:r w:rsidRPr="00CD59B1">
        <w:t xml:space="preserve"> </w:t>
      </w:r>
      <w:r w:rsidR="0031235C">
        <w:t>smlouvu</w:t>
      </w:r>
      <w:r w:rsidR="0031235C" w:rsidRPr="0031235C">
        <w:t xml:space="preserve"> o poskytnutí podlicence a smlouv</w:t>
      </w:r>
      <w:r w:rsidR="0031235C">
        <w:t>u</w:t>
      </w:r>
      <w:r w:rsidR="0031235C" w:rsidRPr="0031235C">
        <w:t xml:space="preserve"> o systémové podpoře</w:t>
      </w:r>
      <w:r w:rsidR="0031235C">
        <w:t xml:space="preserve"> </w:t>
      </w:r>
      <w:r w:rsidRPr="00CD59B1">
        <w:t>č. </w:t>
      </w:r>
      <w:r w:rsidR="00EE1B8D" w:rsidRPr="00FE6C51">
        <w:rPr>
          <w:b/>
          <w:bCs/>
        </w:rPr>
        <w:t>iNUVIO-21/08-OPAVA</w:t>
      </w:r>
      <w:r w:rsidRPr="00CD59B1">
        <w:t xml:space="preserve"> (dále jen „</w:t>
      </w:r>
      <w:r>
        <w:rPr>
          <w:b/>
        </w:rPr>
        <w:t>Smlouva</w:t>
      </w:r>
      <w:r w:rsidRPr="00CD59B1">
        <w:t xml:space="preserve">“), </w:t>
      </w:r>
      <w:r>
        <w:t>jejímž účelem je poskytnutí</w:t>
      </w:r>
      <w:r w:rsidRPr="00CD59B1">
        <w:t xml:space="preserve"> oprávnění k užívání </w:t>
      </w:r>
      <w:bookmarkStart w:id="3" w:name="_Hlk520139309"/>
      <w:r w:rsidR="00E00CFE">
        <w:t>podlicence</w:t>
      </w:r>
      <w:r w:rsidR="00E00CFE" w:rsidRPr="00CD59B1">
        <w:t xml:space="preserve"> </w:t>
      </w:r>
      <w:r w:rsidRPr="00CD59B1">
        <w:t>HELIOS Orange, edice iNUVIO,</w:t>
      </w:r>
      <w:bookmarkEnd w:id="3"/>
      <w:r>
        <w:t xml:space="preserve"> a </w:t>
      </w:r>
      <w:r w:rsidRPr="000961F7">
        <w:t xml:space="preserve">sjednání podmínek </w:t>
      </w:r>
      <w:r>
        <w:t>předmětné</w:t>
      </w:r>
      <w:r w:rsidRPr="000961F7">
        <w:t xml:space="preserve"> migrace </w:t>
      </w:r>
      <w:r>
        <w:t xml:space="preserve">(tj. výměny Původní </w:t>
      </w:r>
      <w:r w:rsidR="00E00CFE">
        <w:t>podlicence</w:t>
      </w:r>
      <w:r w:rsidR="00E00CFE" w:rsidRPr="00CD59B1">
        <w:t xml:space="preserve"> </w:t>
      </w:r>
      <w:r>
        <w:t xml:space="preserve">za </w:t>
      </w:r>
      <w:r w:rsidR="00E00CFE">
        <w:t xml:space="preserve">podlicenci </w:t>
      </w:r>
      <w:r>
        <w:t>HELIOS Orange, edice iNUVIO).</w:t>
      </w:r>
    </w:p>
    <w:p w14:paraId="06BF4EAC" w14:textId="77777777" w:rsidR="005D6B64" w:rsidRDefault="005D6B64" w:rsidP="00A7203E">
      <w:pPr>
        <w:spacing w:after="180"/>
        <w:jc w:val="center"/>
        <w:rPr>
          <w:rFonts w:cs="Arial"/>
          <w:szCs w:val="22"/>
        </w:rPr>
      </w:pPr>
    </w:p>
    <w:p w14:paraId="7439CEC2" w14:textId="77777777" w:rsidR="00C111D9" w:rsidRPr="004B33E1" w:rsidRDefault="00C111D9" w:rsidP="002055FE">
      <w:pPr>
        <w:pStyle w:val="Nadpis1"/>
      </w:pPr>
      <w:r w:rsidRPr="004B33E1">
        <w:t xml:space="preserve">Předmět </w:t>
      </w:r>
      <w:r w:rsidR="00B15A4C">
        <w:t>S</w:t>
      </w:r>
      <w:r w:rsidRPr="004B33E1">
        <w:t>mlouvy</w:t>
      </w:r>
    </w:p>
    <w:p w14:paraId="68BDE41B" w14:textId="4E77B523" w:rsidR="004B33E1" w:rsidRPr="004B33E1" w:rsidRDefault="004B33E1" w:rsidP="0021556C">
      <w:pPr>
        <w:pStyle w:val="Nadpis2"/>
      </w:pPr>
      <w:r w:rsidRPr="004B33E1">
        <w:t xml:space="preserve">Poskytovatel se zavazuje dodat Nabyvateli na základě </w:t>
      </w:r>
      <w:r w:rsidR="00B11E6E">
        <w:t>této Smlouvy</w:t>
      </w:r>
      <w:r w:rsidRPr="004B33E1">
        <w:t xml:space="preserve"> softwarový produkt vedený pod obchodním názvem </w:t>
      </w:r>
      <w:r w:rsidRPr="003C1DA2">
        <w:rPr>
          <w:b/>
        </w:rPr>
        <w:t>HELIOS Orange</w:t>
      </w:r>
      <w:r w:rsidR="003C1DA2" w:rsidRPr="003C1DA2">
        <w:rPr>
          <w:b/>
        </w:rPr>
        <w:t>, edice iNUVIO</w:t>
      </w:r>
      <w:r w:rsidR="003C1DA2">
        <w:t xml:space="preserve"> (dále jen „</w:t>
      </w:r>
      <w:r w:rsidR="003C1DA2" w:rsidRPr="009D439A">
        <w:rPr>
          <w:b/>
          <w:bCs/>
        </w:rPr>
        <w:t>HELIOS Orange</w:t>
      </w:r>
      <w:r w:rsidR="003C1DA2">
        <w:t>“)</w:t>
      </w:r>
      <w:r w:rsidRPr="004B33E1">
        <w:t xml:space="preserve"> </w:t>
      </w:r>
      <w:r w:rsidR="003C1DA2" w:rsidRPr="00A7203E">
        <w:t xml:space="preserve">v příslušné konfiguraci specifikované </w:t>
      </w:r>
      <w:r w:rsidR="003C1DA2">
        <w:t xml:space="preserve">v příloze č. 1 této </w:t>
      </w:r>
      <w:r w:rsidR="00B15A4C">
        <w:t>Sml</w:t>
      </w:r>
      <w:r w:rsidR="003C1DA2">
        <w:t>ouvy</w:t>
      </w:r>
      <w:r w:rsidRPr="004B33E1">
        <w:t>. V souvislosti s tím Poskytovatel prohlašuje, že je oprávněn poskytovat podlicenci k HELIOS Orange zcela v souladu s ustanoveními zákona č. 121/2000 Sb., o právu autorském</w:t>
      </w:r>
      <w:r w:rsidR="006212C5">
        <w:t xml:space="preserve"> a </w:t>
      </w:r>
      <w:r w:rsidR="006212C5">
        <w:rPr>
          <w:rFonts w:asciiTheme="minorHAnsi" w:hAnsiTheme="minorHAnsi" w:cstheme="minorHAnsi"/>
        </w:rPr>
        <w:t>zákona</w:t>
      </w:r>
      <w:r w:rsidR="006212C5" w:rsidRPr="005726CC">
        <w:rPr>
          <w:rFonts w:asciiTheme="minorHAnsi" w:hAnsiTheme="minorHAnsi" w:cstheme="minorHAnsi"/>
        </w:rPr>
        <w:t xml:space="preserve"> </w:t>
      </w:r>
      <w:r w:rsidR="006212C5" w:rsidRPr="009770BC">
        <w:rPr>
          <w:rFonts w:asciiTheme="minorHAnsi" w:hAnsiTheme="minorHAnsi" w:cstheme="minorHAnsi"/>
        </w:rPr>
        <w:t>č. 89/2012, občanský zákoník</w:t>
      </w:r>
      <w:r w:rsidR="006212C5">
        <w:rPr>
          <w:rFonts w:asciiTheme="minorHAnsi" w:hAnsiTheme="minorHAnsi" w:cstheme="minorHAnsi"/>
        </w:rPr>
        <w:t>.</w:t>
      </w:r>
    </w:p>
    <w:p w14:paraId="57E4D4EC" w14:textId="010DEB90" w:rsidR="004B33E1" w:rsidRPr="004B33E1" w:rsidRDefault="004B33E1" w:rsidP="0021556C">
      <w:pPr>
        <w:pStyle w:val="Nadpis2"/>
      </w:pPr>
      <w:r w:rsidRPr="004B33E1">
        <w:t xml:space="preserve">Předmětem smlouvy o poskytnutí podlicence je závazek Poskytovatele poskytnout Nabyvateli oprávnění k užití HELIOS Orange pouze pro vlastní potřebu s tím, že je oprávněn používat HELIOS Orange pouze na jedné lokální počítačové </w:t>
      </w:r>
      <w:r w:rsidR="00527C3B" w:rsidRPr="004B33E1">
        <w:t>síti,</w:t>
      </w:r>
      <w:r w:rsidRPr="004B33E1">
        <w:t xml:space="preserve"> a to v počtu uživatelů a zpracovávaných firem specifikovaném v příloze č.1 této </w:t>
      </w:r>
      <w:r w:rsidR="00B15A4C">
        <w:t>Sml</w:t>
      </w:r>
      <w:r w:rsidRPr="004B33E1">
        <w:t xml:space="preserve">ouvy. V souvislosti s tím je Nabyvatel oprávněn pořizovat kopie </w:t>
      </w:r>
      <w:r w:rsidRPr="004B33E1">
        <w:lastRenderedPageBreak/>
        <w:t>tohoto díla v zájmu ochrany pro vlastní archivní účely a k nahrazení oprávněně získaného HELIOS Orange, který byl ztracen, zničen nebo jinak znehodnocen.</w:t>
      </w:r>
    </w:p>
    <w:p w14:paraId="00C937E8" w14:textId="77777777" w:rsidR="004B33E1" w:rsidRDefault="004B33E1" w:rsidP="00104AED">
      <w:pPr>
        <w:pStyle w:val="Nadpis2"/>
        <w:spacing w:after="60"/>
      </w:pPr>
      <w:r w:rsidRPr="004B33E1">
        <w:t xml:space="preserve">U vědomí předchozího </w:t>
      </w:r>
      <w:r w:rsidR="00807A9F">
        <w:t>odst.</w:t>
      </w:r>
      <w:r w:rsidRPr="004B33E1">
        <w:t xml:space="preserve"> </w:t>
      </w:r>
      <w:r w:rsidR="006212C5">
        <w:t>2</w:t>
      </w:r>
      <w:r w:rsidRPr="004B33E1">
        <w:t xml:space="preserve">.2. </w:t>
      </w:r>
      <w:r w:rsidR="00807A9F">
        <w:t xml:space="preserve">této Smlouvy </w:t>
      </w:r>
      <w:r w:rsidRPr="004B33E1">
        <w:t xml:space="preserve">se Poskytovatel zavazuje poskytnout Nabyvateli služby spojené se zaváděním HELIOS Orange, které jsou specifikovány v příloze č. 3, jež se stává nedílnou součástí této </w:t>
      </w:r>
      <w:r w:rsidR="00B15A4C">
        <w:t>Sml</w:t>
      </w:r>
      <w:r w:rsidRPr="004B33E1">
        <w:t>ouvy.</w:t>
      </w:r>
    </w:p>
    <w:p w14:paraId="6D33EEFF" w14:textId="519C4094" w:rsidR="004B33E1" w:rsidRDefault="004B33E1" w:rsidP="0021556C">
      <w:pPr>
        <w:pStyle w:val="Nadpis2"/>
      </w:pPr>
      <w:r w:rsidRPr="004B33E1">
        <w:t xml:space="preserve">Předmětem smlouvy o systémové podpoře je závazek Poskytovatele ve prospěch Nabyvatele poskytovat systémovou podporu </w:t>
      </w:r>
      <w:r w:rsidR="00527C3B">
        <w:t>k</w:t>
      </w:r>
      <w:r w:rsidRPr="004B33E1">
        <w:t xml:space="preserve"> HELIOS Orange</w:t>
      </w:r>
      <w:r w:rsidR="006212C5">
        <w:t xml:space="preserve">. </w:t>
      </w:r>
      <w:r w:rsidRPr="004B33E1">
        <w:t xml:space="preserve">Pro účely této </w:t>
      </w:r>
      <w:r w:rsidR="00B15A4C">
        <w:t>Sml</w:t>
      </w:r>
      <w:r w:rsidRPr="004B33E1">
        <w:t>ouvy se systémovou podporou rozumí hotline</w:t>
      </w:r>
      <w:r w:rsidR="003D7DC5">
        <w:t xml:space="preserve"> (</w:t>
      </w:r>
      <w:r w:rsidR="003D7DC5" w:rsidRPr="001E2811">
        <w:rPr>
          <w:rFonts w:cs="Calibri"/>
        </w:rPr>
        <w:t>telefonickou konzultační službu</w:t>
      </w:r>
      <w:r w:rsidR="00B11E6E">
        <w:rPr>
          <w:rFonts w:cs="Calibri"/>
        </w:rPr>
        <w:t xml:space="preserve"> do 15 minut</w:t>
      </w:r>
      <w:r w:rsidR="003D7DC5">
        <w:rPr>
          <w:rFonts w:cs="Calibri"/>
        </w:rPr>
        <w:t>)</w:t>
      </w:r>
      <w:r w:rsidRPr="004B33E1">
        <w:t xml:space="preserve">, </w:t>
      </w:r>
      <w:r w:rsidR="003D7DC5" w:rsidRPr="001E2811">
        <w:rPr>
          <w:rFonts w:cs="Calibri"/>
        </w:rPr>
        <w:t xml:space="preserve">průběžný legislativní update systému a </w:t>
      </w:r>
      <w:r w:rsidR="00B11E6E">
        <w:rPr>
          <w:rFonts w:cs="Calibri"/>
        </w:rPr>
        <w:t xml:space="preserve">nárok </w:t>
      </w:r>
      <w:r w:rsidR="003D7DC5" w:rsidRPr="001E2811">
        <w:rPr>
          <w:rFonts w:cs="Calibri"/>
        </w:rPr>
        <w:t xml:space="preserve">na nejaktuálnější verzi systému </w:t>
      </w:r>
      <w:r w:rsidRPr="004B33E1">
        <w:t>HELIOS Orange.</w:t>
      </w:r>
    </w:p>
    <w:p w14:paraId="7C64A9D7" w14:textId="77777777" w:rsidR="004B33E1" w:rsidRPr="004B33E1" w:rsidRDefault="004B33E1" w:rsidP="0021556C">
      <w:pPr>
        <w:pStyle w:val="Nadpis2"/>
      </w:pPr>
      <w:r w:rsidRPr="004B33E1">
        <w:t>Poskytovatel dále umožňuje Nabyvateli za níže uvedených podmínek užívat službu vedenou pod názvem Reporting.cz, která je integrována do HELIOS Orange (tvoří jeho nedílnou součást) a představuje on-line (internetové) softwarové řešení poskytující službu vizualizace a reportingu dat Nabyvatele zpracovávaných v HELIOS Orange (dále jen „</w:t>
      </w:r>
      <w:r w:rsidRPr="006212C5">
        <w:rPr>
          <w:b/>
          <w:bCs/>
        </w:rPr>
        <w:t>Aplikace RCZ</w:t>
      </w:r>
      <w:r w:rsidRPr="004B33E1">
        <w:t>“).</w:t>
      </w:r>
    </w:p>
    <w:p w14:paraId="3CD48B07" w14:textId="77777777" w:rsidR="004B33E1" w:rsidRPr="004B33E1" w:rsidRDefault="004B33E1" w:rsidP="0021556C">
      <w:pPr>
        <w:pStyle w:val="Nadpis2"/>
        <w:numPr>
          <w:ilvl w:val="0"/>
          <w:numId w:val="0"/>
        </w:numPr>
        <w:ind w:left="567"/>
      </w:pPr>
      <w:r w:rsidRPr="004B33E1">
        <w:t>Aplikace RCZ je pro Nabyvatele dostupná, pokud:</w:t>
      </w:r>
    </w:p>
    <w:p w14:paraId="40E65100" w14:textId="77777777" w:rsidR="004B33E1" w:rsidRPr="004B33E1" w:rsidRDefault="004B33E1" w:rsidP="003C3AEE">
      <w:pPr>
        <w:pStyle w:val="Smlouvaodstavec"/>
        <w:numPr>
          <w:ilvl w:val="1"/>
          <w:numId w:val="24"/>
        </w:numPr>
      </w:pPr>
      <w:r w:rsidRPr="004B33E1">
        <w:t xml:space="preserve">Je součástí konfigurace HELIOS Orange uvedené v příloze č. 1 této </w:t>
      </w:r>
      <w:r w:rsidR="00B15A4C">
        <w:t>Sml</w:t>
      </w:r>
      <w:r w:rsidRPr="004B33E1">
        <w:t xml:space="preserve">ouvy </w:t>
      </w:r>
      <w:r w:rsidR="006212C5">
        <w:t xml:space="preserve">(toto se nevztahuje na bezplatné poskytnutí pro jednu databázi v rámci migrace) </w:t>
      </w:r>
      <w:r w:rsidRPr="004B33E1">
        <w:t xml:space="preserve">nebo bude Nabyvateli poskytnuta dodatečně </w:t>
      </w:r>
      <w:r w:rsidR="006212C5">
        <w:t xml:space="preserve">na základě dokupu </w:t>
      </w:r>
      <w:r w:rsidRPr="004B33E1">
        <w:t>kdykoliv v průběhu používání HELIOS Orange; a současně</w:t>
      </w:r>
    </w:p>
    <w:p w14:paraId="5EBE5573" w14:textId="5C8D4C2C" w:rsidR="004B33E1" w:rsidRPr="004B33E1" w:rsidRDefault="004B33E1" w:rsidP="003C3AEE">
      <w:pPr>
        <w:pStyle w:val="Smlouvaodstavec"/>
        <w:numPr>
          <w:ilvl w:val="1"/>
          <w:numId w:val="24"/>
        </w:numPr>
      </w:pPr>
      <w:r w:rsidRPr="004B33E1">
        <w:t xml:space="preserve">Nabyvatel deklaroval svůj zájem o tuto službu doručením dokumentu „Žádost o aktivaci Aplikace RCZ“, jehož znění je součástí této </w:t>
      </w:r>
      <w:r w:rsidR="00B15A4C">
        <w:t>Sml</w:t>
      </w:r>
      <w:r w:rsidRPr="004B33E1">
        <w:t xml:space="preserve">ouvy jako příloha č. </w:t>
      </w:r>
      <w:r w:rsidR="00B11E6E">
        <w:t>8</w:t>
      </w:r>
      <w:r w:rsidRPr="004B33E1">
        <w:t>.</w:t>
      </w:r>
    </w:p>
    <w:p w14:paraId="46E0FE8F" w14:textId="6B20CE6D" w:rsidR="006212C5" w:rsidRPr="00CF2858" w:rsidRDefault="0000257B" w:rsidP="006212C5">
      <w:pPr>
        <w:pStyle w:val="Nadpis2"/>
        <w:spacing w:after="180"/>
      </w:pPr>
      <w:bookmarkStart w:id="4" w:name="_Hlk520126374"/>
      <w:r>
        <w:t xml:space="preserve">Nabyvatel </w:t>
      </w:r>
      <w:r w:rsidR="00424ECA">
        <w:t xml:space="preserve">má </w:t>
      </w:r>
      <w:r>
        <w:t>právo k užití Původní podlicence</w:t>
      </w:r>
      <w:r w:rsidR="00424ECA">
        <w:t xml:space="preserve"> do 31. 12. 2021.</w:t>
      </w:r>
      <w:r>
        <w:t xml:space="preserve"> </w:t>
      </w:r>
      <w:r w:rsidR="00424ECA">
        <w:t>P</w:t>
      </w:r>
      <w:r>
        <w:t>o</w:t>
      </w:r>
      <w:r w:rsidR="007E47EF">
        <w:t xml:space="preserve"> tomto datu pak Nabyvatel </w:t>
      </w:r>
      <w:r w:rsidR="006212C5" w:rsidRPr="0042548C">
        <w:t>p</w:t>
      </w:r>
      <w:r w:rsidR="006212C5">
        <w:t xml:space="preserve">ozbývá právo </w:t>
      </w:r>
      <w:r w:rsidR="001B7C1A">
        <w:t>k jejímu užití</w:t>
      </w:r>
      <w:r w:rsidR="00424ECA">
        <w:t xml:space="preserve"> a </w:t>
      </w:r>
      <w:r w:rsidR="006212C5">
        <w:t xml:space="preserve">je povinen zajistit, aby již po tomto datu Původní </w:t>
      </w:r>
      <w:r w:rsidR="00E00CFE">
        <w:t>podlicence</w:t>
      </w:r>
      <w:r w:rsidR="00E00CFE" w:rsidRPr="00CD59B1">
        <w:t xml:space="preserve"> </w:t>
      </w:r>
      <w:r w:rsidR="006212C5">
        <w:t>nevyužíval</w:t>
      </w:r>
      <w:bookmarkStart w:id="5" w:name="_Hlk520124882"/>
      <w:r w:rsidR="006212C5">
        <w:t>.</w:t>
      </w:r>
    </w:p>
    <w:bookmarkEnd w:id="5"/>
    <w:p w14:paraId="40928F5D" w14:textId="63432694" w:rsidR="006212C5" w:rsidRPr="00CF2858" w:rsidRDefault="006212C5" w:rsidP="006212C5">
      <w:pPr>
        <w:pStyle w:val="Nadpis2"/>
        <w:numPr>
          <w:ilvl w:val="0"/>
          <w:numId w:val="0"/>
        </w:numPr>
        <w:ind w:left="567"/>
      </w:pPr>
      <w:r>
        <w:t>P</w:t>
      </w:r>
      <w:r w:rsidRPr="00184698">
        <w:t xml:space="preserve">orušení tohoto ustanovení se považuje za podstatné porušení </w:t>
      </w:r>
      <w:r>
        <w:t>této Smlouvy</w:t>
      </w:r>
      <w:r w:rsidRPr="00184698">
        <w:t>.</w:t>
      </w:r>
      <w:r>
        <w:t xml:space="preserve"> </w:t>
      </w:r>
      <w:r w:rsidRPr="00CF2858">
        <w:t xml:space="preserve">V případě porušení tohoto ustanovení, na které byl </w:t>
      </w:r>
      <w:r w:rsidR="00E00CFE">
        <w:t>Nabyvatel</w:t>
      </w:r>
      <w:r w:rsidRPr="00CF2858">
        <w:t xml:space="preserve"> prokazatelně upozorněn a nezjednal nápravu ani v dodatečně poskytnuté lhůtě ne kratší než čtyři pracovní dny ode dne upozornění, je </w:t>
      </w:r>
      <w:r w:rsidR="00E00CFE">
        <w:t>Poskytovatel</w:t>
      </w:r>
      <w:r w:rsidRPr="00CF2858">
        <w:t xml:space="preserve"> oprávněn požadovat po </w:t>
      </w:r>
      <w:r w:rsidR="00E00CFE">
        <w:t>Nabyvatel</w:t>
      </w:r>
      <w:r w:rsidRPr="00CF2858">
        <w:t xml:space="preserve">i pokutu ve výši dvojnásobku </w:t>
      </w:r>
      <w:r>
        <w:t>poplatku za migrační balíček</w:t>
      </w:r>
      <w:r w:rsidRPr="00CF2858">
        <w:t xml:space="preserve"> dle odst. </w:t>
      </w:r>
      <w:r>
        <w:t>4.1. této Smlouvy.</w:t>
      </w:r>
    </w:p>
    <w:p w14:paraId="5192AD57" w14:textId="77777777" w:rsidR="006212C5" w:rsidRDefault="00E00CFE" w:rsidP="006212C5">
      <w:pPr>
        <w:pStyle w:val="Nadpis2"/>
        <w:numPr>
          <w:ilvl w:val="0"/>
          <w:numId w:val="0"/>
        </w:numPr>
        <w:ind w:left="567"/>
      </w:pPr>
      <w:r>
        <w:t>Poskytovatel</w:t>
      </w:r>
      <w:r w:rsidR="006212C5">
        <w:t xml:space="preserve"> je rovněž oprávněn podniknout kroky vedoucí k zamezení dalšího používání Původní </w:t>
      </w:r>
      <w:r>
        <w:t>podlicenci</w:t>
      </w:r>
      <w:r w:rsidR="006212C5">
        <w:t>, např.:</w:t>
      </w:r>
    </w:p>
    <w:p w14:paraId="0310B22F" w14:textId="5E7B85F6" w:rsidR="006212C5" w:rsidRPr="008A0467" w:rsidRDefault="006212C5" w:rsidP="003C3AEE">
      <w:pPr>
        <w:pStyle w:val="Nadpis2"/>
        <w:numPr>
          <w:ilvl w:val="0"/>
          <w:numId w:val="38"/>
        </w:numPr>
        <w:spacing w:after="180"/>
      </w:pPr>
      <w:r>
        <w:t xml:space="preserve">Původní </w:t>
      </w:r>
      <w:r w:rsidR="00E00CFE">
        <w:t>podlicenci</w:t>
      </w:r>
      <w:r w:rsidR="00E00CFE" w:rsidRPr="00CD59B1">
        <w:t xml:space="preserve"> </w:t>
      </w:r>
      <w:r w:rsidRPr="008A0467">
        <w:t xml:space="preserve">odinstalovat, a to </w:t>
      </w:r>
      <w:r w:rsidR="00D011B5">
        <w:t xml:space="preserve">do tří měsíců od </w:t>
      </w:r>
      <w:r w:rsidRPr="0042548C">
        <w:t>dodání</w:t>
      </w:r>
      <w:r w:rsidR="00A37977">
        <w:t xml:space="preserve"> </w:t>
      </w:r>
      <w:r>
        <w:t>HELIOS</w:t>
      </w:r>
      <w:r w:rsidRPr="0042548C">
        <w:t xml:space="preserve"> </w:t>
      </w:r>
      <w:r w:rsidR="009D1627" w:rsidRPr="004B33E1">
        <w:t>Orange</w:t>
      </w:r>
      <w:r w:rsidR="009D1627" w:rsidRPr="008A0467">
        <w:t xml:space="preserve"> </w:t>
      </w:r>
      <w:r w:rsidRPr="008A0467">
        <w:t xml:space="preserve">nebo v následujícím období dle časových a organizačních možností </w:t>
      </w:r>
      <w:r w:rsidR="00E00CFE">
        <w:t>Poskytovatel</w:t>
      </w:r>
      <w:r w:rsidRPr="008A0467">
        <w:t xml:space="preserve">e. </w:t>
      </w:r>
      <w:r w:rsidR="00E00CFE">
        <w:t>Nabyvatel</w:t>
      </w:r>
      <w:r w:rsidRPr="008A0467">
        <w:t xml:space="preserve"> se zavazuje poskytnout za tímto účelem </w:t>
      </w:r>
      <w:r w:rsidR="00E00CFE">
        <w:t>Poskytovatel</w:t>
      </w:r>
      <w:r w:rsidRPr="008A0467">
        <w:t>i veškerou součinnost.</w:t>
      </w:r>
    </w:p>
    <w:p w14:paraId="329064CE" w14:textId="77777777" w:rsidR="006212C5" w:rsidRDefault="00E00CFE" w:rsidP="006212C5">
      <w:pPr>
        <w:pStyle w:val="Nadpis2"/>
        <w:numPr>
          <w:ilvl w:val="0"/>
          <w:numId w:val="0"/>
        </w:numPr>
        <w:ind w:left="1287"/>
      </w:pPr>
      <w:r>
        <w:t>Nabyvatel</w:t>
      </w:r>
      <w:r w:rsidR="006212C5" w:rsidRPr="008D6E84">
        <w:t xml:space="preserve"> bere na vědomí, že odinsta</w:t>
      </w:r>
      <w:r w:rsidR="006212C5">
        <w:t xml:space="preserve">lováním Původní </w:t>
      </w:r>
      <w:r>
        <w:t>podlicence</w:t>
      </w:r>
      <w:r w:rsidRPr="00CD59B1">
        <w:t xml:space="preserve"> </w:t>
      </w:r>
      <w:r w:rsidR="006212C5" w:rsidRPr="008D6E84">
        <w:t xml:space="preserve">dojde ke ztrátě veškerých dat v ní uložených. </w:t>
      </w:r>
      <w:r>
        <w:t>Poskytovatel</w:t>
      </w:r>
      <w:r w:rsidR="006212C5" w:rsidRPr="008D6E84">
        <w:t xml:space="preserve"> nemá povinnost vytvořit zálohu dat.</w:t>
      </w:r>
    </w:p>
    <w:p w14:paraId="6878015C" w14:textId="77777777" w:rsidR="006212C5" w:rsidRPr="00207D4C" w:rsidRDefault="006212C5" w:rsidP="003C3AEE">
      <w:pPr>
        <w:pStyle w:val="Nadpis2"/>
        <w:numPr>
          <w:ilvl w:val="0"/>
          <w:numId w:val="38"/>
        </w:numPr>
        <w:spacing w:after="180"/>
      </w:pPr>
      <w:r>
        <w:t xml:space="preserve">zablokovat Původní </w:t>
      </w:r>
      <w:r w:rsidR="00E00CFE">
        <w:t>podlicence</w:t>
      </w:r>
      <w:r w:rsidR="00E00CFE" w:rsidRPr="00CD59B1">
        <w:t xml:space="preserve"> </w:t>
      </w:r>
      <w:r>
        <w:t xml:space="preserve">vůči dalšímu využívání služeb </w:t>
      </w:r>
      <w:r w:rsidR="00AE22E2">
        <w:t>systémové podpory</w:t>
      </w:r>
      <w:r>
        <w:t>.</w:t>
      </w:r>
    </w:p>
    <w:bookmarkEnd w:id="4"/>
    <w:p w14:paraId="5ED9250D" w14:textId="77777777" w:rsidR="006212C5" w:rsidRPr="007A28FF" w:rsidRDefault="00E00CFE" w:rsidP="006212C5">
      <w:pPr>
        <w:pStyle w:val="Nadpis2"/>
        <w:spacing w:after="180"/>
      </w:pPr>
      <w:r>
        <w:t>Nabyvatel</w:t>
      </w:r>
      <w:r w:rsidR="006212C5" w:rsidRPr="00E5222D">
        <w:t xml:space="preserve"> se zavazuje za plnění </w:t>
      </w:r>
      <w:r w:rsidR="006212C5">
        <w:t xml:space="preserve">předmětu této Smlouvy </w:t>
      </w:r>
      <w:r w:rsidR="006212C5" w:rsidRPr="00E5222D">
        <w:t xml:space="preserve">uhradit </w:t>
      </w:r>
      <w:r>
        <w:t>Poskytovatel</w:t>
      </w:r>
      <w:r w:rsidR="006212C5">
        <w:t xml:space="preserve">i </w:t>
      </w:r>
      <w:r w:rsidR="006212C5" w:rsidRPr="00E5222D">
        <w:t xml:space="preserve">cenu specifikovanou v článku </w:t>
      </w:r>
      <w:r w:rsidR="006212C5">
        <w:t>4.</w:t>
      </w:r>
    </w:p>
    <w:p w14:paraId="4B6F3C83" w14:textId="24ABE049" w:rsidR="006212C5" w:rsidRDefault="006212C5" w:rsidP="006212C5">
      <w:pPr>
        <w:pStyle w:val="Nadpis2"/>
        <w:spacing w:after="180"/>
      </w:pPr>
      <w:bookmarkStart w:id="6" w:name="_Hlk27596131"/>
      <w:r>
        <w:t>Ke dni nabytí účinnosti této Smlouvy se ukončuje platnost</w:t>
      </w:r>
      <w:r w:rsidR="00D011B5">
        <w:t xml:space="preserve"> Původních smluv</w:t>
      </w:r>
      <w:r>
        <w:t>.</w:t>
      </w:r>
    </w:p>
    <w:bookmarkEnd w:id="6"/>
    <w:p w14:paraId="67356877" w14:textId="77777777" w:rsidR="001D4582" w:rsidRPr="004B33E1" w:rsidRDefault="001D4582" w:rsidP="00527C3B"/>
    <w:p w14:paraId="46D20257" w14:textId="77777777" w:rsidR="00D011B5" w:rsidRDefault="00D011B5">
      <w:pPr>
        <w:rPr>
          <w:rFonts w:cs="Arial"/>
          <w:b/>
          <w:szCs w:val="22"/>
        </w:rPr>
      </w:pPr>
      <w:r>
        <w:br w:type="page"/>
      </w:r>
    </w:p>
    <w:p w14:paraId="06F58C94" w14:textId="70C814C7" w:rsidR="00C111D9" w:rsidRPr="004B33E1" w:rsidRDefault="00C111D9" w:rsidP="002055FE">
      <w:pPr>
        <w:pStyle w:val="Nadpis1"/>
      </w:pPr>
      <w:r w:rsidRPr="004B33E1">
        <w:lastRenderedPageBreak/>
        <w:t>Licenční ujednání</w:t>
      </w:r>
    </w:p>
    <w:p w14:paraId="151EBA19" w14:textId="77777777" w:rsidR="004B33E1" w:rsidRPr="004B33E1" w:rsidRDefault="004B33E1" w:rsidP="0021556C">
      <w:pPr>
        <w:pStyle w:val="Nadpis2"/>
      </w:pPr>
      <w:r w:rsidRPr="004B33E1">
        <w:t>HELIOS Orange, individuálně identifikovatelný li</w:t>
      </w:r>
      <w:r w:rsidR="003C1DA2">
        <w:t>cenčním číslem</w:t>
      </w:r>
      <w:r w:rsidRPr="004B33E1">
        <w:t>, včetně doprovodné elektronické dokumentace, požívá ochrany ve smyslu jednotlivých ustanovení zákona č. 121/2000 Sb., o právu autorském.</w:t>
      </w:r>
    </w:p>
    <w:p w14:paraId="6CE2B58E" w14:textId="77777777" w:rsidR="007B65FF" w:rsidRPr="00711184" w:rsidRDefault="007B65FF" w:rsidP="007B65FF">
      <w:pPr>
        <w:pStyle w:val="Nadpis2"/>
      </w:pPr>
      <w:r w:rsidRPr="00711184">
        <w:t>Nabyvatel je oprávněn používat HELIOS Orange pro vlastní potřebu po celou dobu, po kterou jím budou respektovány podmínky smlouvy o poskytnutí podlicence.</w:t>
      </w:r>
    </w:p>
    <w:p w14:paraId="6C628925" w14:textId="77777777" w:rsidR="004B33E1" w:rsidRPr="004B33E1" w:rsidRDefault="004B33E1" w:rsidP="0021556C">
      <w:pPr>
        <w:pStyle w:val="Nadpis2"/>
      </w:pPr>
      <w:r w:rsidRPr="004B33E1">
        <w:t>Nabyvatel je oprávněn Aplikaci RCZ používat pro vlastní potřebu, a to po celou dobu, kdy bude řádně hradit poplatek za systémovou podporu.</w:t>
      </w:r>
    </w:p>
    <w:p w14:paraId="1B34354C" w14:textId="77777777" w:rsidR="004B33E1" w:rsidRPr="004B33E1" w:rsidRDefault="004B33E1" w:rsidP="0021556C">
      <w:pPr>
        <w:pStyle w:val="Nadpis2"/>
      </w:pPr>
      <w:r w:rsidRPr="004B33E1">
        <w:t>Nabyvatel není bez písemného souhlasu Poskytovatele zejména oprávněn:</w:t>
      </w:r>
    </w:p>
    <w:p w14:paraId="3CED6AF8" w14:textId="77777777" w:rsidR="004B33E1" w:rsidRPr="004B33E1" w:rsidRDefault="004B33E1" w:rsidP="003C3AEE">
      <w:pPr>
        <w:pStyle w:val="Smlouvaodstavec"/>
        <w:numPr>
          <w:ilvl w:val="2"/>
          <w:numId w:val="26"/>
        </w:numPr>
      </w:pPr>
      <w:r w:rsidRPr="004B33E1">
        <w:t>jakýmkoliv způsobem HELIOS Orange upravovat, překládat do jiných programovacích či národních jazyků, zahrnout jej do jiného programového produktu a šířit produkty takto vzniklé</w:t>
      </w:r>
      <w:r w:rsidRPr="004B33E1">
        <w:sym w:font="Symbol" w:char="F03B"/>
      </w:r>
    </w:p>
    <w:p w14:paraId="7B2D7512" w14:textId="77777777" w:rsidR="004B33E1" w:rsidRPr="004B33E1" w:rsidRDefault="004B33E1" w:rsidP="003C3AEE">
      <w:pPr>
        <w:pStyle w:val="Smlouvaodstavec"/>
        <w:numPr>
          <w:ilvl w:val="2"/>
          <w:numId w:val="26"/>
        </w:numPr>
      </w:pPr>
      <w:r w:rsidRPr="004B33E1">
        <w:t xml:space="preserve">pro jiné právnické či fyzické osoby udělovat oprávnění k výkonu práva </w:t>
      </w:r>
      <w:r w:rsidR="00527C3B">
        <w:t>H</w:t>
      </w:r>
      <w:r w:rsidRPr="004B33E1">
        <w:t>ELIOS Orange užít</w:t>
      </w:r>
      <w:r w:rsidRPr="004B33E1">
        <w:sym w:font="Symbol" w:char="F03B"/>
      </w:r>
      <w:r w:rsidRPr="004B33E1">
        <w:t xml:space="preserve"> </w:t>
      </w:r>
    </w:p>
    <w:p w14:paraId="19F13099" w14:textId="31A238DC" w:rsidR="004B33E1" w:rsidRPr="004B33E1" w:rsidRDefault="004B33E1" w:rsidP="003C3AEE">
      <w:pPr>
        <w:pStyle w:val="Smlouvaodstavec"/>
        <w:numPr>
          <w:ilvl w:val="2"/>
          <w:numId w:val="26"/>
        </w:numPr>
      </w:pPr>
      <w:r w:rsidRPr="004B33E1">
        <w:t xml:space="preserve">ve prospěch jiných právnických či fyzických osob HELIOS Orange rozmnožovat a následně tyto rozmnoženiny rozšiřovat, pronajímat, půjčovat, vystavovat a nakládat </w:t>
      </w:r>
      <w:proofErr w:type="gramStart"/>
      <w:r w:rsidR="007E47EF" w:rsidRPr="004B33E1">
        <w:t>jinak,</w:t>
      </w:r>
      <w:proofErr w:type="gramEnd"/>
      <w:r w:rsidRPr="004B33E1">
        <w:t xml:space="preserve"> než umožňuje tato </w:t>
      </w:r>
      <w:r w:rsidR="00B15A4C">
        <w:t>Sml</w:t>
      </w:r>
      <w:r w:rsidRPr="004B33E1">
        <w:t>ouva.</w:t>
      </w:r>
    </w:p>
    <w:p w14:paraId="54E21733" w14:textId="77777777" w:rsidR="004B33E1" w:rsidRPr="004B33E1" w:rsidRDefault="004B33E1" w:rsidP="0021556C">
      <w:pPr>
        <w:pStyle w:val="Nadpis2"/>
      </w:pPr>
      <w:r w:rsidRPr="004B33E1">
        <w:t xml:space="preserve">Nabyvatel bere na vědomí a souhlasí, že pokud jakýmkoli způsobem poruší jednotlivá ustanovení </w:t>
      </w:r>
      <w:r w:rsidR="00B15A4C">
        <w:t>Sml</w:t>
      </w:r>
      <w:r w:rsidRPr="004B33E1">
        <w:t xml:space="preserve">ouvy o poskytnutí podlicence, je takové jednání Nabyvatele považováno také za hrubé porušení zákona č. 121/2000 Sb., o právu autorském, na základě čehož je Poskytovatel oprávněn požadovat a Nabyvatel povinen zaplatit smluvní pokutu ve prospěch Poskytovatele, a to ve výši dvojnásobku celkového licenčního poplatku stanoveného </w:t>
      </w:r>
      <w:r w:rsidR="00104AED">
        <w:t>v</w:t>
      </w:r>
      <w:r w:rsidR="00104AED" w:rsidRPr="00CF2858">
        <w:t xml:space="preserve"> odst. </w:t>
      </w:r>
      <w:r w:rsidR="00104AED">
        <w:t>4.1. této Smlouvy</w:t>
      </w:r>
      <w:r w:rsidRPr="004B33E1">
        <w:t>. Uhrazením smluvní pokuty není dotčeno právo na případnou náhradu škody.</w:t>
      </w:r>
    </w:p>
    <w:p w14:paraId="00A0F385" w14:textId="77777777" w:rsidR="007A13CA" w:rsidRPr="004B33E1" w:rsidRDefault="007A13CA" w:rsidP="0031235C"/>
    <w:p w14:paraId="39AAEFB0" w14:textId="77777777" w:rsidR="00C111D9" w:rsidRPr="00E72796" w:rsidRDefault="00C111D9" w:rsidP="002055FE">
      <w:pPr>
        <w:pStyle w:val="Nadpis1"/>
      </w:pPr>
      <w:r w:rsidRPr="00E72796">
        <w:t>Cena a platební podmínky</w:t>
      </w:r>
    </w:p>
    <w:p w14:paraId="6DB9F985" w14:textId="5A8811B7" w:rsidR="005A3378" w:rsidRDefault="005A3378" w:rsidP="006D55D1">
      <w:pPr>
        <w:pStyle w:val="Nadpis2"/>
      </w:pPr>
      <w:r>
        <w:t xml:space="preserve">S ohledem na migraci poskytuje </w:t>
      </w:r>
      <w:r w:rsidR="00E00CFE">
        <w:t>Poskytovatel</w:t>
      </w:r>
      <w:r>
        <w:t xml:space="preserve"> </w:t>
      </w:r>
      <w:r w:rsidR="00E00CFE">
        <w:t>Nabyvatel</w:t>
      </w:r>
      <w:r>
        <w:t xml:space="preserve">i na poskytnutí </w:t>
      </w:r>
      <w:r w:rsidR="00E00CFE">
        <w:t>podlicence</w:t>
      </w:r>
      <w:r w:rsidR="00E00CFE" w:rsidRPr="00CD59B1">
        <w:t xml:space="preserve"> </w:t>
      </w:r>
      <w:r>
        <w:t xml:space="preserve">HELIOS </w:t>
      </w:r>
      <w:r w:rsidR="009D1627" w:rsidRPr="004B33E1">
        <w:t>Orange</w:t>
      </w:r>
      <w:r w:rsidR="009D1627">
        <w:t xml:space="preserve"> </w:t>
      </w:r>
      <w:r>
        <w:t>slevu, resp.</w:t>
      </w:r>
      <w:r w:rsidR="00A37977">
        <w:t xml:space="preserve"> </w:t>
      </w:r>
      <w:r w:rsidR="00E00CFE">
        <w:t>Nabyvatel</w:t>
      </w:r>
      <w:r>
        <w:t xml:space="preserve"> hradí pouze tzv. migrační balíček. </w:t>
      </w:r>
      <w:r w:rsidRPr="00A83BB6">
        <w:t xml:space="preserve">Smluvní strany sjednávají, že cena </w:t>
      </w:r>
      <w:r>
        <w:t xml:space="preserve">za migrační balíček činí částku </w:t>
      </w:r>
      <w:r w:rsidRPr="00A83BB6">
        <w:t>ve výši</w:t>
      </w:r>
      <w:r w:rsidR="00D011B5">
        <w:t xml:space="preserve"> </w:t>
      </w:r>
      <w:r w:rsidR="00D011B5" w:rsidRPr="00D011B5">
        <w:rPr>
          <w:b/>
          <w:bCs/>
        </w:rPr>
        <w:t xml:space="preserve">89.188 </w:t>
      </w:r>
      <w:r w:rsidRPr="00D011B5">
        <w:rPr>
          <w:b/>
          <w:bCs/>
        </w:rPr>
        <w:t>Kč</w:t>
      </w:r>
      <w:r w:rsidRPr="00A83BB6">
        <w:t xml:space="preserve"> bez DPH, navýšený</w:t>
      </w:r>
      <w:r>
        <w:t>ch</w:t>
      </w:r>
      <w:r w:rsidRPr="00A83BB6">
        <w:t xml:space="preserve"> o zákonnou sazbu DPH.</w:t>
      </w:r>
      <w:r>
        <w:t xml:space="preserve"> </w:t>
      </w:r>
    </w:p>
    <w:p w14:paraId="494E7863" w14:textId="258A5690" w:rsidR="00D011B5" w:rsidRPr="00063B6A" w:rsidRDefault="005A3378" w:rsidP="00D011B5">
      <w:pPr>
        <w:pStyle w:val="Nadpis2"/>
        <w:numPr>
          <w:ilvl w:val="0"/>
          <w:numId w:val="0"/>
        </w:numPr>
        <w:ind w:left="567"/>
      </w:pPr>
      <w:r>
        <w:t xml:space="preserve">Celková hodnota </w:t>
      </w:r>
      <w:r w:rsidR="00E00CFE">
        <w:t>podlicence</w:t>
      </w:r>
      <w:r w:rsidR="00E00CFE" w:rsidRPr="00CD59B1">
        <w:t xml:space="preserve"> </w:t>
      </w:r>
      <w:r>
        <w:t xml:space="preserve">(tj. bez slevy), která se uplatňuje pro výpočet poplatku za </w:t>
      </w:r>
      <w:r w:rsidR="00D02C0F">
        <w:t>systémovou podporu</w:t>
      </w:r>
      <w:r>
        <w:t>, je uvedena v příloze č. 1 této</w:t>
      </w:r>
      <w:r w:rsidR="00807A9F">
        <w:t xml:space="preserve"> Smlouvy</w:t>
      </w:r>
      <w:r>
        <w:t xml:space="preserve">. </w:t>
      </w:r>
    </w:p>
    <w:p w14:paraId="50562494" w14:textId="0C5C6A6A" w:rsidR="00E50BD6" w:rsidRPr="00540383" w:rsidRDefault="00E50BD6" w:rsidP="00D011B5">
      <w:pPr>
        <w:pStyle w:val="Nadpis2"/>
      </w:pPr>
      <w:r w:rsidRPr="00063B6A">
        <w:t xml:space="preserve">Cena za </w:t>
      </w:r>
      <w:r>
        <w:t>implementační služby</w:t>
      </w:r>
      <w:r w:rsidRPr="00063B6A">
        <w:t xml:space="preserve"> ve smyslu </w:t>
      </w:r>
      <w:r>
        <w:t>odst. 2.3.</w:t>
      </w:r>
      <w:r w:rsidRPr="00063B6A">
        <w:t xml:space="preserve"> této </w:t>
      </w:r>
      <w:r>
        <w:t>Smlouv</w:t>
      </w:r>
      <w:r w:rsidRPr="00063B6A">
        <w:t xml:space="preserve">y byla </w:t>
      </w:r>
      <w:r w:rsidR="00E00CFE">
        <w:t>Poskytovatel</w:t>
      </w:r>
      <w:r w:rsidRPr="00063B6A">
        <w:t xml:space="preserve">em kvalifikovaně odhadnuta </w:t>
      </w:r>
      <w:r>
        <w:t>viz</w:t>
      </w:r>
      <w:r w:rsidRPr="00063B6A">
        <w:t xml:space="preserve"> specifikace v příloze č. </w:t>
      </w:r>
      <w:r w:rsidR="00AE43C7">
        <w:t>3</w:t>
      </w:r>
      <w:r w:rsidRPr="00063B6A">
        <w:t xml:space="preserve"> této </w:t>
      </w:r>
      <w:r>
        <w:t>Smlouv</w:t>
      </w:r>
      <w:r w:rsidRPr="00063B6A">
        <w:t xml:space="preserve">y. Tyto implementační služby budou </w:t>
      </w:r>
      <w:r w:rsidR="00E00CFE">
        <w:t>Nabyvatel</w:t>
      </w:r>
      <w:r w:rsidRPr="00063B6A">
        <w:t>i fakturovány v průběhu jejich čerpání</w:t>
      </w:r>
      <w:r w:rsidR="00D011B5">
        <w:t>.</w:t>
      </w:r>
      <w:r w:rsidRPr="00063B6A">
        <w:t xml:space="preserve"> </w:t>
      </w:r>
    </w:p>
    <w:p w14:paraId="13C61337" w14:textId="20BDCAE5" w:rsidR="00E72796" w:rsidRDefault="00E72796" w:rsidP="0021556C">
      <w:pPr>
        <w:pStyle w:val="Nadpis2"/>
      </w:pPr>
      <w:r w:rsidRPr="00E72796">
        <w:t xml:space="preserve">Nabyvatel </w:t>
      </w:r>
      <w:r w:rsidR="003C1DA2" w:rsidRPr="002E01F5">
        <w:t>se zavazuje finanční plnění specifikovaná v </w:t>
      </w:r>
      <w:r w:rsidR="003C1DA2">
        <w:t>odstavcích</w:t>
      </w:r>
      <w:r w:rsidR="003C1DA2" w:rsidRPr="002E01F5">
        <w:t xml:space="preserve"> </w:t>
      </w:r>
      <w:r w:rsidR="00F82967">
        <w:t xml:space="preserve">4.1 a 4.2 </w:t>
      </w:r>
      <w:r w:rsidRPr="00E72796">
        <w:t>uhradit bezhotovostním převodem na základě faktur</w:t>
      </w:r>
      <w:r w:rsidR="001B7C1A">
        <w:t>,</w:t>
      </w:r>
      <w:r w:rsidRPr="00E72796">
        <w:t xml:space="preserve"> vystavených Poskytovatelem ve splatnosti</w:t>
      </w:r>
      <w:r w:rsidR="001B7C1A">
        <w:t xml:space="preserve"> </w:t>
      </w:r>
      <w:r w:rsidR="001B7C1A" w:rsidRPr="0041169A">
        <w:t>30</w:t>
      </w:r>
      <w:r w:rsidR="001B7C1A">
        <w:t xml:space="preserve"> </w:t>
      </w:r>
      <w:r w:rsidR="001B7C1A" w:rsidRPr="0041169A">
        <w:t>kalendářních dnů od doručení faktury</w:t>
      </w:r>
      <w:r w:rsidR="001B7C1A">
        <w:t>,</w:t>
      </w:r>
      <w:r w:rsidR="001B7C1A" w:rsidRPr="001B7C1A">
        <w:t xml:space="preserve"> na účet </w:t>
      </w:r>
      <w:r w:rsidR="001B7C1A">
        <w:t xml:space="preserve">Poskytovatele č. </w:t>
      </w:r>
      <w:r w:rsidR="001B7C1A" w:rsidRPr="001B7C1A">
        <w:t>6202597033/2010</w:t>
      </w:r>
      <w:r w:rsidRPr="00E72796">
        <w:t>.</w:t>
      </w:r>
      <w:r w:rsidR="001B7C1A">
        <w:t xml:space="preserve"> </w:t>
      </w:r>
      <w:r w:rsidR="001B7C1A" w:rsidRPr="001B7C1A">
        <w:t>Nebude-li faktura obsahovat v zákoně uvedené náležitosti nebo bude vystavena jinak v rozporu s touto smlouvou, je nabyvatel oprávněn fakturu vrátit zhotoviteli ve lhůtě 10 kalendářních dnů ode dne jejího obdržení spolu s e sdělením vad faktury. V takovém případě se dnem odeslání faktury s oznámením jejich vad přerušuje původní doba splatnosti faktury a nová doba splatnosti počne běžet doručením bezchybné faktury objednateli. V případě, že se datum splatnosti uvedené na faktuře liší od data splatnosti stanoveného touto smlouvou, je rozhodující datum splatnosti uvedené v této smlouvě.</w:t>
      </w:r>
    </w:p>
    <w:p w14:paraId="19A611FB" w14:textId="77777777" w:rsidR="000B1398" w:rsidRPr="0098790C" w:rsidRDefault="000B1398" w:rsidP="0098790C">
      <w:pPr>
        <w:pStyle w:val="Nadpis2"/>
        <w:spacing w:after="180"/>
      </w:pPr>
      <w:r w:rsidRPr="00CD2621">
        <w:t>V rámci smlouv</w:t>
      </w:r>
      <w:r>
        <w:t xml:space="preserve">y o </w:t>
      </w:r>
      <w:r w:rsidR="00AE22E2">
        <w:t>systémové podpoře</w:t>
      </w:r>
      <w:r w:rsidR="00AE22E2" w:rsidRPr="000B1398">
        <w:t xml:space="preserve"> </w:t>
      </w:r>
      <w:r>
        <w:t xml:space="preserve">ve smyslu odstavce </w:t>
      </w:r>
      <w:r w:rsidR="00F82967" w:rsidRPr="000B1398">
        <w:t>2.</w:t>
      </w:r>
      <w:r w:rsidR="00F82967">
        <w:t>4</w:t>
      </w:r>
      <w:r w:rsidR="00F82967" w:rsidRPr="000B1398">
        <w:t xml:space="preserve"> </w:t>
      </w:r>
      <w:r w:rsidRPr="00CD2621">
        <w:t xml:space="preserve">se </w:t>
      </w:r>
      <w:r w:rsidR="00E00CFE">
        <w:t>Nabyvatel</w:t>
      </w:r>
      <w:r w:rsidRPr="00CD2621">
        <w:t xml:space="preserve"> zavazuje za takto </w:t>
      </w:r>
      <w:r w:rsidRPr="008D4922">
        <w:t xml:space="preserve">poskytované služby hradit </w:t>
      </w:r>
      <w:r w:rsidR="00E00CFE">
        <w:t>Poskytovatel</w:t>
      </w:r>
      <w:r w:rsidRPr="008D4922">
        <w:t xml:space="preserve">i roční paušální poplatek, </w:t>
      </w:r>
      <w:r w:rsidRPr="0098790C">
        <w:rPr>
          <w:rFonts w:cs="Calibri"/>
        </w:rPr>
        <w:t>a to následovně:</w:t>
      </w:r>
    </w:p>
    <w:p w14:paraId="130C9916" w14:textId="6444A06C" w:rsidR="000B1398" w:rsidRPr="008D4922" w:rsidRDefault="000B1398" w:rsidP="003C3AEE">
      <w:pPr>
        <w:pStyle w:val="Odstavecseseznamem"/>
        <w:numPr>
          <w:ilvl w:val="0"/>
          <w:numId w:val="39"/>
        </w:numPr>
        <w:spacing w:after="120"/>
        <w:contextualSpacing w:val="0"/>
        <w:jc w:val="both"/>
        <w:rPr>
          <w:rFonts w:cs="Calibri"/>
          <w:szCs w:val="22"/>
        </w:rPr>
      </w:pPr>
      <w:r w:rsidRPr="008D4922">
        <w:rPr>
          <w:rFonts w:cs="Calibri"/>
          <w:szCs w:val="22"/>
        </w:rPr>
        <w:lastRenderedPageBreak/>
        <w:t>za období od</w:t>
      </w:r>
      <w:r w:rsidR="0098790C">
        <w:rPr>
          <w:rFonts w:cs="Calibri"/>
          <w:szCs w:val="22"/>
        </w:rPr>
        <w:t xml:space="preserve"> podpisu Smlouvy do 1.3.2022 z migračního balíčku v roční částce </w:t>
      </w:r>
      <w:r w:rsidR="0098790C" w:rsidRPr="0098790C">
        <w:rPr>
          <w:rFonts w:cs="Calibri"/>
          <w:b/>
          <w:bCs/>
          <w:szCs w:val="22"/>
        </w:rPr>
        <w:t xml:space="preserve">16.054 </w:t>
      </w:r>
      <w:proofErr w:type="gramStart"/>
      <w:r w:rsidR="0098790C" w:rsidRPr="0098790C">
        <w:rPr>
          <w:rFonts w:cs="Calibri"/>
          <w:b/>
          <w:bCs/>
          <w:szCs w:val="22"/>
        </w:rPr>
        <w:t>Kč</w:t>
      </w:r>
      <w:r w:rsidR="0098790C">
        <w:rPr>
          <w:rFonts w:cs="Calibri"/>
          <w:szCs w:val="22"/>
        </w:rPr>
        <w:t xml:space="preserve"> </w:t>
      </w:r>
      <w:r w:rsidR="0098790C" w:rsidRPr="008D4922">
        <w:rPr>
          <w:rFonts w:cs="Calibri"/>
          <w:szCs w:val="22"/>
        </w:rPr>
        <w:t xml:space="preserve"> </w:t>
      </w:r>
      <w:r w:rsidR="0098790C">
        <w:rPr>
          <w:rFonts w:cs="Calibri"/>
          <w:szCs w:val="22"/>
        </w:rPr>
        <w:t>v</w:t>
      </w:r>
      <w:proofErr w:type="gramEnd"/>
      <w:r w:rsidR="0098790C">
        <w:rPr>
          <w:rFonts w:cs="Calibri"/>
          <w:szCs w:val="22"/>
        </w:rPr>
        <w:t xml:space="preserve"> </w:t>
      </w:r>
      <w:r w:rsidRPr="008D4922">
        <w:rPr>
          <w:rFonts w:cs="Calibri"/>
          <w:szCs w:val="22"/>
        </w:rPr>
        <w:t>alikvótní výši bez DPH</w:t>
      </w:r>
      <w:r>
        <w:rPr>
          <w:rFonts w:cs="Calibri"/>
          <w:szCs w:val="22"/>
        </w:rPr>
        <w:t xml:space="preserve">, </w:t>
      </w:r>
      <w:r w:rsidRPr="00A83BB6">
        <w:rPr>
          <w:rFonts w:cs="Arial"/>
          <w:szCs w:val="22"/>
        </w:rPr>
        <w:t>navýšený</w:t>
      </w:r>
      <w:r>
        <w:rPr>
          <w:rFonts w:cs="Arial"/>
          <w:szCs w:val="22"/>
        </w:rPr>
        <w:t>ch</w:t>
      </w:r>
      <w:r w:rsidRPr="00A83BB6">
        <w:rPr>
          <w:rFonts w:cs="Arial"/>
          <w:szCs w:val="22"/>
        </w:rPr>
        <w:t xml:space="preserve"> </w:t>
      </w:r>
      <w:r w:rsidRPr="002E01F5">
        <w:t>o zákonnou sazbu DPH</w:t>
      </w:r>
      <w:r w:rsidRPr="008D4922">
        <w:rPr>
          <w:rFonts w:cs="Calibri"/>
          <w:szCs w:val="22"/>
        </w:rPr>
        <w:t xml:space="preserve">. </w:t>
      </w:r>
    </w:p>
    <w:p w14:paraId="65599EBB" w14:textId="00BBCB7E" w:rsidR="000B1398" w:rsidRPr="008D4922" w:rsidRDefault="000B1398" w:rsidP="003C3AEE">
      <w:pPr>
        <w:pStyle w:val="Odstavecseseznamem"/>
        <w:numPr>
          <w:ilvl w:val="0"/>
          <w:numId w:val="39"/>
        </w:numPr>
        <w:spacing w:after="120"/>
        <w:contextualSpacing w:val="0"/>
        <w:jc w:val="both"/>
        <w:rPr>
          <w:rFonts w:cs="Calibri"/>
          <w:szCs w:val="22"/>
        </w:rPr>
      </w:pPr>
      <w:r w:rsidRPr="008D4922">
        <w:rPr>
          <w:rFonts w:cs="Calibri"/>
          <w:szCs w:val="22"/>
        </w:rPr>
        <w:t>po uplynutí doby dle předchozí</w:t>
      </w:r>
      <w:r w:rsidR="0098790C">
        <w:rPr>
          <w:rFonts w:cs="Calibri"/>
          <w:szCs w:val="22"/>
        </w:rPr>
        <w:t xml:space="preserve">ho </w:t>
      </w:r>
      <w:r w:rsidRPr="008D4922">
        <w:rPr>
          <w:rFonts w:cs="Calibri"/>
          <w:szCs w:val="22"/>
        </w:rPr>
        <w:t>bod</w:t>
      </w:r>
      <w:r w:rsidR="0098790C">
        <w:rPr>
          <w:rFonts w:cs="Calibri"/>
          <w:szCs w:val="22"/>
        </w:rPr>
        <w:t>u</w:t>
      </w:r>
      <w:r w:rsidRPr="008D4922">
        <w:rPr>
          <w:rFonts w:cs="Calibri"/>
          <w:szCs w:val="22"/>
        </w:rPr>
        <w:t xml:space="preserve"> ve výši </w:t>
      </w:r>
      <w:r w:rsidR="0098790C" w:rsidRPr="0098790C">
        <w:rPr>
          <w:rFonts w:cs="Calibri"/>
          <w:b/>
          <w:bCs/>
          <w:szCs w:val="22"/>
        </w:rPr>
        <w:t>85.854 Kč</w:t>
      </w:r>
      <w:r w:rsidR="0098790C">
        <w:rPr>
          <w:rFonts w:cs="Calibri"/>
          <w:szCs w:val="22"/>
        </w:rPr>
        <w:t xml:space="preserve"> </w:t>
      </w:r>
      <w:r w:rsidR="004A38AB" w:rsidRPr="004A38AB">
        <w:rPr>
          <w:rFonts w:cs="Calibri"/>
          <w:bCs/>
          <w:szCs w:val="22"/>
        </w:rPr>
        <w:t>bez</w:t>
      </w:r>
      <w:r w:rsidR="004A38AB">
        <w:rPr>
          <w:rFonts w:cs="Calibri"/>
          <w:b/>
          <w:szCs w:val="22"/>
        </w:rPr>
        <w:t xml:space="preserve"> </w:t>
      </w:r>
      <w:r w:rsidRPr="008D4922">
        <w:rPr>
          <w:rFonts w:cs="Calibri"/>
          <w:szCs w:val="22"/>
        </w:rPr>
        <w:t xml:space="preserve">DPH, </w:t>
      </w:r>
      <w:r w:rsidRPr="00A83BB6">
        <w:rPr>
          <w:rFonts w:cs="Arial"/>
          <w:szCs w:val="22"/>
        </w:rPr>
        <w:t>navýšený</w:t>
      </w:r>
      <w:r>
        <w:rPr>
          <w:rFonts w:cs="Arial"/>
          <w:szCs w:val="22"/>
        </w:rPr>
        <w:t>ch</w:t>
      </w:r>
      <w:r w:rsidRPr="00A83BB6">
        <w:rPr>
          <w:rFonts w:cs="Arial"/>
          <w:szCs w:val="22"/>
        </w:rPr>
        <w:t xml:space="preserve"> </w:t>
      </w:r>
      <w:r w:rsidRPr="002E01F5">
        <w:t>o zákonnou sazbu DPH</w:t>
      </w:r>
      <w:r>
        <w:rPr>
          <w:rFonts w:cs="Calibri"/>
          <w:szCs w:val="22"/>
        </w:rPr>
        <w:t xml:space="preserve">, </w:t>
      </w:r>
      <w:r w:rsidRPr="008D4922">
        <w:rPr>
          <w:rFonts w:cs="Calibri"/>
          <w:szCs w:val="22"/>
        </w:rPr>
        <w:t>a to po celou dobu používání</w:t>
      </w:r>
      <w:r w:rsidR="00A37977">
        <w:rPr>
          <w:rFonts w:cs="Calibri"/>
          <w:szCs w:val="22"/>
        </w:rPr>
        <w:t xml:space="preserve"> </w:t>
      </w:r>
      <w:r>
        <w:rPr>
          <w:rFonts w:cs="Calibri"/>
          <w:szCs w:val="22"/>
        </w:rPr>
        <w:t>HELIOS</w:t>
      </w:r>
      <w:r w:rsidRPr="008D4922">
        <w:rPr>
          <w:rFonts w:cs="Calibri"/>
          <w:szCs w:val="22"/>
        </w:rPr>
        <w:t xml:space="preserve"> </w:t>
      </w:r>
      <w:r w:rsidR="009D1627" w:rsidRPr="004B33E1">
        <w:t>Orange</w:t>
      </w:r>
      <w:r w:rsidR="009D1627" w:rsidRPr="008D4922">
        <w:rPr>
          <w:rFonts w:cs="Calibri"/>
          <w:szCs w:val="22"/>
        </w:rPr>
        <w:t xml:space="preserve"> </w:t>
      </w:r>
      <w:r w:rsidRPr="008D4922">
        <w:rPr>
          <w:rFonts w:cs="Calibri"/>
          <w:szCs w:val="22"/>
        </w:rPr>
        <w:t xml:space="preserve">na základě daňového dokladu (faktury) vystaveného </w:t>
      </w:r>
      <w:r w:rsidR="00E00CFE">
        <w:rPr>
          <w:rFonts w:cs="Calibri"/>
          <w:szCs w:val="22"/>
        </w:rPr>
        <w:t>Poskytovatel</w:t>
      </w:r>
      <w:r w:rsidRPr="008D4922">
        <w:rPr>
          <w:rFonts w:cs="Calibri"/>
          <w:szCs w:val="22"/>
        </w:rPr>
        <w:t>em, a sice vždy dopředu na období dvanácti (12) měsíců.</w:t>
      </w:r>
      <w:r w:rsidR="00A37977">
        <w:rPr>
          <w:rFonts w:cs="Calibri"/>
          <w:szCs w:val="22"/>
        </w:rPr>
        <w:t xml:space="preserve">       </w:t>
      </w:r>
      <w:r w:rsidRPr="008D4922">
        <w:rPr>
          <w:rFonts w:cs="Calibri"/>
          <w:szCs w:val="22"/>
        </w:rPr>
        <w:t xml:space="preserve"> </w:t>
      </w:r>
    </w:p>
    <w:p w14:paraId="2CFD621D" w14:textId="1CD47EC4" w:rsidR="00E72796" w:rsidRPr="00E72796" w:rsidRDefault="00E72796" w:rsidP="0021556C">
      <w:pPr>
        <w:pStyle w:val="Nadpis2"/>
      </w:pPr>
      <w:r w:rsidRPr="00E72796">
        <w:t>Smluvní strany konstatují, že Poskytovatel poskytuje k HELIOS Orange další služby specifikované v ceníku služeb, jenž tvoří přílohu č. 2 a který stanoví ceny za jednotlivé služby. Poskytovatel tyto služby realizuje pouze na základě samostatných objednávek Nabyvatele kdykoli v průběhu zavádění a používání HELIOS Orange. Poskytovatel si vyhrazuje právo tento ceník služeb měnit v závislosti na ekonomické situaci na trhu.</w:t>
      </w:r>
    </w:p>
    <w:p w14:paraId="0FA9CDBA" w14:textId="059297D0" w:rsidR="00E72796" w:rsidRPr="00E72796" w:rsidRDefault="00E72796" w:rsidP="0021556C">
      <w:pPr>
        <w:pStyle w:val="Nadpis2"/>
      </w:pPr>
      <w:r w:rsidRPr="00E72796">
        <w:t xml:space="preserve">Smluvní strany sjednávají, že pokud Nabyvatel nezaplatí jakékoli finanční plnění vyplývající z této </w:t>
      </w:r>
      <w:r w:rsidR="00B15A4C">
        <w:t>Sml</w:t>
      </w:r>
      <w:r w:rsidRPr="00E72796">
        <w:t>ouvy v termínu stanoveném danou fakturou je Poskytovatel oprávněn požadovat a Nabyvatel je povinen uhradit Poskytovateli smluvní úrok z prodlení ve výši 0,05</w:t>
      </w:r>
      <w:r w:rsidR="001B45C2">
        <w:t xml:space="preserve"> </w:t>
      </w:r>
      <w:r w:rsidRPr="00E72796">
        <w:t xml:space="preserve">% z dlužné částky za </w:t>
      </w:r>
      <w:r w:rsidR="008370E0" w:rsidRPr="00E72796">
        <w:t>každý,</w:t>
      </w:r>
      <w:r w:rsidRPr="00E72796">
        <w:t xml:space="preserve"> byť i započatý den prodlení.</w:t>
      </w:r>
    </w:p>
    <w:p w14:paraId="00460E39" w14:textId="77777777" w:rsidR="00E72796" w:rsidRPr="00E72796" w:rsidRDefault="00E72796" w:rsidP="0021556C">
      <w:pPr>
        <w:pStyle w:val="Nadpis2"/>
      </w:pPr>
      <w:r w:rsidRPr="00E72796">
        <w:t>Pokud Nabyvatel neuhradí sjednané ceny specifikované v </w:t>
      </w:r>
      <w:r w:rsidR="003C1DA2">
        <w:t xml:space="preserve">odstavcích </w:t>
      </w:r>
      <w:r w:rsidR="00F82967">
        <w:t>4</w:t>
      </w:r>
      <w:r w:rsidR="003C1DA2">
        <w:t>.1</w:t>
      </w:r>
      <w:r w:rsidR="00F82967">
        <w:t xml:space="preserve"> a/nebo 4.2</w:t>
      </w:r>
      <w:r w:rsidRPr="00E72796">
        <w:t xml:space="preserve"> </w:t>
      </w:r>
      <w:r w:rsidR="003C1DA2">
        <w:t xml:space="preserve">této </w:t>
      </w:r>
      <w:r w:rsidR="00B15A4C">
        <w:t>Sml</w:t>
      </w:r>
      <w:r w:rsidR="003C1DA2">
        <w:t>ouvy</w:t>
      </w:r>
      <w:r w:rsidRPr="00E72796">
        <w:t xml:space="preserve"> do jednoho měsíce ode dne splatnosti uvedeného na příslušných fakturách, je Poskytovatel oprávněn od </w:t>
      </w:r>
      <w:r w:rsidR="00B15A4C">
        <w:t>této Smlouvy</w:t>
      </w:r>
      <w:r w:rsidRPr="00E72796">
        <w:t xml:space="preserve"> odstoupit s takovým důsledkem, že Nabyvatel okamžikem takového odstoupení ztrácí poskytnuté oprávnění k výkonu práv k dílům citovaným v </w:t>
      </w:r>
      <w:r w:rsidR="008344C8">
        <w:t xml:space="preserve">odstavcích </w:t>
      </w:r>
      <w:r w:rsidR="00F82967">
        <w:t>2.2 a 2.5</w:t>
      </w:r>
      <w:r w:rsidRPr="00E72796">
        <w:t xml:space="preserve"> této </w:t>
      </w:r>
      <w:r w:rsidR="00B15A4C">
        <w:t>Sml</w:t>
      </w:r>
      <w:r w:rsidRPr="00E72796">
        <w:t xml:space="preserve">ouvy. Nabyvatel prohlašuje, že si je vědom, že okamžikem takového odstoupení od této </w:t>
      </w:r>
      <w:r w:rsidR="00B15A4C">
        <w:t>Sml</w:t>
      </w:r>
      <w:r w:rsidRPr="00E72796">
        <w:t>ouvy ztrácí právo dílo užít ve smyslu us</w:t>
      </w:r>
      <w:r>
        <w:t>tanovení § 12 a násl. zákona č. </w:t>
      </w:r>
      <w:r w:rsidRPr="00E72796">
        <w:t>1</w:t>
      </w:r>
      <w:r>
        <w:t>21/2000 Sb., autorského zákona.</w:t>
      </w:r>
    </w:p>
    <w:p w14:paraId="1A9C5649" w14:textId="77777777" w:rsidR="00E72796" w:rsidRPr="00E72796" w:rsidRDefault="00E72796" w:rsidP="0021556C">
      <w:pPr>
        <w:pStyle w:val="Nadpis2"/>
      </w:pPr>
      <w:r w:rsidRPr="00E72796">
        <w:t>Pokud Nabyvatel neuhradí sjednanou cenu specifikovanou v </w:t>
      </w:r>
      <w:r w:rsidR="008344C8">
        <w:t>odstavci</w:t>
      </w:r>
      <w:r w:rsidRPr="00E72796">
        <w:t xml:space="preserve"> </w:t>
      </w:r>
      <w:r w:rsidR="00F82967">
        <w:t>4</w:t>
      </w:r>
      <w:r w:rsidRPr="00E72796">
        <w:t xml:space="preserve">.4 </w:t>
      </w:r>
      <w:r w:rsidR="008344C8">
        <w:t xml:space="preserve">této </w:t>
      </w:r>
      <w:r w:rsidR="00B15A4C">
        <w:t>Sml</w:t>
      </w:r>
      <w:r w:rsidR="008344C8">
        <w:t>ouvy</w:t>
      </w:r>
      <w:r w:rsidRPr="00E72796">
        <w:t xml:space="preserve"> do jednoho měsíce ode dne splatnosti uvedeného na příslušné faktuře, je Poskytovatel</w:t>
      </w:r>
      <w:r w:rsidR="008344C8">
        <w:t xml:space="preserve"> oprávněn od smlouvy o </w:t>
      </w:r>
      <w:r w:rsidRPr="00E72796">
        <w:t>systémové podpoře odstoupit.</w:t>
      </w:r>
    </w:p>
    <w:p w14:paraId="7AA6DD20" w14:textId="77777777" w:rsidR="00E72796" w:rsidRPr="00E72796" w:rsidRDefault="00E72796" w:rsidP="0021556C">
      <w:pPr>
        <w:pStyle w:val="Nadpis2"/>
      </w:pPr>
      <w:r w:rsidRPr="00E72796">
        <w:t>Nabyvatel bere na vědomí, že pokud nastane situace uvedená v </w:t>
      </w:r>
      <w:r w:rsidR="008344C8">
        <w:t>odstavci</w:t>
      </w:r>
      <w:r w:rsidRPr="00E72796">
        <w:t xml:space="preserve"> </w:t>
      </w:r>
      <w:r w:rsidR="00F82967">
        <w:t>4.8</w:t>
      </w:r>
      <w:r w:rsidRPr="00E72796">
        <w:t xml:space="preserve"> </w:t>
      </w:r>
      <w:r w:rsidR="008344C8">
        <w:t xml:space="preserve">této </w:t>
      </w:r>
      <w:r w:rsidR="00B15A4C">
        <w:t>Sml</w:t>
      </w:r>
      <w:r w:rsidR="008344C8">
        <w:t>ouvy</w:t>
      </w:r>
      <w:r w:rsidRPr="00E72796">
        <w:t xml:space="preserve"> anebo pokud Nabyvatel vypoví smlouvu o systémové podpoře, zaniká povinnost Poskytovatele realizovat ve prospěch Nabyvatele konzultační služby, update a legislativní upgrade HELIOS Orange, následkem čehož se Poskytovatel zbavuje jakékoliv odpovědnosti za bezvadnou funkčnost HELIOS Orange, jakož i za jeho správnou kompatibilitu s platnými obec</w:t>
      </w:r>
      <w:r w:rsidR="006A477C">
        <w:t>ně závaznými právními předpisy.</w:t>
      </w:r>
    </w:p>
    <w:p w14:paraId="6E7DFC14" w14:textId="77777777" w:rsidR="0040672D" w:rsidRDefault="00E72796" w:rsidP="0021556C">
      <w:pPr>
        <w:pStyle w:val="Nadpis2"/>
      </w:pPr>
      <w:r w:rsidRPr="00E72796">
        <w:t>V případě, že se Nabyvatel dostane do prodlení s úhradou jakéhokoli fi</w:t>
      </w:r>
      <w:r w:rsidR="008344C8">
        <w:t>nančního plnění vyplývajícího z </w:t>
      </w:r>
      <w:r w:rsidRPr="00E72796">
        <w:t xml:space="preserve">této </w:t>
      </w:r>
      <w:r w:rsidR="00B15A4C">
        <w:t>Sml</w:t>
      </w:r>
      <w:r w:rsidRPr="00E72796">
        <w:t xml:space="preserve">ouvy, bere Nabyvatel na vědomí a současně souhlasí s tím, že Poskytovatel je oprávněn neprovádět žádné úkony spojené se systémovou podporou či dalšími službami ve smyslu této </w:t>
      </w:r>
      <w:r w:rsidR="00B15A4C">
        <w:t>Sml</w:t>
      </w:r>
      <w:r w:rsidRPr="00E72796">
        <w:t>ouvy až do okamžiku, kdy Nabyvatel splní veškeré finanční závazky vůči Poskytovateli.</w:t>
      </w:r>
    </w:p>
    <w:p w14:paraId="723C8D6A" w14:textId="77777777" w:rsidR="0040672D" w:rsidRPr="0040672D" w:rsidRDefault="0040672D" w:rsidP="0021556C">
      <w:pPr>
        <w:pStyle w:val="Nadpis2"/>
      </w:pPr>
      <w:r w:rsidRPr="0040672D">
        <w:rPr>
          <w:rFonts w:cs="Calibri"/>
        </w:rPr>
        <w:t xml:space="preserve">Poskytovatel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Poskytovatelem podle tohoto článku budou platné počínaje měsícem, ve kterém byla jejich úprava prokazatelně oznámena Nabyvateli. Ceny podle tohoto odstavce lze poprvé uplatnit v průběhu kalendářního roku následujícího po kalendářním roce, ve kterém </w:t>
      </w:r>
      <w:r w:rsidR="00B15A4C">
        <w:rPr>
          <w:rFonts w:cs="Calibri"/>
        </w:rPr>
        <w:t>Sml</w:t>
      </w:r>
      <w:r w:rsidRPr="0040672D">
        <w:rPr>
          <w:rFonts w:cs="Calibri"/>
        </w:rPr>
        <w:t>ouva nabyla účinnost.</w:t>
      </w:r>
    </w:p>
    <w:p w14:paraId="180A08FB" w14:textId="77777777" w:rsidR="00AB3256" w:rsidRPr="00540383" w:rsidRDefault="00AB3256" w:rsidP="001B45C2"/>
    <w:p w14:paraId="54074732" w14:textId="77777777" w:rsidR="00E72796" w:rsidRPr="00E72796" w:rsidRDefault="00E72796" w:rsidP="002055FE">
      <w:pPr>
        <w:pStyle w:val="Nadpis1"/>
      </w:pPr>
      <w:bookmarkStart w:id="7" w:name="_Hlk499046382"/>
      <w:r w:rsidRPr="00E72796">
        <w:t>Záruka, reklamace a podmínky pro platnost záruky</w:t>
      </w:r>
    </w:p>
    <w:p w14:paraId="364323FA" w14:textId="77777777" w:rsidR="00E72796" w:rsidRPr="00E72796" w:rsidRDefault="00E72796" w:rsidP="0021556C">
      <w:pPr>
        <w:pStyle w:val="Nadpis2"/>
      </w:pPr>
      <w:r w:rsidRPr="00E72796">
        <w:t>Poskytovatel garantuje funkčnost HELIOS Orange plně odpovídající dodané dokumentaci. V případě zjištění vad HELIOS Orange, je Nabyvatel oprávněn uplatnit reklamaci.</w:t>
      </w:r>
    </w:p>
    <w:p w14:paraId="48C80D5B" w14:textId="77777777" w:rsidR="00E72796" w:rsidRPr="00E72796" w:rsidRDefault="00E72796" w:rsidP="0021556C">
      <w:pPr>
        <w:pStyle w:val="Nadpis2"/>
      </w:pPr>
      <w:r w:rsidRPr="00E72796">
        <w:t xml:space="preserve">Konkrétní vymezení záručních a reklamačních podmínek je stanoveno v reklamačních podmínkách, které se stávají, jako příloha č. 4, nedílnou součástí této </w:t>
      </w:r>
      <w:r w:rsidR="00B15A4C">
        <w:t>Sml</w:t>
      </w:r>
      <w:r w:rsidRPr="00E72796">
        <w:t>ouvy.</w:t>
      </w:r>
    </w:p>
    <w:p w14:paraId="3DB5263D" w14:textId="77777777" w:rsidR="00E72796" w:rsidRPr="00E72796" w:rsidRDefault="00E72796" w:rsidP="0021556C">
      <w:pPr>
        <w:pStyle w:val="Nadpis2"/>
      </w:pPr>
      <w:r w:rsidRPr="00E72796">
        <w:lastRenderedPageBreak/>
        <w:t xml:space="preserve">Pro oprávněné uplatnění záručních podmínek </w:t>
      </w:r>
      <w:r w:rsidR="00B15A4C">
        <w:t>Sml</w:t>
      </w:r>
      <w:r w:rsidRPr="00E72796">
        <w:t>uvní strany sjednávají, že Nabyvatel je povinen:</w:t>
      </w:r>
    </w:p>
    <w:p w14:paraId="6988C541" w14:textId="77777777" w:rsidR="00E72796" w:rsidRPr="001B45C2" w:rsidRDefault="00E72796" w:rsidP="003C3AEE">
      <w:pPr>
        <w:pStyle w:val="Smlouvaodstavec"/>
        <w:numPr>
          <w:ilvl w:val="2"/>
          <w:numId w:val="40"/>
        </w:numPr>
      </w:pPr>
      <w:r w:rsidRPr="001B45C2">
        <w:t>bez výjimek dodržovat pokyny uvedené v dokumentaci prodávaného programového vybavení a ve výše citovaných licenčních podmínkách</w:t>
      </w:r>
      <w:r w:rsidRPr="001B45C2">
        <w:sym w:font="Symbol" w:char="F03B"/>
      </w:r>
    </w:p>
    <w:p w14:paraId="3F043950" w14:textId="77777777" w:rsidR="00E72796" w:rsidRPr="001B45C2" w:rsidRDefault="00E72796" w:rsidP="001B45C2">
      <w:pPr>
        <w:pStyle w:val="Smlouvaodstavec"/>
      </w:pPr>
      <w:r w:rsidRPr="001B45C2">
        <w:t xml:space="preserve">vést provozní deník v souladu se vzorem, který se stává, jako příloha č. 5, nedílnou součástí této </w:t>
      </w:r>
      <w:r w:rsidR="00B15A4C">
        <w:t>Sml</w:t>
      </w:r>
      <w:r w:rsidRPr="001B45C2">
        <w:t>ouvy</w:t>
      </w:r>
      <w:r w:rsidRPr="001B45C2">
        <w:sym w:font="Symbol" w:char="F03B"/>
      </w:r>
    </w:p>
    <w:p w14:paraId="20177EB7" w14:textId="77777777" w:rsidR="00E72796" w:rsidRPr="001B45C2" w:rsidRDefault="00E72796" w:rsidP="001B45C2">
      <w:pPr>
        <w:pStyle w:val="Smlouvaodstavec"/>
      </w:pPr>
      <w:r w:rsidRPr="001B45C2">
        <w:t>zajistit obsluhu HELIOS Orange pouze vyškolenými pracovníky</w:t>
      </w:r>
      <w:r w:rsidRPr="001B45C2">
        <w:sym w:font="Symbol" w:char="F03B"/>
      </w:r>
    </w:p>
    <w:p w14:paraId="4065055A" w14:textId="77777777" w:rsidR="00E72796" w:rsidRPr="001B45C2" w:rsidRDefault="00E72796" w:rsidP="001B45C2">
      <w:pPr>
        <w:pStyle w:val="Smlouvaodstavec"/>
      </w:pPr>
      <w:r w:rsidRPr="001B45C2">
        <w:t>provozovat HELIOS Orange na počítačích splňujících „systémové požadavky“ viz. příloha č. 6.</w:t>
      </w:r>
    </w:p>
    <w:p w14:paraId="7E8B237C" w14:textId="77777777" w:rsidR="00E72796" w:rsidRPr="00E72796" w:rsidRDefault="00E72796" w:rsidP="0021556C">
      <w:pPr>
        <w:pStyle w:val="Nadpis2"/>
      </w:pPr>
      <w:r w:rsidRPr="00E72796">
        <w:t>Smluvní strany činí nesporným, že Poskytovatel neručí za bezpečnost dat a neodpovídá za závady HELIOS Orange, které prokazatelně nevzniknou jeho zásahem nebo které vzniknou v důsledku neposkytnutí informací ze strany Nabyvatele nutných pro řádné předání a uvedení do provozu HELIOS Orange.</w:t>
      </w:r>
    </w:p>
    <w:p w14:paraId="3ADD4B6D" w14:textId="77777777" w:rsidR="00E72796" w:rsidRPr="006F56C3" w:rsidRDefault="00E72796" w:rsidP="001B45C2"/>
    <w:p w14:paraId="56A36658" w14:textId="77777777" w:rsidR="00E72796" w:rsidRPr="00E72796" w:rsidRDefault="00E72796" w:rsidP="002055FE">
      <w:pPr>
        <w:pStyle w:val="Nadpis1"/>
      </w:pPr>
      <w:r w:rsidRPr="00E72796">
        <w:t>Ostatní ujednání</w:t>
      </w:r>
    </w:p>
    <w:p w14:paraId="559A1E53" w14:textId="77777777" w:rsidR="00E72796" w:rsidRPr="00E72796" w:rsidRDefault="00E72796" w:rsidP="0021556C">
      <w:pPr>
        <w:pStyle w:val="Nadpis2"/>
      </w:pPr>
      <w:r w:rsidRPr="00E72796">
        <w:t>Smluvní strany sjednávají, že Nabyvatel je povinen seznamovat Poskytovatele při jeho servisních činnostech spojených s prodávaným programovým vybavením se všemi potřebnými údaji, daty, informacemi a podmínkami předpokládaného využívání software a hardware v rámci činnosti společnosti Nabyvatele.</w:t>
      </w:r>
    </w:p>
    <w:p w14:paraId="148A469F" w14:textId="77777777" w:rsidR="00E72796" w:rsidRPr="00E72796" w:rsidRDefault="00E72796" w:rsidP="0021556C">
      <w:pPr>
        <w:pStyle w:val="Nadpis2"/>
      </w:pPr>
      <w:r w:rsidRPr="00E72796">
        <w:t>Nabyvatel souhlasí s uváděním názvu své obchodní společnosti v tiskových materiálech a při propagačních akcích Poskytovatele.</w:t>
      </w:r>
    </w:p>
    <w:p w14:paraId="17C40DE4" w14:textId="77777777" w:rsidR="00E72796" w:rsidRPr="00E72796" w:rsidRDefault="00E72796" w:rsidP="0021556C">
      <w:pPr>
        <w:pStyle w:val="Nadpis2"/>
      </w:pPr>
      <w:r w:rsidRPr="00E72796">
        <w:t xml:space="preserve">Smluvní strany se zavazují, že veškeré informace získané v rámci obchodního vztahu vyplývajícího z této </w:t>
      </w:r>
      <w:r w:rsidR="00B15A4C">
        <w:t>Sml</w:t>
      </w:r>
      <w:r w:rsidRPr="00E72796">
        <w:t>ouvy budou považovány za důvěrné a nebudou z jejich strany zneužity ani jinak šířeny.</w:t>
      </w:r>
    </w:p>
    <w:p w14:paraId="5755AC48" w14:textId="77777777" w:rsidR="00E72796" w:rsidRPr="00E72796" w:rsidRDefault="00E72796" w:rsidP="0021556C">
      <w:pPr>
        <w:pStyle w:val="Nadpis2"/>
      </w:pPr>
      <w:r w:rsidRPr="00E72796">
        <w:t xml:space="preserve">Nabyvatel podpisem této </w:t>
      </w:r>
      <w:r w:rsidR="00B15A4C">
        <w:t>Sml</w:t>
      </w:r>
      <w:r w:rsidRPr="00E72796">
        <w:t>ouvy dává Poskytovateli souhlas k zasílání obchodních sdělení na adresu sídla Nabyvatele, jakož i na veškeré jeho elektronické adresy až do okamžiku, kdy Nabyvatel svůj souhlas prokazatelně odmítne. U vědomí dikce předchozí věty se Poskytovatel zavazuje zcela respektovat ustanovení § 7 odst. 3 zákona č. 480/2004 Sb., o některých službách informační společnosti a o změně některých zákonů (zákon o některých službách informační společnosti).</w:t>
      </w:r>
    </w:p>
    <w:p w14:paraId="0CBF38CD" w14:textId="5A17B7E9" w:rsidR="00E1140D" w:rsidRDefault="00E00CFE" w:rsidP="00E1140D">
      <w:pPr>
        <w:pStyle w:val="Nadpis2"/>
      </w:pPr>
      <w:r w:rsidRPr="008370E0">
        <w:t>Nabyvatel</w:t>
      </w:r>
      <w:r w:rsidR="00E1140D" w:rsidRPr="008370E0">
        <w:t xml:space="preserve"> souhlasí se </w:t>
      </w:r>
      <w:r w:rsidR="00E1140D" w:rsidRPr="00AE437F">
        <w:t>zasíláním daňových dokladů elektronickou formou na e</w:t>
      </w:r>
      <w:r w:rsidR="008370E0">
        <w:t>-</w:t>
      </w:r>
      <w:r w:rsidR="00E1140D" w:rsidRPr="00AE437F">
        <w:t>mail:</w:t>
      </w:r>
      <w:r w:rsidR="00982AB7">
        <w:t xml:space="preserve"> </w:t>
      </w:r>
      <w:r w:rsidR="00982AB7" w:rsidRPr="00982AB7">
        <w:t>pnopava@pnopava.cz</w:t>
      </w:r>
      <w:r w:rsidR="00982AB7">
        <w:t>.</w:t>
      </w:r>
    </w:p>
    <w:p w14:paraId="1EF2C081" w14:textId="77777777" w:rsidR="00E72796" w:rsidRDefault="00E72796" w:rsidP="0021556C">
      <w:pPr>
        <w:pStyle w:val="Nadpis2"/>
      </w:pPr>
      <w:r w:rsidRPr="00E72796">
        <w:t xml:space="preserve">Pro případ dalšího rozšiřování programového vybavení, specifikovaného touto </w:t>
      </w:r>
      <w:r w:rsidR="00B15A4C">
        <w:t>Sml</w:t>
      </w:r>
      <w:r w:rsidRPr="00E72796">
        <w:t xml:space="preserve">ouvou, novými softwarovými produkty, které Poskytovatel poskytne Nabyvateli na základě jeho objednávky, smluvní strany sjednávají, že se na nově poskytnuté softwarové produkty analogicky vztahují ustanovení této </w:t>
      </w:r>
      <w:r w:rsidR="00B15A4C">
        <w:t>Sml</w:t>
      </w:r>
      <w:r w:rsidRPr="00E72796">
        <w:t xml:space="preserve">ouvy, zejména ustanovení o licenčních podmínkách a podmínkách systémové podpory. Stejně tak smluvní strany činí nesporným, že navýšením hodnoty používaných </w:t>
      </w:r>
      <w:r w:rsidR="00E00CFE">
        <w:t>podlicencí</w:t>
      </w:r>
      <w:r w:rsidR="00E00CFE" w:rsidRPr="00CD59B1">
        <w:t xml:space="preserve"> </w:t>
      </w:r>
      <w:r w:rsidRPr="00E72796">
        <w:t xml:space="preserve">poskytnutím nových </w:t>
      </w:r>
      <w:r w:rsidR="00E00CFE">
        <w:t>podlicencí</w:t>
      </w:r>
      <w:r w:rsidRPr="00E72796">
        <w:t xml:space="preserve">, se adekvátně navýší i hodnota roční systémové údržby s tím, že výši této hodnoty </w:t>
      </w:r>
      <w:r w:rsidR="00E1140D" w:rsidRPr="00E1140D">
        <w:t xml:space="preserve">sdělí </w:t>
      </w:r>
      <w:r w:rsidR="00E00CFE">
        <w:t>Poskytovatel</w:t>
      </w:r>
      <w:r w:rsidR="00E1140D" w:rsidRPr="00E1140D">
        <w:t xml:space="preserve"> </w:t>
      </w:r>
      <w:r w:rsidR="00E00CFE">
        <w:t>Nabyvatel</w:t>
      </w:r>
      <w:r w:rsidR="00E1140D" w:rsidRPr="00E1140D">
        <w:t>i dopředu v nabídce na rozšíření programového vybavení či jiným přiměřeným způsobem.</w:t>
      </w:r>
    </w:p>
    <w:p w14:paraId="61CFD8E5" w14:textId="34EE8B55" w:rsidR="00E1140D" w:rsidRPr="00FA565A" w:rsidRDefault="008370E0" w:rsidP="008370E0">
      <w:pPr>
        <w:pStyle w:val="Nadpis2"/>
        <w:jc w:val="left"/>
      </w:pPr>
      <w:bookmarkStart w:id="8" w:name="_Hlk527975496"/>
      <w:r>
        <w:t>R</w:t>
      </w:r>
      <w:r w:rsidR="00E1140D" w:rsidRPr="00FA565A">
        <w:t>ozsah funkcionality jednotlivých částí</w:t>
      </w:r>
      <w:r w:rsidR="00A37977">
        <w:t xml:space="preserve"> </w:t>
      </w:r>
      <w:r w:rsidR="00E1140D" w:rsidRPr="00FA565A">
        <w:t xml:space="preserve">HELIOS </w:t>
      </w:r>
      <w:r w:rsidR="009D1627" w:rsidRPr="004B33E1">
        <w:t>Orange</w:t>
      </w:r>
      <w:r w:rsidR="009D1627" w:rsidRPr="00FA565A">
        <w:t xml:space="preserve"> </w:t>
      </w:r>
      <w:r w:rsidR="00E1140D" w:rsidRPr="00FA565A">
        <w:t xml:space="preserve">specifikován standardní dokumentací, která je veřejně přístupná na webových stránkách </w:t>
      </w:r>
      <w:r w:rsidR="00E00CFE">
        <w:t>Poskytovatel</w:t>
      </w:r>
      <w:r w:rsidR="00E1140D" w:rsidRPr="00FA565A">
        <w:t>e (</w:t>
      </w:r>
      <w:hyperlink r:id="rId8" w:history="1">
        <w:r w:rsidR="00E1140D" w:rsidRPr="00AC1283">
          <w:rPr>
            <w:rStyle w:val="Hypertextovodkaz"/>
            <w:rFonts w:ascii="Calibri" w:hAnsi="Calibri"/>
          </w:rPr>
          <w:t>https://forum.helios.eu</w:t>
        </w:r>
      </w:hyperlink>
      <w:r w:rsidR="00E1140D" w:rsidRPr="00FA565A">
        <w:t>).</w:t>
      </w:r>
    </w:p>
    <w:bookmarkEnd w:id="8"/>
    <w:p w14:paraId="7DC0C6B1" w14:textId="77777777" w:rsidR="00E1140D" w:rsidRPr="006A477C" w:rsidRDefault="00E1140D" w:rsidP="00E1140D">
      <w:pPr>
        <w:pStyle w:val="Nadpis2"/>
      </w:pPr>
      <w:r w:rsidRPr="006A477C">
        <w:t xml:space="preserve">Nabyvatel souhlasí s předáním kopie této </w:t>
      </w:r>
      <w:r w:rsidR="00B15A4C">
        <w:t>Sml</w:t>
      </w:r>
      <w:r w:rsidRPr="006A477C">
        <w:t xml:space="preserve">ouvy výrobci </w:t>
      </w:r>
      <w:r>
        <w:t>HELIOS Orange,</w:t>
      </w:r>
      <w:r w:rsidRPr="006A477C">
        <w:t xml:space="preserve"> společnosti </w:t>
      </w:r>
      <w:proofErr w:type="spellStart"/>
      <w:r w:rsidRPr="006A477C">
        <w:t>Asseco</w:t>
      </w:r>
      <w:proofErr w:type="spellEnd"/>
      <w:r w:rsidRPr="006A477C">
        <w:t xml:space="preserve"> </w:t>
      </w:r>
      <w:proofErr w:type="spellStart"/>
      <w:r w:rsidRPr="006A477C">
        <w:t>Solutions</w:t>
      </w:r>
      <w:proofErr w:type="spellEnd"/>
      <w:r w:rsidRPr="006A477C">
        <w:t xml:space="preserve">, a.s., </w:t>
      </w:r>
      <w:r>
        <w:t xml:space="preserve">IČ: 64949541, </w:t>
      </w:r>
      <w:r w:rsidRPr="006A477C">
        <w:t>sídlem Zelený pruh 1560/99 140 02 Praha 4.</w:t>
      </w:r>
    </w:p>
    <w:p w14:paraId="67937E04" w14:textId="77777777" w:rsidR="00E1140D" w:rsidRPr="00E1140D" w:rsidRDefault="00E1140D" w:rsidP="00E1140D"/>
    <w:p w14:paraId="20565A43" w14:textId="77777777" w:rsidR="00E72796" w:rsidRPr="006F56C3" w:rsidRDefault="00E72796" w:rsidP="00E1140D"/>
    <w:p w14:paraId="2BD18B04" w14:textId="77777777" w:rsidR="00E72796" w:rsidRPr="00E72796" w:rsidRDefault="00E72796" w:rsidP="002055FE">
      <w:pPr>
        <w:pStyle w:val="Nadpis1"/>
      </w:pPr>
      <w:r w:rsidRPr="00E72796">
        <w:t>Závěrečná ustanovení</w:t>
      </w:r>
    </w:p>
    <w:p w14:paraId="03C84717" w14:textId="3C132219" w:rsidR="008423FF" w:rsidRDefault="008423FF" w:rsidP="008423FF">
      <w:pPr>
        <w:pStyle w:val="Nadpis2"/>
      </w:pPr>
      <w:r w:rsidRPr="008423FF">
        <w:lastRenderedPageBreak/>
        <w:t>Smlouva je vyhotovena elektronicky, podepsaná oprávněnými zástupci smluvních stran, opatřena elektronickými podpisy založenými na kvalifikovaném certifikátu dle zákona č. 297/2016 Sb., o službách vytvářejících důvěru pro elektronické transakce, ve znění pozdějších předpisů.</w:t>
      </w:r>
      <w:r>
        <w:t xml:space="preserve"> </w:t>
      </w:r>
      <w:r w:rsidRPr="001F0806">
        <w:t>Přitom ta smluvní strana, která připojí svůj podpis jako poslední, je povinna neprodleně zaslat takto podepsaný dodatek druhé smluvní straně.</w:t>
      </w:r>
    </w:p>
    <w:p w14:paraId="79B2633A" w14:textId="26CC398B" w:rsidR="001235CB" w:rsidRPr="001235CB" w:rsidRDefault="001235CB" w:rsidP="001235CB">
      <w:pPr>
        <w:pStyle w:val="Nadpis2"/>
      </w:pPr>
      <w:r w:rsidRPr="001235CB">
        <w:t xml:space="preserve">Tato smlouva nabývá platnosti dnem jejího podpisu oběma smluvními stranami, účinnosti pak nabývá dnem jejího zveřejnění v registru smluv. </w:t>
      </w:r>
    </w:p>
    <w:p w14:paraId="1864F43D" w14:textId="4A1AC29D" w:rsidR="006C2B80" w:rsidRPr="006C2B80" w:rsidRDefault="006C2B80" w:rsidP="0098303E">
      <w:pPr>
        <w:pStyle w:val="Nadpis2"/>
      </w:pPr>
      <w:r>
        <w:t>Smluvní strany souhlasí s tím, že smlouva bude za podmínek zákona č. 340/2015 Sb., o zvláštních podmínkách účinnosti některých smluv, uveřejňování těchto smluv a o registru smluv (zákon o registru smluv), v platném znění, uveřejněna v registru smluv. Uveřejnění zajistí Nabyvatel.</w:t>
      </w:r>
    </w:p>
    <w:p w14:paraId="233D1630" w14:textId="3508E553" w:rsidR="006C2B80" w:rsidRDefault="006C2B80" w:rsidP="0021556C">
      <w:pPr>
        <w:pStyle w:val="Nadpis2"/>
      </w:pPr>
      <w:r w:rsidRPr="006C2B80">
        <w:t xml:space="preserve">Návrh smlouvy bude poskytovatelem předložen v otevřeném čitelném formátu dle </w:t>
      </w:r>
      <w:proofErr w:type="spellStart"/>
      <w:r w:rsidRPr="006C2B80">
        <w:t>z.č</w:t>
      </w:r>
      <w:proofErr w:type="spellEnd"/>
      <w:r w:rsidRPr="006C2B80">
        <w:t>. 222/2015 Sb., o změně zákona o svobodném přístupu k informacím, z důvodu povinnosti zveřejňovat smlouvy dle zákona č. 34O/2015 Sb., o registru smluv, v platném znění.</w:t>
      </w:r>
    </w:p>
    <w:p w14:paraId="4ED63699" w14:textId="2ADA7F62" w:rsidR="006C2B80" w:rsidRDefault="006C2B80" w:rsidP="0021556C">
      <w:pPr>
        <w:pStyle w:val="Nadpis2"/>
      </w:pPr>
      <w:r w:rsidRPr="006C2B80">
        <w:t>V případě, že některé ustanovení této smlouvy je nebo se stane neúčinné, zůstávají ostatní ustanovení této smlouvy účinná. Strany této smlouvy se zavazují nahradit neúčinné ustanoveni této smlouvy ustanovením jiným, účinným, které svým obsahem a smyslem odpovídá nejlépe obsahu a smyslu ustanovení původního, neúčinného a úmyslu obou smluvních stran v den uzavření této smlouvy.</w:t>
      </w:r>
    </w:p>
    <w:p w14:paraId="20CEE7A8" w14:textId="4CF42FAF" w:rsidR="00E72796" w:rsidRPr="006A477C" w:rsidRDefault="00E72796" w:rsidP="0021556C">
      <w:pPr>
        <w:pStyle w:val="Nadpis2"/>
      </w:pPr>
      <w:r w:rsidRPr="006A477C">
        <w:t xml:space="preserve">Smluvní strany činí nesporným, že jakékoli změny či doplnění této </w:t>
      </w:r>
      <w:r w:rsidR="00B15A4C">
        <w:t>Sml</w:t>
      </w:r>
      <w:r w:rsidRPr="006A477C">
        <w:t>ouvy mohou být provedeny pouze po vzájemném projednání formou písemných dodatků signovaných smluvními stranami.</w:t>
      </w:r>
    </w:p>
    <w:p w14:paraId="0AFF1247" w14:textId="3E0FB609" w:rsidR="00E72796" w:rsidRDefault="00E72796" w:rsidP="0021556C">
      <w:pPr>
        <w:pStyle w:val="Nadpis2"/>
      </w:pPr>
      <w:r w:rsidRPr="006A477C">
        <w:t xml:space="preserve">Smluvní strany prohlašují, že si tuto </w:t>
      </w:r>
      <w:r w:rsidR="00B15A4C">
        <w:t>Sml</w:t>
      </w:r>
      <w:r w:rsidRPr="006A477C">
        <w:t>ouvu před jejím podpisem přečetly, s jejím obsahem souhlasí, a že byla uzavřena po vzájemném projednání podle jejich pravé a svobodné vůle, přičemž její autentičnost stvrzují svými níže uvedenými podpisy.</w:t>
      </w:r>
    </w:p>
    <w:p w14:paraId="29B8972A" w14:textId="025F5082" w:rsidR="002055FE" w:rsidRPr="002712F3" w:rsidRDefault="002055FE" w:rsidP="00D4421D">
      <w:pPr>
        <w:pStyle w:val="Nadpis2"/>
      </w:pPr>
      <w:r w:rsidRPr="002712F3">
        <w:t>Tuto smlouvu lze ukončit zp</w:t>
      </w:r>
      <w:r>
        <w:t>ů</w:t>
      </w:r>
      <w:r w:rsidRPr="002712F3">
        <w:t>soby upravenými v občanském zákoníku.</w:t>
      </w:r>
      <w:r>
        <w:t xml:space="preserve"> </w:t>
      </w:r>
      <w:r w:rsidRPr="002712F3">
        <w:t>Od</w:t>
      </w:r>
      <w:r>
        <w:t xml:space="preserve"> </w:t>
      </w:r>
      <w:r w:rsidRPr="002712F3">
        <w:t>této</w:t>
      </w:r>
      <w:r>
        <w:t xml:space="preserve"> </w:t>
      </w:r>
      <w:r w:rsidRPr="002712F3">
        <w:t>smlouvy</w:t>
      </w:r>
      <w:r>
        <w:t xml:space="preserve"> </w:t>
      </w:r>
      <w:r w:rsidRPr="002712F3">
        <w:t>lze odstoupit,</w:t>
      </w:r>
      <w:r>
        <w:t xml:space="preserve"> </w:t>
      </w:r>
      <w:r w:rsidRPr="002712F3">
        <w:t>ujednají-li si to smluvní strany, nebo stanoví-li tak zákon.</w:t>
      </w:r>
    </w:p>
    <w:p w14:paraId="766CD4AE" w14:textId="77777777" w:rsidR="00E72796" w:rsidRDefault="00E72796" w:rsidP="00E72796">
      <w:pPr>
        <w:jc w:val="both"/>
        <w:rPr>
          <w:rFonts w:cs="Calibri"/>
          <w:szCs w:val="22"/>
        </w:rPr>
      </w:pPr>
      <w:bookmarkStart w:id="9" w:name="_Hlk499053438"/>
    </w:p>
    <w:p w14:paraId="4827FB77" w14:textId="77777777" w:rsidR="000E7946" w:rsidRPr="006A477C" w:rsidRDefault="000E7946" w:rsidP="000E7946">
      <w:pPr>
        <w:tabs>
          <w:tab w:val="center" w:pos="1985"/>
        </w:tabs>
        <w:jc w:val="both"/>
        <w:rPr>
          <w:rFonts w:cs="Calibri"/>
          <w:szCs w:val="22"/>
          <w:u w:val="single"/>
        </w:rPr>
      </w:pPr>
      <w:r w:rsidRPr="000E7946">
        <w:rPr>
          <w:rFonts w:cs="Calibri"/>
          <w:szCs w:val="22"/>
          <w:u w:val="single"/>
        </w:rPr>
        <w:t xml:space="preserve">Seznam příloh, jež tvoří nedílnou součást </w:t>
      </w:r>
      <w:r w:rsidR="00B15A4C">
        <w:rPr>
          <w:rFonts w:cs="Calibri"/>
          <w:szCs w:val="22"/>
          <w:u w:val="single"/>
        </w:rPr>
        <w:t>Sml</w:t>
      </w:r>
      <w:r w:rsidRPr="000E7946">
        <w:rPr>
          <w:rFonts w:cs="Calibri"/>
          <w:szCs w:val="22"/>
          <w:u w:val="single"/>
        </w:rPr>
        <w:t>ouvy</w:t>
      </w:r>
      <w:r w:rsidRPr="006A477C">
        <w:rPr>
          <w:rFonts w:cs="Calibri"/>
          <w:szCs w:val="22"/>
          <w:u w:val="single"/>
        </w:rPr>
        <w:t>:</w:t>
      </w:r>
    </w:p>
    <w:p w14:paraId="40E6DF91" w14:textId="77777777" w:rsidR="000E7946" w:rsidRPr="006A477C" w:rsidRDefault="000E7946" w:rsidP="000E7946">
      <w:pPr>
        <w:tabs>
          <w:tab w:val="center" w:pos="1985"/>
        </w:tabs>
        <w:jc w:val="both"/>
        <w:rPr>
          <w:rFonts w:cs="Calibri"/>
          <w:szCs w:val="22"/>
        </w:rPr>
      </w:pPr>
      <w:r w:rsidRPr="006A477C">
        <w:rPr>
          <w:rFonts w:cs="Calibri"/>
          <w:szCs w:val="22"/>
        </w:rPr>
        <w:t xml:space="preserve">Příloha č. 1 – </w:t>
      </w:r>
      <w:r>
        <w:rPr>
          <w:rFonts w:cs="Calibri"/>
          <w:szCs w:val="22"/>
        </w:rPr>
        <w:t xml:space="preserve">Rozsah </w:t>
      </w:r>
      <w:r w:rsidR="00E00CFE">
        <w:t>podlicence</w:t>
      </w:r>
      <w:r w:rsidR="00E00CFE" w:rsidRPr="00CD59B1">
        <w:t xml:space="preserve"> </w:t>
      </w:r>
      <w:r>
        <w:rPr>
          <w:rFonts w:cs="Calibri"/>
          <w:szCs w:val="22"/>
        </w:rPr>
        <w:t>HELIOS Orange</w:t>
      </w:r>
    </w:p>
    <w:p w14:paraId="741BA79F" w14:textId="77777777" w:rsidR="000E7946" w:rsidRPr="006A477C" w:rsidRDefault="000E7946" w:rsidP="000E7946">
      <w:pPr>
        <w:tabs>
          <w:tab w:val="center" w:pos="1985"/>
        </w:tabs>
        <w:jc w:val="both"/>
        <w:rPr>
          <w:rFonts w:cs="Calibri"/>
          <w:szCs w:val="22"/>
        </w:rPr>
      </w:pPr>
      <w:r w:rsidRPr="006A477C">
        <w:rPr>
          <w:rFonts w:cs="Calibri"/>
          <w:szCs w:val="22"/>
        </w:rPr>
        <w:t>Příloha č. 2 – Ceník poskytovaných služeb</w:t>
      </w:r>
    </w:p>
    <w:p w14:paraId="63FA78D1" w14:textId="77777777" w:rsidR="000E7946" w:rsidRPr="006A477C" w:rsidRDefault="000E7946" w:rsidP="000E7946">
      <w:pPr>
        <w:tabs>
          <w:tab w:val="center" w:pos="1985"/>
        </w:tabs>
        <w:jc w:val="both"/>
        <w:rPr>
          <w:rFonts w:cs="Calibri"/>
          <w:szCs w:val="22"/>
        </w:rPr>
      </w:pPr>
      <w:r w:rsidRPr="006A477C">
        <w:rPr>
          <w:rFonts w:cs="Calibri"/>
          <w:szCs w:val="22"/>
        </w:rPr>
        <w:t xml:space="preserve">Příloha č. 3 – </w:t>
      </w:r>
      <w:r>
        <w:rPr>
          <w:rFonts w:cs="Calibri"/>
          <w:szCs w:val="22"/>
        </w:rPr>
        <w:t>Implementační služby</w:t>
      </w:r>
    </w:p>
    <w:p w14:paraId="1AF9E616" w14:textId="77777777" w:rsidR="000E7946" w:rsidRPr="006A477C" w:rsidRDefault="000E7946" w:rsidP="000E7946">
      <w:pPr>
        <w:tabs>
          <w:tab w:val="center" w:pos="1985"/>
        </w:tabs>
        <w:jc w:val="both"/>
        <w:rPr>
          <w:rFonts w:cs="Calibri"/>
          <w:szCs w:val="22"/>
        </w:rPr>
      </w:pPr>
      <w:r w:rsidRPr="006A477C">
        <w:rPr>
          <w:rFonts w:cs="Calibri"/>
          <w:szCs w:val="22"/>
        </w:rPr>
        <w:t>Příloha č. 4 – Reklamační podmínky</w:t>
      </w:r>
    </w:p>
    <w:p w14:paraId="7FFC8CA4" w14:textId="77777777" w:rsidR="000E7946" w:rsidRPr="006A477C" w:rsidRDefault="000E7946" w:rsidP="000E7946">
      <w:pPr>
        <w:tabs>
          <w:tab w:val="center" w:pos="1985"/>
        </w:tabs>
        <w:jc w:val="both"/>
        <w:rPr>
          <w:rFonts w:cs="Calibri"/>
          <w:szCs w:val="22"/>
        </w:rPr>
      </w:pPr>
      <w:r w:rsidRPr="006A477C">
        <w:rPr>
          <w:rFonts w:cs="Calibri"/>
          <w:szCs w:val="22"/>
        </w:rPr>
        <w:t>Příloha č. 5 – Vzor provozního deníku</w:t>
      </w:r>
    </w:p>
    <w:p w14:paraId="16AC67B1" w14:textId="77777777" w:rsidR="000E7946" w:rsidRPr="006A477C" w:rsidRDefault="000E7946" w:rsidP="000E7946">
      <w:pPr>
        <w:rPr>
          <w:rFonts w:cs="Calibri"/>
          <w:szCs w:val="22"/>
        </w:rPr>
      </w:pPr>
      <w:r w:rsidRPr="006A477C">
        <w:rPr>
          <w:rFonts w:cs="Calibri"/>
          <w:szCs w:val="22"/>
        </w:rPr>
        <w:t xml:space="preserve">Příloha č. 6 – </w:t>
      </w:r>
      <w:r w:rsidRPr="006A477C">
        <w:rPr>
          <w:rFonts w:cs="Calibri"/>
          <w:bCs/>
          <w:kern w:val="36"/>
          <w:szCs w:val="22"/>
        </w:rPr>
        <w:t>Technologické nároky systému HELIOS O</w:t>
      </w:r>
      <w:r>
        <w:rPr>
          <w:rFonts w:cs="Calibri"/>
          <w:bCs/>
          <w:kern w:val="36"/>
          <w:szCs w:val="22"/>
        </w:rPr>
        <w:t>range pro minimální konfiguraci</w:t>
      </w:r>
    </w:p>
    <w:p w14:paraId="3A452C96" w14:textId="410943D7" w:rsidR="000E7946" w:rsidRPr="006A477C" w:rsidRDefault="000E7946" w:rsidP="000E7946">
      <w:pPr>
        <w:tabs>
          <w:tab w:val="center" w:pos="1985"/>
        </w:tabs>
        <w:jc w:val="both"/>
        <w:outlineLvl w:val="0"/>
        <w:rPr>
          <w:rFonts w:cs="Calibri"/>
          <w:szCs w:val="22"/>
        </w:rPr>
      </w:pPr>
      <w:r w:rsidRPr="006A477C">
        <w:rPr>
          <w:rFonts w:cs="Calibri"/>
          <w:szCs w:val="22"/>
        </w:rPr>
        <w:t xml:space="preserve">Příloha č. </w:t>
      </w:r>
      <w:r w:rsidR="00146980">
        <w:rPr>
          <w:rFonts w:cs="Calibri"/>
          <w:szCs w:val="22"/>
        </w:rPr>
        <w:t>7</w:t>
      </w:r>
      <w:r w:rsidRPr="006A477C">
        <w:rPr>
          <w:rFonts w:cs="Calibri"/>
          <w:b/>
          <w:bCs/>
          <w:szCs w:val="22"/>
        </w:rPr>
        <w:t xml:space="preserve"> – </w:t>
      </w:r>
      <w:r w:rsidRPr="006A477C">
        <w:rPr>
          <w:rFonts w:cs="Calibri"/>
          <w:szCs w:val="22"/>
        </w:rPr>
        <w:t>Doplňující obchodní podmínky pro službu</w:t>
      </w:r>
      <w:r w:rsidRPr="006A477C">
        <w:rPr>
          <w:rFonts w:cs="Calibri"/>
          <w:b/>
          <w:bCs/>
          <w:szCs w:val="22"/>
        </w:rPr>
        <w:t xml:space="preserve"> </w:t>
      </w:r>
      <w:r w:rsidR="00B15A4C" w:rsidRPr="00A80043">
        <w:t>Reporting.cz</w:t>
      </w:r>
    </w:p>
    <w:p w14:paraId="588C3D12" w14:textId="1E935AE4" w:rsidR="000E7946" w:rsidRPr="006A477C" w:rsidRDefault="000E7946" w:rsidP="002055FE">
      <w:pPr>
        <w:tabs>
          <w:tab w:val="center" w:pos="1985"/>
        </w:tabs>
        <w:jc w:val="both"/>
        <w:rPr>
          <w:rFonts w:cs="Calibri"/>
          <w:szCs w:val="22"/>
        </w:rPr>
      </w:pPr>
      <w:r w:rsidRPr="006A477C">
        <w:rPr>
          <w:rFonts w:cs="Calibri"/>
          <w:szCs w:val="22"/>
        </w:rPr>
        <w:t xml:space="preserve">Příloha č. </w:t>
      </w:r>
      <w:r w:rsidR="00146980">
        <w:rPr>
          <w:rFonts w:cs="Calibri"/>
          <w:szCs w:val="22"/>
        </w:rPr>
        <w:t>8</w:t>
      </w:r>
      <w:r w:rsidRPr="006A477C">
        <w:rPr>
          <w:rFonts w:cs="Calibri"/>
          <w:b/>
          <w:bCs/>
          <w:szCs w:val="22"/>
        </w:rPr>
        <w:t xml:space="preserve"> – </w:t>
      </w:r>
      <w:r w:rsidRPr="006A477C">
        <w:rPr>
          <w:rFonts w:cs="Calibri"/>
          <w:szCs w:val="22"/>
        </w:rPr>
        <w:t>Žádost o aktivaci Aplikace RCZ</w:t>
      </w:r>
    </w:p>
    <w:p w14:paraId="170FC26B" w14:textId="77777777" w:rsidR="00E72796" w:rsidRPr="006A477C" w:rsidRDefault="00E72796" w:rsidP="00E72796">
      <w:pPr>
        <w:jc w:val="both"/>
        <w:rPr>
          <w:rFonts w:cs="Calibri"/>
          <w:szCs w:val="22"/>
        </w:rPr>
      </w:pPr>
    </w:p>
    <w:tbl>
      <w:tblPr>
        <w:tblW w:w="0" w:type="auto"/>
        <w:tblLayout w:type="fixed"/>
        <w:tblCellMar>
          <w:left w:w="0" w:type="dxa"/>
          <w:right w:w="0" w:type="dxa"/>
        </w:tblCellMar>
        <w:tblLook w:val="01E0" w:firstRow="1" w:lastRow="1" w:firstColumn="1" w:lastColumn="1" w:noHBand="0" w:noVBand="0"/>
      </w:tblPr>
      <w:tblGrid>
        <w:gridCol w:w="4678"/>
        <w:gridCol w:w="4678"/>
      </w:tblGrid>
      <w:tr w:rsidR="00E72796" w:rsidRPr="006A477C" w14:paraId="1B8A9DFA" w14:textId="77777777" w:rsidTr="008370E0">
        <w:trPr>
          <w:trHeight w:val="2248"/>
        </w:trPr>
        <w:tc>
          <w:tcPr>
            <w:tcW w:w="4678" w:type="dxa"/>
          </w:tcPr>
          <w:p w14:paraId="52A24568" w14:textId="1BD127C7" w:rsidR="00E72796" w:rsidRPr="006A477C" w:rsidRDefault="00E72796" w:rsidP="00272A32">
            <w:pPr>
              <w:tabs>
                <w:tab w:val="center" w:pos="2127"/>
                <w:tab w:val="center" w:pos="6379"/>
              </w:tabs>
              <w:rPr>
                <w:rFonts w:cs="Calibri"/>
                <w:szCs w:val="22"/>
              </w:rPr>
            </w:pPr>
            <w:r w:rsidRPr="006A477C">
              <w:rPr>
                <w:rFonts w:cs="Calibri"/>
                <w:szCs w:val="22"/>
              </w:rPr>
              <w:t>V</w:t>
            </w:r>
            <w:r w:rsidR="008370E0">
              <w:rPr>
                <w:rFonts w:cs="Calibri"/>
                <w:szCs w:val="22"/>
              </w:rPr>
              <w:t xml:space="preserve"> Chrudim </w:t>
            </w:r>
            <w:r w:rsidR="0004331A">
              <w:rPr>
                <w:rFonts w:cs="Calibri"/>
                <w:szCs w:val="22"/>
              </w:rPr>
              <w:t>8.9.2021</w:t>
            </w:r>
          </w:p>
          <w:p w14:paraId="364D8C03" w14:textId="77777777" w:rsidR="00E72796" w:rsidRPr="006A477C" w:rsidRDefault="00E72796" w:rsidP="00272A32">
            <w:pPr>
              <w:tabs>
                <w:tab w:val="center" w:pos="2127"/>
                <w:tab w:val="center" w:pos="6379"/>
              </w:tabs>
              <w:rPr>
                <w:rFonts w:cs="Calibri"/>
                <w:szCs w:val="22"/>
              </w:rPr>
            </w:pPr>
          </w:p>
          <w:p w14:paraId="5F3A2998" w14:textId="16129FD1" w:rsidR="00E72796" w:rsidRPr="006A477C" w:rsidRDefault="00E72796" w:rsidP="00272A32">
            <w:pPr>
              <w:tabs>
                <w:tab w:val="center" w:pos="2127"/>
                <w:tab w:val="center" w:pos="6379"/>
              </w:tabs>
              <w:rPr>
                <w:rFonts w:cs="Calibri"/>
                <w:szCs w:val="22"/>
              </w:rPr>
            </w:pPr>
            <w:r w:rsidRPr="006A477C">
              <w:rPr>
                <w:rFonts w:cs="Calibri"/>
                <w:szCs w:val="22"/>
              </w:rPr>
              <w:t xml:space="preserve">Za </w:t>
            </w:r>
            <w:r w:rsidR="006A477C" w:rsidRPr="008370E0">
              <w:rPr>
                <w:rFonts w:cs="Calibri"/>
                <w:szCs w:val="22"/>
              </w:rPr>
              <w:t>Poskytovatele</w:t>
            </w:r>
          </w:p>
          <w:p w14:paraId="555A85FB" w14:textId="025ED0FC" w:rsidR="00E72796" w:rsidRDefault="00E72796" w:rsidP="00272A32">
            <w:pPr>
              <w:tabs>
                <w:tab w:val="center" w:pos="2127"/>
                <w:tab w:val="center" w:pos="6379"/>
              </w:tabs>
              <w:rPr>
                <w:rFonts w:cs="Calibri"/>
                <w:szCs w:val="22"/>
              </w:rPr>
            </w:pPr>
          </w:p>
          <w:p w14:paraId="0A8410EB" w14:textId="0789B1C9" w:rsidR="001F0806" w:rsidRDefault="001F0806" w:rsidP="00272A32">
            <w:pPr>
              <w:tabs>
                <w:tab w:val="center" w:pos="2127"/>
                <w:tab w:val="center" w:pos="6379"/>
              </w:tabs>
              <w:rPr>
                <w:rFonts w:cs="Calibri"/>
                <w:szCs w:val="22"/>
              </w:rPr>
            </w:pPr>
          </w:p>
          <w:p w14:paraId="6448B082" w14:textId="53A85D7E" w:rsidR="001F0806" w:rsidRDefault="001F0806" w:rsidP="00272A32">
            <w:pPr>
              <w:tabs>
                <w:tab w:val="center" w:pos="2127"/>
                <w:tab w:val="center" w:pos="6379"/>
              </w:tabs>
              <w:rPr>
                <w:rFonts w:cs="Calibri"/>
                <w:szCs w:val="22"/>
              </w:rPr>
            </w:pPr>
          </w:p>
          <w:p w14:paraId="7D1784AF" w14:textId="77777777" w:rsidR="001F0806" w:rsidRPr="006A477C" w:rsidRDefault="001F0806" w:rsidP="00272A32">
            <w:pPr>
              <w:tabs>
                <w:tab w:val="center" w:pos="2127"/>
                <w:tab w:val="center" w:pos="6379"/>
              </w:tabs>
              <w:rPr>
                <w:rFonts w:cs="Calibri"/>
                <w:szCs w:val="22"/>
              </w:rPr>
            </w:pPr>
          </w:p>
          <w:p w14:paraId="0CD2DF41" w14:textId="77777777" w:rsidR="00E72796" w:rsidRPr="006A477C" w:rsidRDefault="00E72796" w:rsidP="00272A32">
            <w:pPr>
              <w:keepLines/>
              <w:tabs>
                <w:tab w:val="center" w:pos="2552"/>
                <w:tab w:val="center" w:pos="6804"/>
              </w:tabs>
              <w:rPr>
                <w:rFonts w:cs="Calibri"/>
                <w:szCs w:val="22"/>
              </w:rPr>
            </w:pPr>
            <w:r w:rsidRPr="006A477C">
              <w:rPr>
                <w:rFonts w:cs="Calibri"/>
                <w:szCs w:val="22"/>
              </w:rPr>
              <w:t>…………………………………………………</w:t>
            </w:r>
          </w:p>
          <w:p w14:paraId="10CB77C4" w14:textId="3CDD9BF2" w:rsidR="00E72796" w:rsidRPr="008370E0" w:rsidRDefault="008370E0" w:rsidP="00272A32">
            <w:pPr>
              <w:keepNext/>
              <w:keepLines/>
              <w:tabs>
                <w:tab w:val="center" w:pos="2552"/>
                <w:tab w:val="center" w:pos="6804"/>
              </w:tabs>
              <w:rPr>
                <w:rFonts w:cs="Calibri"/>
                <w:szCs w:val="22"/>
              </w:rPr>
            </w:pPr>
            <w:r>
              <w:rPr>
                <w:rFonts w:cs="Calibri"/>
                <w:szCs w:val="22"/>
              </w:rPr>
              <w:t xml:space="preserve">         </w:t>
            </w:r>
            <w:r w:rsidRPr="008370E0">
              <w:rPr>
                <w:rFonts w:cs="Calibri"/>
                <w:szCs w:val="22"/>
              </w:rPr>
              <w:t>Ing. Jaromír Zajíček</w:t>
            </w:r>
          </w:p>
          <w:p w14:paraId="68BE41B0" w14:textId="1CB46E8E" w:rsidR="00E72796" w:rsidRPr="006A477C" w:rsidRDefault="008370E0" w:rsidP="00272A32">
            <w:pPr>
              <w:keepNext/>
              <w:keepLines/>
              <w:tabs>
                <w:tab w:val="center" w:pos="2552"/>
                <w:tab w:val="center" w:pos="6804"/>
              </w:tabs>
              <w:rPr>
                <w:rFonts w:cs="Calibri"/>
                <w:szCs w:val="22"/>
              </w:rPr>
            </w:pPr>
            <w:r>
              <w:rPr>
                <w:rFonts w:cs="Calibri"/>
                <w:szCs w:val="22"/>
              </w:rPr>
              <w:t xml:space="preserve">         </w:t>
            </w:r>
            <w:r w:rsidRPr="008370E0">
              <w:rPr>
                <w:rFonts w:cs="Calibri"/>
                <w:sz w:val="20"/>
              </w:rPr>
              <w:t>jednatel společnosti</w:t>
            </w:r>
            <w:r w:rsidR="00E72796" w:rsidRPr="008370E0">
              <w:rPr>
                <w:rFonts w:cs="Calibri"/>
                <w:sz w:val="20"/>
              </w:rPr>
              <w:t xml:space="preserve"> </w:t>
            </w:r>
          </w:p>
        </w:tc>
        <w:tc>
          <w:tcPr>
            <w:tcW w:w="4678" w:type="dxa"/>
          </w:tcPr>
          <w:p w14:paraId="65EAF293" w14:textId="0D4D6EE6" w:rsidR="00E72796" w:rsidRPr="006A477C" w:rsidRDefault="00E72796" w:rsidP="00272A32">
            <w:pPr>
              <w:tabs>
                <w:tab w:val="center" w:pos="2127"/>
                <w:tab w:val="center" w:pos="6379"/>
              </w:tabs>
              <w:rPr>
                <w:rFonts w:cs="Calibri"/>
                <w:szCs w:val="22"/>
              </w:rPr>
            </w:pPr>
            <w:r w:rsidRPr="006A477C">
              <w:rPr>
                <w:rFonts w:cs="Calibri"/>
                <w:szCs w:val="22"/>
              </w:rPr>
              <w:t>V</w:t>
            </w:r>
            <w:r w:rsidR="008370E0">
              <w:rPr>
                <w:rFonts w:cs="Calibri"/>
                <w:szCs w:val="22"/>
              </w:rPr>
              <w:t xml:space="preserve"> Opavě </w:t>
            </w:r>
            <w:r w:rsidR="0004331A">
              <w:rPr>
                <w:rFonts w:cs="Calibri"/>
                <w:szCs w:val="22"/>
              </w:rPr>
              <w:t>16.9.2021</w:t>
            </w:r>
            <w:bookmarkStart w:id="10" w:name="_GoBack"/>
            <w:bookmarkEnd w:id="10"/>
          </w:p>
          <w:p w14:paraId="0168D1FD" w14:textId="77777777" w:rsidR="00E72796" w:rsidRPr="006A477C" w:rsidRDefault="00E72796" w:rsidP="00272A32">
            <w:pPr>
              <w:tabs>
                <w:tab w:val="center" w:pos="2127"/>
                <w:tab w:val="center" w:pos="6379"/>
              </w:tabs>
              <w:rPr>
                <w:rFonts w:cs="Calibri"/>
                <w:szCs w:val="22"/>
              </w:rPr>
            </w:pPr>
          </w:p>
          <w:p w14:paraId="50EFE190" w14:textId="6389D73C" w:rsidR="00E72796" w:rsidRPr="006A477C" w:rsidRDefault="00E72796" w:rsidP="00272A32">
            <w:pPr>
              <w:tabs>
                <w:tab w:val="center" w:pos="2127"/>
                <w:tab w:val="center" w:pos="6379"/>
              </w:tabs>
              <w:rPr>
                <w:rFonts w:cs="Calibri"/>
                <w:szCs w:val="22"/>
              </w:rPr>
            </w:pPr>
            <w:r w:rsidRPr="006A477C">
              <w:rPr>
                <w:rFonts w:cs="Calibri"/>
                <w:szCs w:val="22"/>
              </w:rPr>
              <w:t xml:space="preserve">Za </w:t>
            </w:r>
            <w:r w:rsidR="006A477C" w:rsidRPr="008370E0">
              <w:rPr>
                <w:rFonts w:cs="Calibri"/>
                <w:szCs w:val="22"/>
              </w:rPr>
              <w:t>Nabyvatele</w:t>
            </w:r>
          </w:p>
          <w:p w14:paraId="1DAD21B7" w14:textId="0A4A2C95" w:rsidR="00E72796" w:rsidRDefault="00E72796" w:rsidP="00272A32">
            <w:pPr>
              <w:tabs>
                <w:tab w:val="center" w:pos="2127"/>
                <w:tab w:val="center" w:pos="6379"/>
              </w:tabs>
              <w:rPr>
                <w:rFonts w:cs="Calibri"/>
                <w:szCs w:val="22"/>
              </w:rPr>
            </w:pPr>
          </w:p>
          <w:p w14:paraId="5A9CFF1C" w14:textId="53F3AABD" w:rsidR="001F0806" w:rsidRDefault="001F0806" w:rsidP="00272A32">
            <w:pPr>
              <w:tabs>
                <w:tab w:val="center" w:pos="2127"/>
                <w:tab w:val="center" w:pos="6379"/>
              </w:tabs>
              <w:rPr>
                <w:rFonts w:cs="Calibri"/>
                <w:szCs w:val="22"/>
              </w:rPr>
            </w:pPr>
          </w:p>
          <w:p w14:paraId="0225231B" w14:textId="77777777" w:rsidR="001F0806" w:rsidRPr="006A477C" w:rsidRDefault="001F0806" w:rsidP="00272A32">
            <w:pPr>
              <w:tabs>
                <w:tab w:val="center" w:pos="2127"/>
                <w:tab w:val="center" w:pos="6379"/>
              </w:tabs>
              <w:rPr>
                <w:rFonts w:cs="Calibri"/>
                <w:szCs w:val="22"/>
              </w:rPr>
            </w:pPr>
          </w:p>
          <w:p w14:paraId="15F31923" w14:textId="77777777" w:rsidR="00E72796" w:rsidRPr="006A477C" w:rsidRDefault="00E72796" w:rsidP="00272A32">
            <w:pPr>
              <w:tabs>
                <w:tab w:val="center" w:pos="2127"/>
                <w:tab w:val="center" w:pos="6379"/>
              </w:tabs>
              <w:rPr>
                <w:rFonts w:cs="Calibri"/>
                <w:szCs w:val="22"/>
              </w:rPr>
            </w:pPr>
          </w:p>
          <w:p w14:paraId="2A181B46" w14:textId="77777777" w:rsidR="00E72796" w:rsidRPr="006A477C" w:rsidRDefault="00E72796" w:rsidP="00272A32">
            <w:pPr>
              <w:keepNext/>
              <w:keepLines/>
              <w:tabs>
                <w:tab w:val="center" w:pos="2552"/>
                <w:tab w:val="center" w:pos="6804"/>
              </w:tabs>
              <w:rPr>
                <w:rFonts w:cs="Calibri"/>
                <w:szCs w:val="22"/>
              </w:rPr>
            </w:pPr>
            <w:r w:rsidRPr="006A477C">
              <w:rPr>
                <w:rFonts w:cs="Calibri"/>
                <w:szCs w:val="22"/>
              </w:rPr>
              <w:t>…………………………………………………………</w:t>
            </w:r>
          </w:p>
          <w:p w14:paraId="79DB11CF" w14:textId="0AA6B793" w:rsidR="00E72796" w:rsidRPr="008370E0" w:rsidRDefault="008370E0" w:rsidP="00272A32">
            <w:pPr>
              <w:keepNext/>
              <w:keepLines/>
              <w:tabs>
                <w:tab w:val="center" w:pos="2552"/>
                <w:tab w:val="center" w:pos="6804"/>
              </w:tabs>
              <w:rPr>
                <w:rFonts w:cs="Calibri"/>
                <w:szCs w:val="22"/>
              </w:rPr>
            </w:pPr>
            <w:r w:rsidRPr="008370E0">
              <w:rPr>
                <w:rFonts w:cs="Calibri"/>
                <w:szCs w:val="22"/>
              </w:rPr>
              <w:t xml:space="preserve">                  Ing. Zdeněk Jiříček</w:t>
            </w:r>
          </w:p>
          <w:p w14:paraId="64473A0B" w14:textId="161C192A" w:rsidR="00E72796" w:rsidRPr="006A477C" w:rsidRDefault="008370E0" w:rsidP="000E7946">
            <w:pPr>
              <w:keepNext/>
              <w:keepLines/>
              <w:tabs>
                <w:tab w:val="center" w:pos="2552"/>
                <w:tab w:val="center" w:pos="6804"/>
              </w:tabs>
              <w:rPr>
                <w:rFonts w:cs="Calibri"/>
                <w:szCs w:val="22"/>
              </w:rPr>
            </w:pPr>
            <w:r>
              <w:rPr>
                <w:rFonts w:cs="Calibri"/>
                <w:szCs w:val="22"/>
              </w:rPr>
              <w:t xml:space="preserve">                   </w:t>
            </w:r>
            <w:r w:rsidRPr="008370E0">
              <w:rPr>
                <w:rFonts w:cs="Calibri"/>
                <w:sz w:val="20"/>
              </w:rPr>
              <w:t>ředitel nemocnice</w:t>
            </w:r>
          </w:p>
        </w:tc>
      </w:tr>
    </w:tbl>
    <w:p w14:paraId="2FDB3B77" w14:textId="77777777" w:rsidR="006A477C" w:rsidRDefault="006A477C" w:rsidP="00E72796">
      <w:pPr>
        <w:tabs>
          <w:tab w:val="center" w:pos="1985"/>
        </w:tabs>
        <w:jc w:val="both"/>
        <w:rPr>
          <w:rFonts w:cs="Calibri"/>
          <w:szCs w:val="22"/>
        </w:rPr>
      </w:pPr>
    </w:p>
    <w:p w14:paraId="737E05A0" w14:textId="3A130F7C" w:rsidR="00C14D6E" w:rsidRPr="002055FE" w:rsidRDefault="006A477C" w:rsidP="002055FE">
      <w:pPr>
        <w:tabs>
          <w:tab w:val="center" w:pos="1985"/>
        </w:tabs>
        <w:jc w:val="both"/>
        <w:rPr>
          <w:rFonts w:cs="Calibri"/>
          <w:szCs w:val="22"/>
        </w:rPr>
      </w:pPr>
      <w:r>
        <w:rPr>
          <w:rFonts w:cs="Calibri"/>
          <w:szCs w:val="22"/>
        </w:rPr>
        <w:br w:type="page"/>
      </w:r>
      <w:bookmarkEnd w:id="7"/>
      <w:bookmarkEnd w:id="9"/>
      <w:r w:rsidR="00423622" w:rsidRPr="001C1077">
        <w:rPr>
          <w:b/>
          <w:bCs/>
        </w:rPr>
        <w:lastRenderedPageBreak/>
        <w:t>Příloha č. 1</w:t>
      </w:r>
      <w:r w:rsidR="001C1077">
        <w:rPr>
          <w:b/>
          <w:bCs/>
        </w:rPr>
        <w:t>:</w:t>
      </w:r>
      <w:r w:rsidR="001C1077" w:rsidRPr="001C1077">
        <w:rPr>
          <w:b/>
          <w:bCs/>
        </w:rPr>
        <w:t xml:space="preserve"> </w:t>
      </w:r>
      <w:r w:rsidR="00D14EEB" w:rsidRPr="001C1077">
        <w:rPr>
          <w:b/>
          <w:bCs/>
        </w:rPr>
        <w:t xml:space="preserve">Rozsah </w:t>
      </w:r>
      <w:r w:rsidR="00E00CFE" w:rsidRPr="00E00CFE">
        <w:rPr>
          <w:b/>
          <w:bCs/>
        </w:rPr>
        <w:t xml:space="preserve">podlicence </w:t>
      </w:r>
      <w:r w:rsidR="00D14EEB" w:rsidRPr="001C1077">
        <w:rPr>
          <w:b/>
          <w:bCs/>
        </w:rPr>
        <w:t>HELIOS Orange</w:t>
      </w:r>
    </w:p>
    <w:p w14:paraId="44AAC230" w14:textId="77777777" w:rsidR="00C14D6E" w:rsidRPr="001E2811" w:rsidRDefault="00C14D6E" w:rsidP="00C14D6E">
      <w:pPr>
        <w:tabs>
          <w:tab w:val="center" w:pos="1985"/>
        </w:tabs>
        <w:jc w:val="both"/>
        <w:rPr>
          <w:rFonts w:cs="Calibri"/>
          <w:szCs w:val="22"/>
        </w:rPr>
      </w:pPr>
    </w:p>
    <w:p w14:paraId="69C8D6B3" w14:textId="516A4CCF" w:rsidR="00C14D6E" w:rsidRDefault="00C14D6E" w:rsidP="00C14D6E">
      <w:pPr>
        <w:spacing w:line="260" w:lineRule="exact"/>
        <w:jc w:val="both"/>
        <w:rPr>
          <w:rFonts w:cs="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4"/>
        <w:gridCol w:w="1278"/>
      </w:tblGrid>
      <w:tr w:rsidR="00C47821" w14:paraId="5CDD2613"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00A3E0"/>
            <w:vAlign w:val="center"/>
            <w:hideMark/>
          </w:tcPr>
          <w:p w14:paraId="1614B28B" w14:textId="77777777" w:rsidR="00C47821" w:rsidRDefault="00C47821" w:rsidP="00994068">
            <w:pPr>
              <w:pStyle w:val="NormalText"/>
              <w:spacing w:after="0"/>
              <w:jc w:val="center"/>
            </w:pPr>
            <w:r w:rsidRPr="003F46E2">
              <w:rPr>
                <w:b/>
                <w:color w:val="FFFFFF"/>
                <w:sz w:val="22"/>
              </w:rPr>
              <w:t>Název</w:t>
            </w:r>
          </w:p>
        </w:tc>
        <w:tc>
          <w:tcPr>
            <w:tcW w:w="1345" w:type="dxa"/>
            <w:tcBorders>
              <w:top w:val="single" w:sz="4" w:space="0" w:color="000000"/>
              <w:left w:val="single" w:sz="4" w:space="0" w:color="000000"/>
              <w:bottom w:val="single" w:sz="4" w:space="0" w:color="000000"/>
              <w:right w:val="single" w:sz="4" w:space="0" w:color="000000"/>
            </w:tcBorders>
            <w:shd w:val="clear" w:color="auto" w:fill="00A3E0"/>
            <w:vAlign w:val="center"/>
            <w:hideMark/>
          </w:tcPr>
          <w:p w14:paraId="33123738" w14:textId="77777777" w:rsidR="00C47821" w:rsidRPr="003F46E2" w:rsidRDefault="00C47821" w:rsidP="00994068">
            <w:pPr>
              <w:pStyle w:val="NormalText"/>
              <w:spacing w:after="0"/>
              <w:jc w:val="center"/>
              <w:rPr>
                <w:b/>
                <w:color w:val="FFFFFF"/>
                <w:sz w:val="22"/>
              </w:rPr>
            </w:pPr>
            <w:r w:rsidRPr="003F46E2">
              <w:rPr>
                <w:b/>
                <w:color w:val="FFFFFF"/>
                <w:sz w:val="22"/>
              </w:rPr>
              <w:t>Počet</w:t>
            </w:r>
          </w:p>
        </w:tc>
      </w:tr>
      <w:tr w:rsidR="00C47821" w14:paraId="07E52DD1"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2B0A92BA" w14:textId="77777777" w:rsidR="00C47821" w:rsidRPr="003F46E2" w:rsidRDefault="00C47821" w:rsidP="00994068">
            <w:pPr>
              <w:pStyle w:val="NormalText"/>
              <w:spacing w:after="0"/>
              <w:rPr>
                <w:b/>
                <w:color w:val="FFFFFF"/>
                <w:sz w:val="22"/>
              </w:rPr>
            </w:pPr>
            <w:r w:rsidRPr="003F46E2">
              <w:rPr>
                <w:b/>
              </w:rPr>
              <w:t>Systém</w:t>
            </w:r>
          </w:p>
        </w:tc>
        <w:tc>
          <w:tcPr>
            <w:tcW w:w="134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4FABABA8" w14:textId="77777777" w:rsidR="00C47821" w:rsidRPr="003F46E2" w:rsidRDefault="00C47821" w:rsidP="00994068">
            <w:pPr>
              <w:pStyle w:val="NormalText"/>
              <w:spacing w:after="0"/>
              <w:jc w:val="center"/>
              <w:rPr>
                <w:b/>
                <w:color w:val="FFFFFF"/>
                <w:sz w:val="22"/>
              </w:rPr>
            </w:pPr>
          </w:p>
        </w:tc>
      </w:tr>
      <w:tr w:rsidR="00C47821" w14:paraId="0BA36687"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B5FF9" w14:textId="77777777" w:rsidR="00C47821" w:rsidRPr="003F46E2" w:rsidRDefault="00C47821" w:rsidP="00994068">
            <w:pPr>
              <w:pStyle w:val="NormalText"/>
              <w:spacing w:after="0"/>
              <w:rPr>
                <w:b/>
              </w:rPr>
            </w:pPr>
            <w:r>
              <w:t>Počet zpracovávaných databází (+n cvičných)</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DC45F" w14:textId="77777777" w:rsidR="00C47821" w:rsidRDefault="00C47821" w:rsidP="00994068">
            <w:pPr>
              <w:pStyle w:val="NormalText"/>
              <w:spacing w:after="0"/>
              <w:jc w:val="center"/>
            </w:pPr>
            <w:r>
              <w:t>1</w:t>
            </w:r>
          </w:p>
        </w:tc>
      </w:tr>
      <w:tr w:rsidR="00C47821" w14:paraId="68FE357D"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0FFD2" w14:textId="77777777" w:rsidR="00C47821" w:rsidRDefault="00C47821" w:rsidP="00994068">
            <w:pPr>
              <w:pStyle w:val="NormalText"/>
              <w:spacing w:after="0"/>
            </w:pPr>
            <w:r>
              <w:t>Jádro systému</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2C64C" w14:textId="77777777" w:rsidR="00C47821" w:rsidRDefault="00C47821" w:rsidP="00994068">
            <w:pPr>
              <w:pStyle w:val="NormalText"/>
              <w:spacing w:after="0"/>
              <w:jc w:val="center"/>
            </w:pPr>
            <w:r>
              <w:t>25</w:t>
            </w:r>
          </w:p>
        </w:tc>
      </w:tr>
      <w:tr w:rsidR="00C47821" w14:paraId="62D0E817"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6DB1E" w14:textId="77777777" w:rsidR="00C47821" w:rsidRDefault="00C47821" w:rsidP="00994068">
            <w:pPr>
              <w:pStyle w:val="NormalText"/>
              <w:spacing w:after="0"/>
            </w:pPr>
            <w:r>
              <w:t>Nástroje pro řízení procesů</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0FE84" w14:textId="77777777" w:rsidR="00C47821" w:rsidRDefault="00C47821" w:rsidP="00994068">
            <w:pPr>
              <w:pStyle w:val="NormalText"/>
              <w:spacing w:after="0"/>
              <w:jc w:val="center"/>
            </w:pPr>
            <w:r>
              <w:t>√</w:t>
            </w:r>
          </w:p>
        </w:tc>
      </w:tr>
      <w:tr w:rsidR="00C47821" w14:paraId="16DA9B61"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64A7E8" w14:textId="77777777" w:rsidR="00C47821" w:rsidRDefault="00C47821" w:rsidP="00994068">
            <w:pPr>
              <w:pStyle w:val="NormalText"/>
              <w:spacing w:after="0"/>
            </w:pPr>
            <w:r>
              <w:t>Nástroje vizualizace</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A11D3" w14:textId="77777777" w:rsidR="00C47821" w:rsidRDefault="00C47821" w:rsidP="00994068">
            <w:pPr>
              <w:pStyle w:val="NormalText"/>
              <w:spacing w:after="0"/>
              <w:jc w:val="center"/>
            </w:pPr>
            <w:r>
              <w:t>√</w:t>
            </w:r>
          </w:p>
        </w:tc>
      </w:tr>
      <w:tr w:rsidR="00C47821" w14:paraId="2B589BB0"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795E7" w14:textId="77777777" w:rsidR="00C47821" w:rsidRDefault="00C47821" w:rsidP="00994068">
            <w:pPr>
              <w:pStyle w:val="NormalText"/>
              <w:spacing w:after="0"/>
            </w:pPr>
            <w:r>
              <w:t>Nástroje customizace</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EAB90" w14:textId="77777777" w:rsidR="00C47821" w:rsidRDefault="00C47821" w:rsidP="00994068">
            <w:pPr>
              <w:pStyle w:val="NormalText"/>
              <w:spacing w:after="0"/>
              <w:jc w:val="center"/>
            </w:pPr>
            <w:r>
              <w:t>√</w:t>
            </w:r>
          </w:p>
        </w:tc>
      </w:tr>
      <w:tr w:rsidR="00C47821" w14:paraId="766EA696"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989D4" w14:textId="77777777" w:rsidR="00C47821" w:rsidRDefault="00C47821" w:rsidP="00994068">
            <w:pPr>
              <w:pStyle w:val="NormalText"/>
              <w:spacing w:after="0"/>
            </w:pPr>
            <w:r>
              <w:t xml:space="preserve">Správa osobních </w:t>
            </w:r>
            <w:proofErr w:type="gramStart"/>
            <w:r>
              <w:t>údajů - rozšířené</w:t>
            </w:r>
            <w:proofErr w:type="gramEnd"/>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94A27" w14:textId="77777777" w:rsidR="00C47821" w:rsidRDefault="00C47821" w:rsidP="00994068">
            <w:pPr>
              <w:pStyle w:val="NormalText"/>
              <w:spacing w:after="0"/>
              <w:jc w:val="center"/>
            </w:pPr>
            <w:r>
              <w:t>√</w:t>
            </w:r>
          </w:p>
        </w:tc>
      </w:tr>
      <w:tr w:rsidR="00C47821" w14:paraId="39A38B11"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0DF9CDCB" w14:textId="77777777" w:rsidR="00C47821" w:rsidRDefault="00C47821" w:rsidP="00994068">
            <w:pPr>
              <w:pStyle w:val="NormalText"/>
              <w:spacing w:after="0"/>
            </w:pPr>
            <w:r w:rsidRPr="003F46E2">
              <w:rPr>
                <w:b/>
              </w:rPr>
              <w:t>Komunikace s bankami</w:t>
            </w:r>
          </w:p>
        </w:tc>
        <w:tc>
          <w:tcPr>
            <w:tcW w:w="134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43589D9E" w14:textId="77777777" w:rsidR="00C47821" w:rsidRDefault="00C47821" w:rsidP="00994068">
            <w:pPr>
              <w:pStyle w:val="NormalText"/>
              <w:spacing w:after="0"/>
              <w:jc w:val="center"/>
            </w:pPr>
          </w:p>
        </w:tc>
      </w:tr>
      <w:tr w:rsidR="00C47821" w14:paraId="19C416CE"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AEEC1" w14:textId="77777777" w:rsidR="00C47821" w:rsidRPr="003F46E2" w:rsidRDefault="00C47821" w:rsidP="00994068">
            <w:pPr>
              <w:pStyle w:val="NormalText"/>
              <w:spacing w:after="0"/>
              <w:rPr>
                <w:b/>
              </w:rPr>
            </w:pPr>
            <w:r>
              <w:t xml:space="preserve">RP El. komunikace - </w:t>
            </w:r>
            <w:proofErr w:type="gramStart"/>
            <w:r>
              <w:t>CZ(</w:t>
            </w:r>
            <w:proofErr w:type="gramEnd"/>
            <w:r>
              <w:t>0100) Komerční banka, a.s.</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464B4F" w14:textId="77777777" w:rsidR="00C47821" w:rsidRDefault="00C47821" w:rsidP="00994068">
            <w:pPr>
              <w:pStyle w:val="NormalText"/>
              <w:spacing w:after="0"/>
              <w:jc w:val="center"/>
            </w:pPr>
            <w:r>
              <w:t>√</w:t>
            </w:r>
          </w:p>
        </w:tc>
      </w:tr>
      <w:tr w:rsidR="00C47821" w14:paraId="7F5D4D6F"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B8F1E" w14:textId="77777777" w:rsidR="00C47821" w:rsidRDefault="00C47821" w:rsidP="00994068">
            <w:pPr>
              <w:pStyle w:val="NormalText"/>
              <w:spacing w:after="0"/>
            </w:pPr>
            <w:r>
              <w:t xml:space="preserve">RP El. komunikace - </w:t>
            </w:r>
            <w:proofErr w:type="gramStart"/>
            <w:r>
              <w:t>CZ(</w:t>
            </w:r>
            <w:proofErr w:type="gramEnd"/>
            <w:r>
              <w:t>0710) Česká národní banka</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E20CD" w14:textId="77777777" w:rsidR="00C47821" w:rsidRDefault="00C47821" w:rsidP="00994068">
            <w:pPr>
              <w:pStyle w:val="NormalText"/>
              <w:spacing w:after="0"/>
              <w:jc w:val="center"/>
            </w:pPr>
            <w:r>
              <w:t>√</w:t>
            </w:r>
          </w:p>
        </w:tc>
      </w:tr>
      <w:tr w:rsidR="00C47821" w14:paraId="04272091"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397089EB" w14:textId="77777777" w:rsidR="00C47821" w:rsidRDefault="00C47821" w:rsidP="00994068">
            <w:pPr>
              <w:pStyle w:val="NormalText"/>
              <w:spacing w:after="0"/>
            </w:pPr>
            <w:r w:rsidRPr="003F46E2">
              <w:rPr>
                <w:b/>
              </w:rPr>
              <w:t>Ekonomika a finanční řízení</w:t>
            </w:r>
          </w:p>
        </w:tc>
        <w:tc>
          <w:tcPr>
            <w:tcW w:w="134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2D67DA1C" w14:textId="77777777" w:rsidR="00C47821" w:rsidRDefault="00C47821" w:rsidP="00994068">
            <w:pPr>
              <w:pStyle w:val="NormalText"/>
              <w:spacing w:after="0"/>
              <w:jc w:val="center"/>
            </w:pPr>
          </w:p>
        </w:tc>
      </w:tr>
      <w:tr w:rsidR="00C47821" w14:paraId="43B5A9F9"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91D96" w14:textId="77777777" w:rsidR="00C47821" w:rsidRPr="003F46E2" w:rsidRDefault="00C47821" w:rsidP="00994068">
            <w:pPr>
              <w:pStyle w:val="NormalText"/>
              <w:spacing w:after="0"/>
              <w:rPr>
                <w:b/>
              </w:rPr>
            </w:pPr>
            <w:r>
              <w:t>Účetnictví</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0E534" w14:textId="77777777" w:rsidR="00C47821" w:rsidRDefault="00C47821" w:rsidP="00994068">
            <w:pPr>
              <w:pStyle w:val="NormalText"/>
              <w:spacing w:after="0"/>
              <w:jc w:val="center"/>
            </w:pPr>
            <w:r>
              <w:t>5</w:t>
            </w:r>
          </w:p>
        </w:tc>
      </w:tr>
      <w:tr w:rsidR="00C47821" w14:paraId="1EBE89D7"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68422" w14:textId="77777777" w:rsidR="00C47821" w:rsidRDefault="00C47821" w:rsidP="00994068">
            <w:pPr>
              <w:pStyle w:val="NormalText"/>
              <w:spacing w:after="0"/>
            </w:pPr>
            <w:r>
              <w:t>Rozpouštění a přeúčtování režií</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47DB8D" w14:textId="77777777" w:rsidR="00C47821" w:rsidRDefault="00C47821" w:rsidP="00994068">
            <w:pPr>
              <w:pStyle w:val="NormalText"/>
              <w:spacing w:after="0"/>
              <w:jc w:val="center"/>
            </w:pPr>
            <w:r>
              <w:t>1</w:t>
            </w:r>
          </w:p>
        </w:tc>
      </w:tr>
      <w:tr w:rsidR="00C47821" w14:paraId="4D0D7D4E"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AB9E0" w14:textId="77777777" w:rsidR="00C47821" w:rsidRDefault="00C47821" w:rsidP="00994068">
            <w:pPr>
              <w:pStyle w:val="NormalText"/>
              <w:spacing w:after="0"/>
            </w:pPr>
            <w:r>
              <w:t>Dodatečné související náklady</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985C4" w14:textId="77777777" w:rsidR="00C47821" w:rsidRDefault="00C47821" w:rsidP="00994068">
            <w:pPr>
              <w:pStyle w:val="NormalText"/>
              <w:spacing w:after="0"/>
              <w:jc w:val="center"/>
            </w:pPr>
            <w:r>
              <w:t>1</w:t>
            </w:r>
          </w:p>
        </w:tc>
      </w:tr>
      <w:tr w:rsidR="00C47821" w14:paraId="05AD4359"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CEFA8" w14:textId="77777777" w:rsidR="00C47821" w:rsidRDefault="00C47821" w:rsidP="00994068">
            <w:pPr>
              <w:pStyle w:val="NormalText"/>
              <w:spacing w:after="0"/>
            </w:pPr>
            <w:r>
              <w:t>Pokladna</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2BD19" w14:textId="77777777" w:rsidR="00C47821" w:rsidRDefault="00C47821" w:rsidP="00994068">
            <w:pPr>
              <w:pStyle w:val="NormalText"/>
              <w:spacing w:after="0"/>
              <w:jc w:val="center"/>
            </w:pPr>
            <w:r>
              <w:t>3</w:t>
            </w:r>
          </w:p>
        </w:tc>
      </w:tr>
      <w:tr w:rsidR="00C47821" w14:paraId="723DD90F"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FD69F2" w14:textId="77777777" w:rsidR="00C47821" w:rsidRDefault="00C47821" w:rsidP="00994068">
            <w:pPr>
              <w:pStyle w:val="NormalText"/>
              <w:spacing w:after="0"/>
            </w:pPr>
            <w:r>
              <w:t>Majetek</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66718" w14:textId="77777777" w:rsidR="00C47821" w:rsidRDefault="00C47821" w:rsidP="00994068">
            <w:pPr>
              <w:pStyle w:val="NormalText"/>
              <w:spacing w:after="0"/>
              <w:jc w:val="center"/>
            </w:pPr>
            <w:r>
              <w:t>2</w:t>
            </w:r>
          </w:p>
        </w:tc>
      </w:tr>
      <w:tr w:rsidR="00C47821" w14:paraId="717A3AF7"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49BD1061" w14:textId="77777777" w:rsidR="00C47821" w:rsidRDefault="00C47821" w:rsidP="00994068">
            <w:pPr>
              <w:pStyle w:val="NormalText"/>
              <w:spacing w:after="0"/>
            </w:pPr>
            <w:r w:rsidRPr="003F46E2">
              <w:rPr>
                <w:b/>
              </w:rPr>
              <w:t>HELIOS controlling</w:t>
            </w:r>
          </w:p>
        </w:tc>
        <w:tc>
          <w:tcPr>
            <w:tcW w:w="134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752A43DC" w14:textId="77777777" w:rsidR="00C47821" w:rsidRDefault="00C47821" w:rsidP="00994068">
            <w:pPr>
              <w:pStyle w:val="NormalText"/>
              <w:spacing w:after="0"/>
              <w:jc w:val="center"/>
            </w:pPr>
          </w:p>
        </w:tc>
      </w:tr>
      <w:tr w:rsidR="00C47821" w14:paraId="38213469"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5133B" w14:textId="77777777" w:rsidR="00C47821" w:rsidRPr="003F46E2" w:rsidRDefault="00C47821" w:rsidP="00994068">
            <w:pPr>
              <w:pStyle w:val="NormalText"/>
              <w:spacing w:after="0"/>
              <w:rPr>
                <w:b/>
              </w:rPr>
            </w:pPr>
            <w:r>
              <w:t>Výkazy a reporty</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FC83B" w14:textId="77777777" w:rsidR="00C47821" w:rsidRDefault="00C47821" w:rsidP="00994068">
            <w:pPr>
              <w:pStyle w:val="NormalText"/>
              <w:spacing w:after="0"/>
              <w:jc w:val="center"/>
            </w:pPr>
            <w:r>
              <w:t>3</w:t>
            </w:r>
          </w:p>
        </w:tc>
      </w:tr>
      <w:tr w:rsidR="00C47821" w14:paraId="029A8649"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463BA" w14:textId="77777777" w:rsidR="00C47821" w:rsidRDefault="00C47821" w:rsidP="00994068">
            <w:pPr>
              <w:pStyle w:val="NormalText"/>
              <w:spacing w:after="0"/>
            </w:pPr>
            <w:r>
              <w:t>Výkazy pro příspěvkové organizace</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2D0A2" w14:textId="77777777" w:rsidR="00C47821" w:rsidRDefault="00C47821" w:rsidP="00994068">
            <w:pPr>
              <w:pStyle w:val="NormalText"/>
              <w:spacing w:after="0"/>
              <w:jc w:val="center"/>
            </w:pPr>
            <w:r>
              <w:t>3</w:t>
            </w:r>
          </w:p>
        </w:tc>
      </w:tr>
      <w:tr w:rsidR="00C47821" w14:paraId="6066BB4B"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1E512B" w14:textId="77777777" w:rsidR="00C47821" w:rsidRDefault="00C47821" w:rsidP="00994068">
            <w:pPr>
              <w:pStyle w:val="NormalText"/>
              <w:spacing w:after="0"/>
            </w:pPr>
            <w:r>
              <w:t>Finanční analýza a plánování</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CD6BD" w14:textId="77777777" w:rsidR="00C47821" w:rsidRDefault="00C47821" w:rsidP="00994068">
            <w:pPr>
              <w:pStyle w:val="NormalText"/>
              <w:spacing w:after="0"/>
              <w:jc w:val="center"/>
            </w:pPr>
            <w:r>
              <w:t>2</w:t>
            </w:r>
          </w:p>
        </w:tc>
      </w:tr>
      <w:tr w:rsidR="00C47821" w14:paraId="4916705B"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C13A5" w14:textId="77777777" w:rsidR="00C47821" w:rsidRDefault="00C47821" w:rsidP="00994068">
            <w:pPr>
              <w:pStyle w:val="NormalText"/>
              <w:spacing w:after="0"/>
            </w:pPr>
            <w:r>
              <w:t>Řízení peněžních toků</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A9442" w14:textId="77777777" w:rsidR="00C47821" w:rsidRDefault="00C47821" w:rsidP="00994068">
            <w:pPr>
              <w:pStyle w:val="NormalText"/>
              <w:spacing w:after="0"/>
              <w:jc w:val="center"/>
            </w:pPr>
            <w:r>
              <w:t>1</w:t>
            </w:r>
          </w:p>
        </w:tc>
      </w:tr>
      <w:tr w:rsidR="00C47821" w14:paraId="23D70D71"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999999"/>
            <w:vAlign w:val="center"/>
            <w:hideMark/>
          </w:tcPr>
          <w:p w14:paraId="7CE13EBA" w14:textId="77777777" w:rsidR="00C47821" w:rsidRDefault="00C47821" w:rsidP="00994068">
            <w:pPr>
              <w:pStyle w:val="NormalText"/>
              <w:spacing w:after="0"/>
            </w:pPr>
            <w:r w:rsidRPr="003F46E2">
              <w:rPr>
                <w:b/>
              </w:rPr>
              <w:t>Skladové hospodářství a obchod</w:t>
            </w:r>
          </w:p>
        </w:tc>
        <w:tc>
          <w:tcPr>
            <w:tcW w:w="134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68306672" w14:textId="77777777" w:rsidR="00C47821" w:rsidRDefault="00C47821" w:rsidP="00994068">
            <w:pPr>
              <w:pStyle w:val="NormalText"/>
              <w:spacing w:after="0"/>
              <w:jc w:val="center"/>
            </w:pPr>
          </w:p>
        </w:tc>
      </w:tr>
      <w:tr w:rsidR="00C47821" w14:paraId="1031A1AC"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B5C5B" w14:textId="77777777" w:rsidR="00C47821" w:rsidRPr="003F46E2" w:rsidRDefault="00C47821" w:rsidP="00994068">
            <w:pPr>
              <w:pStyle w:val="NormalText"/>
              <w:spacing w:after="0"/>
              <w:rPr>
                <w:b/>
              </w:rPr>
            </w:pPr>
            <w:r>
              <w:t>Sklady</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2BA4A" w14:textId="77777777" w:rsidR="00C47821" w:rsidRDefault="00C47821" w:rsidP="00994068">
            <w:pPr>
              <w:pStyle w:val="NormalText"/>
              <w:spacing w:after="0"/>
              <w:jc w:val="center"/>
            </w:pPr>
            <w:r>
              <w:t>6</w:t>
            </w:r>
          </w:p>
        </w:tc>
      </w:tr>
      <w:tr w:rsidR="00C47821" w14:paraId="11DDB4F6"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3EF77" w14:textId="77777777" w:rsidR="00C47821" w:rsidRDefault="00C47821" w:rsidP="00994068">
            <w:pPr>
              <w:pStyle w:val="NormalText"/>
              <w:spacing w:after="0"/>
            </w:pPr>
            <w:r>
              <w:t>Nabídky, objednávky a rezervace</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699F9" w14:textId="77777777" w:rsidR="00C47821" w:rsidRDefault="00C47821" w:rsidP="00994068">
            <w:pPr>
              <w:pStyle w:val="NormalText"/>
              <w:spacing w:after="0"/>
              <w:jc w:val="center"/>
            </w:pPr>
            <w:r>
              <w:t>4</w:t>
            </w:r>
          </w:p>
        </w:tc>
      </w:tr>
      <w:tr w:rsidR="00C47821" w14:paraId="61761C1A" w14:textId="77777777" w:rsidTr="00994068">
        <w:tc>
          <w:tcPr>
            <w:tcW w:w="8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73EA22" w14:textId="77777777" w:rsidR="00C47821" w:rsidRDefault="00C47821" w:rsidP="00994068">
            <w:pPr>
              <w:pStyle w:val="NormalText"/>
              <w:spacing w:after="0"/>
            </w:pPr>
            <w:r>
              <w:t>Fakturace</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9C6A2" w14:textId="77777777" w:rsidR="00C47821" w:rsidRDefault="00C47821" w:rsidP="00994068">
            <w:pPr>
              <w:pStyle w:val="NormalText"/>
              <w:spacing w:after="0"/>
              <w:jc w:val="center"/>
            </w:pPr>
            <w:r>
              <w:t>4</w:t>
            </w:r>
          </w:p>
        </w:tc>
      </w:tr>
    </w:tbl>
    <w:p w14:paraId="76117078" w14:textId="77777777" w:rsidR="00C47821" w:rsidRPr="001E2811" w:rsidRDefault="00C47821" w:rsidP="00C14D6E">
      <w:pPr>
        <w:spacing w:line="260" w:lineRule="exact"/>
        <w:jc w:val="both"/>
        <w:rPr>
          <w:rFonts w:cs="Calibri"/>
          <w:szCs w:val="22"/>
        </w:rPr>
      </w:pPr>
    </w:p>
    <w:p w14:paraId="58E19340" w14:textId="77777777" w:rsidR="00C14D6E" w:rsidRPr="001E2811" w:rsidRDefault="00C14D6E" w:rsidP="00C14D6E">
      <w:pPr>
        <w:tabs>
          <w:tab w:val="right" w:pos="9072"/>
        </w:tabs>
        <w:spacing w:line="260" w:lineRule="exact"/>
        <w:jc w:val="both"/>
        <w:rPr>
          <w:rFonts w:cs="Calibri"/>
          <w:bCs/>
          <w:szCs w:val="22"/>
        </w:rPr>
      </w:pPr>
    </w:p>
    <w:p w14:paraId="60DAF29D" w14:textId="644A7B29" w:rsidR="00C14D6E" w:rsidRPr="001E2811" w:rsidRDefault="00D14EEB" w:rsidP="00C14D6E">
      <w:pPr>
        <w:tabs>
          <w:tab w:val="right" w:pos="9072"/>
        </w:tabs>
        <w:spacing w:line="260" w:lineRule="exact"/>
        <w:jc w:val="both"/>
        <w:rPr>
          <w:rFonts w:cs="Calibri"/>
          <w:bCs/>
          <w:szCs w:val="22"/>
          <w:u w:val="single"/>
        </w:rPr>
      </w:pPr>
      <w:r>
        <w:rPr>
          <w:rFonts w:cs="Calibri"/>
          <w:b/>
          <w:bCs/>
          <w:szCs w:val="22"/>
          <w:u w:val="single"/>
        </w:rPr>
        <w:t xml:space="preserve">Hodnota </w:t>
      </w:r>
      <w:r w:rsidR="00E00CFE" w:rsidRPr="00E00CFE">
        <w:rPr>
          <w:rFonts w:cs="Calibri"/>
          <w:b/>
          <w:bCs/>
          <w:szCs w:val="22"/>
          <w:u w:val="single"/>
        </w:rPr>
        <w:t xml:space="preserve">podlicence </w:t>
      </w:r>
      <w:r>
        <w:rPr>
          <w:rFonts w:cs="Calibri"/>
          <w:b/>
          <w:bCs/>
          <w:szCs w:val="22"/>
          <w:u w:val="single"/>
        </w:rPr>
        <w:t>HELIOS Orange</w:t>
      </w:r>
      <w:r w:rsidR="0097418B">
        <w:rPr>
          <w:rFonts w:cs="Calibri"/>
          <w:b/>
          <w:bCs/>
          <w:szCs w:val="22"/>
          <w:u w:val="single"/>
        </w:rPr>
        <w:t xml:space="preserve"> včetně programových úprav</w:t>
      </w:r>
      <w:r w:rsidR="0097418B">
        <w:rPr>
          <w:rFonts w:cs="Calibri"/>
          <w:b/>
          <w:bCs/>
          <w:szCs w:val="22"/>
          <w:u w:val="single"/>
        </w:rPr>
        <w:tab/>
      </w:r>
      <w:r w:rsidR="0097418B" w:rsidRPr="005D250C">
        <w:rPr>
          <w:rFonts w:cs="Calibri"/>
          <w:b/>
          <w:bCs/>
          <w:sz w:val="32"/>
          <w:szCs w:val="32"/>
          <w:u w:val="single"/>
        </w:rPr>
        <w:t xml:space="preserve">476 960 </w:t>
      </w:r>
      <w:r w:rsidR="00C14D6E" w:rsidRPr="005D250C">
        <w:rPr>
          <w:rFonts w:cs="Calibri"/>
          <w:b/>
          <w:bCs/>
          <w:sz w:val="32"/>
          <w:szCs w:val="32"/>
          <w:u w:val="single"/>
        </w:rPr>
        <w:t>Kč</w:t>
      </w:r>
    </w:p>
    <w:p w14:paraId="4A9A4E3F" w14:textId="77777777" w:rsidR="00C14D6E" w:rsidRPr="001E2811" w:rsidRDefault="00C14D6E" w:rsidP="00C14D6E">
      <w:pPr>
        <w:spacing w:line="260" w:lineRule="exact"/>
        <w:ind w:left="567" w:firstLine="153"/>
        <w:jc w:val="both"/>
        <w:rPr>
          <w:rFonts w:cs="Calibri"/>
          <w:szCs w:val="22"/>
          <w:u w:val="single"/>
        </w:rPr>
      </w:pPr>
    </w:p>
    <w:p w14:paraId="1CB89F3B" w14:textId="57E93791" w:rsidR="00C14D6E" w:rsidRPr="00BF0F38" w:rsidRDefault="00D14EEB" w:rsidP="00C14D6E">
      <w:pPr>
        <w:tabs>
          <w:tab w:val="right" w:pos="9072"/>
        </w:tabs>
        <w:spacing w:line="260" w:lineRule="exact"/>
        <w:jc w:val="both"/>
        <w:rPr>
          <w:rFonts w:cs="Calibri"/>
          <w:sz w:val="16"/>
          <w:szCs w:val="16"/>
        </w:rPr>
      </w:pPr>
      <w:r>
        <w:rPr>
          <w:rFonts w:cs="Calibri"/>
          <w:b/>
          <w:bCs/>
          <w:szCs w:val="22"/>
          <w:u w:val="single"/>
        </w:rPr>
        <w:t>Roční poplatek za systémovou podporu k</w:t>
      </w:r>
      <w:r w:rsidR="00C14D6E" w:rsidRPr="001E2811">
        <w:rPr>
          <w:rFonts w:cs="Calibri"/>
          <w:b/>
          <w:bCs/>
          <w:szCs w:val="22"/>
          <w:u w:val="single"/>
        </w:rPr>
        <w:t xml:space="preserve"> HELIOS Orange</w:t>
      </w:r>
      <w:r w:rsidR="00C14D6E" w:rsidRPr="001E2811">
        <w:rPr>
          <w:rFonts w:cs="Calibri"/>
          <w:szCs w:val="22"/>
          <w:u w:val="single"/>
        </w:rPr>
        <w:tab/>
      </w:r>
      <w:r w:rsidR="005D250C" w:rsidRPr="005D250C">
        <w:rPr>
          <w:rFonts w:cs="Calibri"/>
          <w:b/>
          <w:bCs/>
          <w:sz w:val="32"/>
          <w:szCs w:val="32"/>
          <w:u w:val="single"/>
        </w:rPr>
        <w:t xml:space="preserve">85 854 </w:t>
      </w:r>
      <w:r w:rsidR="00C14D6E" w:rsidRPr="005D250C">
        <w:rPr>
          <w:rFonts w:cs="Calibri"/>
          <w:b/>
          <w:bCs/>
          <w:sz w:val="32"/>
          <w:szCs w:val="32"/>
          <w:u w:val="single"/>
        </w:rPr>
        <w:t>Kč</w:t>
      </w:r>
      <w:r w:rsidR="0000257B">
        <w:rPr>
          <w:rFonts w:cs="Calibri"/>
          <w:b/>
          <w:bCs/>
          <w:sz w:val="32"/>
          <w:szCs w:val="32"/>
          <w:u w:val="single"/>
        </w:rPr>
        <w:br/>
      </w:r>
      <w:r w:rsidR="0000257B">
        <w:rPr>
          <w:rFonts w:cs="Calibri"/>
          <w:b/>
          <w:bCs/>
          <w:sz w:val="32"/>
          <w:szCs w:val="32"/>
          <w:u w:val="single"/>
        </w:rPr>
        <w:br/>
      </w:r>
      <w:r w:rsidR="0000257B">
        <w:rPr>
          <w:rFonts w:cs="Calibri"/>
          <w:b/>
          <w:bCs/>
          <w:sz w:val="32"/>
          <w:szCs w:val="32"/>
          <w:u w:val="single"/>
        </w:rPr>
        <w:br/>
      </w:r>
      <w:r w:rsidR="0000257B" w:rsidRPr="00BF0F38">
        <w:rPr>
          <w:rFonts w:cs="Calibri"/>
          <w:szCs w:val="22"/>
        </w:rPr>
        <w:t>Ceny jsou uvedeny bez DPH.</w:t>
      </w:r>
    </w:p>
    <w:p w14:paraId="71C153D3" w14:textId="77777777" w:rsidR="00C14D6E" w:rsidRPr="001C1077" w:rsidRDefault="00C14D6E" w:rsidP="001C1077">
      <w:pPr>
        <w:rPr>
          <w:b/>
          <w:bCs/>
        </w:rPr>
      </w:pPr>
      <w:r>
        <w:rPr>
          <w:rFonts w:cs="Calibri"/>
          <w:szCs w:val="22"/>
        </w:rPr>
        <w:br w:type="page"/>
      </w:r>
      <w:r w:rsidR="00423622" w:rsidRPr="001C1077">
        <w:rPr>
          <w:b/>
          <w:bCs/>
        </w:rPr>
        <w:lastRenderedPageBreak/>
        <w:t>Příloha č. 2</w:t>
      </w:r>
      <w:r w:rsidR="001C1077">
        <w:rPr>
          <w:b/>
          <w:bCs/>
        </w:rPr>
        <w:t>:</w:t>
      </w:r>
      <w:r w:rsidRPr="001C1077">
        <w:rPr>
          <w:b/>
          <w:bCs/>
        </w:rPr>
        <w:t xml:space="preserve"> Ceník poskytovaných služeb</w:t>
      </w:r>
    </w:p>
    <w:p w14:paraId="20B9CB1A" w14:textId="77777777" w:rsidR="00C14D6E" w:rsidRPr="001E2811" w:rsidRDefault="00C14D6E" w:rsidP="00C14D6E">
      <w:pPr>
        <w:rPr>
          <w:rFonts w:cs="Calibri"/>
          <w:szCs w:val="22"/>
        </w:rPr>
      </w:pPr>
    </w:p>
    <w:p w14:paraId="12B16B41" w14:textId="77777777" w:rsidR="00115491" w:rsidRDefault="00115491" w:rsidP="00B231E8">
      <w:pPr>
        <w:jc w:val="both"/>
      </w:pPr>
      <w:r w:rsidRPr="000E6658">
        <w:t xml:space="preserve">Služby jsou poskytovány v prostorách </w:t>
      </w:r>
      <w:r w:rsidR="00B231E8">
        <w:t>Nabyvatele</w:t>
      </w:r>
      <w:r w:rsidRPr="000E6658">
        <w:t xml:space="preserve">, v prostorách </w:t>
      </w:r>
      <w:r w:rsidR="00B231E8">
        <w:t>Poskytovatele</w:t>
      </w:r>
      <w:r w:rsidRPr="000E6658">
        <w:t>, telefonicky nebo přes vzdálené připojení.</w:t>
      </w:r>
    </w:p>
    <w:p w14:paraId="3B6C690A" w14:textId="77777777" w:rsidR="00B231E8" w:rsidRDefault="00B231E8" w:rsidP="00B231E8">
      <w:pPr>
        <w:spacing w:after="120"/>
        <w:rPr>
          <w:rFonts w:cs="Arial"/>
          <w:szCs w:val="22"/>
        </w:rPr>
      </w:pPr>
    </w:p>
    <w:tbl>
      <w:tblPr>
        <w:tblW w:w="9498" w:type="dxa"/>
        <w:tblLayout w:type="fixed"/>
        <w:tblCellMar>
          <w:top w:w="170" w:type="dxa"/>
          <w:bottom w:w="170" w:type="dxa"/>
        </w:tblCellMar>
        <w:tblLook w:val="04A0" w:firstRow="1" w:lastRow="0" w:firstColumn="1" w:lastColumn="0" w:noHBand="0" w:noVBand="1"/>
      </w:tblPr>
      <w:tblGrid>
        <w:gridCol w:w="7655"/>
        <w:gridCol w:w="142"/>
        <w:gridCol w:w="1701"/>
      </w:tblGrid>
      <w:tr w:rsidR="00B231E8" w:rsidRPr="00523070" w14:paraId="7F161791" w14:textId="77777777" w:rsidTr="00B231E8">
        <w:trPr>
          <w:trHeight w:hRule="exact" w:val="397"/>
        </w:trPr>
        <w:tc>
          <w:tcPr>
            <w:tcW w:w="7797" w:type="dxa"/>
            <w:gridSpan w:val="2"/>
            <w:tcBorders>
              <w:right w:val="single" w:sz="4" w:space="0" w:color="00B0F0"/>
            </w:tcBorders>
            <w:shd w:val="clear" w:color="auto" w:fill="00B0F0"/>
            <w:tcMar>
              <w:top w:w="113" w:type="dxa"/>
              <w:bottom w:w="113" w:type="dxa"/>
            </w:tcMar>
            <w:vAlign w:val="center"/>
          </w:tcPr>
          <w:p w14:paraId="490688F6" w14:textId="00F9CDD0" w:rsidR="00B231E8" w:rsidRPr="00523070" w:rsidRDefault="00B231E8" w:rsidP="00AD020E">
            <w:pPr>
              <w:widowControl w:val="0"/>
              <w:rPr>
                <w:rFonts w:eastAsia="Calibri" w:cs="Arial"/>
                <w:b/>
                <w:bCs/>
                <w:color w:val="FFFFFF"/>
                <w:sz w:val="24"/>
                <w:szCs w:val="24"/>
              </w:rPr>
            </w:pPr>
            <w:r w:rsidRPr="0093272D">
              <w:rPr>
                <w:rFonts w:eastAsia="Calibri" w:cs="Arial"/>
                <w:b/>
                <w:bCs/>
                <w:color w:val="FFFFFF"/>
                <w:sz w:val="24"/>
                <w:szCs w:val="24"/>
              </w:rPr>
              <w:t xml:space="preserve">Konzultační </w:t>
            </w:r>
            <w:r w:rsidR="001F0806">
              <w:rPr>
                <w:rFonts w:eastAsia="Calibri" w:cs="Arial"/>
                <w:b/>
                <w:bCs/>
                <w:color w:val="FFFFFF"/>
                <w:sz w:val="24"/>
                <w:szCs w:val="24"/>
              </w:rPr>
              <w:t xml:space="preserve">a programátorské </w:t>
            </w:r>
            <w:r w:rsidRPr="0093272D">
              <w:rPr>
                <w:rFonts w:eastAsia="Calibri" w:cs="Arial"/>
                <w:b/>
                <w:bCs/>
                <w:color w:val="FFFFFF"/>
                <w:sz w:val="24"/>
                <w:szCs w:val="24"/>
              </w:rPr>
              <w:t>služby</w:t>
            </w:r>
          </w:p>
        </w:tc>
        <w:tc>
          <w:tcPr>
            <w:tcW w:w="1701" w:type="dxa"/>
            <w:tcBorders>
              <w:left w:val="single" w:sz="4" w:space="0" w:color="00B0F0"/>
            </w:tcBorders>
            <w:shd w:val="clear" w:color="auto" w:fill="00B0F0"/>
            <w:tcMar>
              <w:top w:w="113" w:type="dxa"/>
              <w:left w:w="0" w:type="dxa"/>
              <w:bottom w:w="113" w:type="dxa"/>
              <w:right w:w="57" w:type="dxa"/>
            </w:tcMar>
            <w:vAlign w:val="center"/>
          </w:tcPr>
          <w:p w14:paraId="1AC12787" w14:textId="77777777" w:rsidR="00B231E8" w:rsidRPr="00523070" w:rsidRDefault="00B231E8" w:rsidP="00AD020E">
            <w:pPr>
              <w:widowControl w:val="0"/>
              <w:ind w:right="85"/>
              <w:jc w:val="center"/>
              <w:rPr>
                <w:rFonts w:eastAsia="Calibri" w:cs="Arial"/>
                <w:b/>
                <w:bCs/>
                <w:color w:val="FFFFFF"/>
                <w:sz w:val="24"/>
                <w:szCs w:val="24"/>
              </w:rPr>
            </w:pPr>
            <w:r w:rsidRPr="00523070">
              <w:rPr>
                <w:rFonts w:eastAsia="Calibri" w:cs="Arial"/>
                <w:b/>
                <w:bCs/>
                <w:color w:val="FFFFFF"/>
                <w:sz w:val="24"/>
                <w:szCs w:val="24"/>
              </w:rPr>
              <w:t>Cena bez DPH</w:t>
            </w:r>
          </w:p>
        </w:tc>
      </w:tr>
      <w:tr w:rsidR="00B231E8" w14:paraId="0888C052" w14:textId="77777777" w:rsidTr="00B231E8">
        <w:trPr>
          <w:trHeight w:val="765"/>
        </w:trPr>
        <w:tc>
          <w:tcPr>
            <w:tcW w:w="7655" w:type="dxa"/>
            <w:shd w:val="clear" w:color="auto" w:fill="auto"/>
            <w:tcMar>
              <w:top w:w="113" w:type="dxa"/>
              <w:bottom w:w="113" w:type="dxa"/>
            </w:tcMar>
          </w:tcPr>
          <w:p w14:paraId="0D93185B" w14:textId="77777777" w:rsidR="00B231E8" w:rsidRPr="00956905" w:rsidRDefault="00B231E8" w:rsidP="00AD020E">
            <w:pPr>
              <w:widowControl w:val="0"/>
              <w:rPr>
                <w:rFonts w:cs="Arial"/>
                <w:b/>
                <w:bCs/>
                <w:sz w:val="8"/>
                <w:szCs w:val="8"/>
              </w:rPr>
            </w:pPr>
          </w:p>
          <w:p w14:paraId="5F1A0624" w14:textId="77777777" w:rsidR="00B231E8" w:rsidRPr="0093272D" w:rsidRDefault="00B231E8" w:rsidP="00AD020E">
            <w:pPr>
              <w:widowControl w:val="0"/>
              <w:spacing w:after="60"/>
              <w:rPr>
                <w:rFonts w:cs="Arial"/>
                <w:b/>
                <w:bCs/>
                <w:szCs w:val="22"/>
              </w:rPr>
            </w:pPr>
            <w:r w:rsidRPr="0093272D">
              <w:rPr>
                <w:rFonts w:cs="Arial"/>
                <w:b/>
                <w:bCs/>
                <w:szCs w:val="22"/>
              </w:rPr>
              <w:t>Konzultace přes vzdálené připojení</w:t>
            </w:r>
          </w:p>
          <w:p w14:paraId="046A7DEE" w14:textId="77777777" w:rsidR="00B231E8" w:rsidRPr="0093272D" w:rsidRDefault="00B231E8" w:rsidP="00AD020E">
            <w:pPr>
              <w:widowControl w:val="0"/>
              <w:spacing w:after="60"/>
              <w:rPr>
                <w:rFonts w:cs="Arial"/>
                <w:bCs/>
                <w:szCs w:val="22"/>
              </w:rPr>
            </w:pPr>
            <w:r w:rsidRPr="0093272D">
              <w:rPr>
                <w:rFonts w:cs="Arial"/>
                <w:bCs/>
                <w:szCs w:val="22"/>
              </w:rPr>
              <w:t>Minimálně účtována půlhodina, poté každá další započatá půlhodina.</w:t>
            </w:r>
          </w:p>
          <w:p w14:paraId="046DC7B1" w14:textId="77777777" w:rsidR="00B231E8" w:rsidRPr="0093272D" w:rsidRDefault="00B231E8" w:rsidP="003C3AEE">
            <w:pPr>
              <w:pStyle w:val="Odstavecseseznamem"/>
              <w:widowControl w:val="0"/>
              <w:numPr>
                <w:ilvl w:val="0"/>
                <w:numId w:val="22"/>
              </w:numPr>
              <w:ind w:left="1004"/>
              <w:contextualSpacing w:val="0"/>
              <w:jc w:val="both"/>
              <w:rPr>
                <w:rFonts w:cs="Arial"/>
                <w:szCs w:val="22"/>
              </w:rPr>
            </w:pPr>
            <w:r w:rsidRPr="0093272D">
              <w:rPr>
                <w:rFonts w:cs="Arial"/>
                <w:szCs w:val="22"/>
              </w:rPr>
              <w:t>Využití vzdáleného přístupu + telefon</w:t>
            </w:r>
          </w:p>
        </w:tc>
        <w:tc>
          <w:tcPr>
            <w:tcW w:w="1843" w:type="dxa"/>
            <w:gridSpan w:val="2"/>
            <w:shd w:val="clear" w:color="auto" w:fill="auto"/>
            <w:tcMar>
              <w:top w:w="113" w:type="dxa"/>
              <w:left w:w="0" w:type="dxa"/>
              <w:bottom w:w="113" w:type="dxa"/>
              <w:right w:w="57" w:type="dxa"/>
            </w:tcMar>
          </w:tcPr>
          <w:p w14:paraId="02927592" w14:textId="77777777" w:rsidR="00B231E8" w:rsidRPr="00956905" w:rsidRDefault="00B231E8" w:rsidP="00AD020E">
            <w:pPr>
              <w:widowControl w:val="0"/>
              <w:ind w:left="175" w:right="85"/>
              <w:jc w:val="center"/>
              <w:rPr>
                <w:rFonts w:cs="Arial"/>
                <w:b/>
                <w:bCs/>
                <w:sz w:val="8"/>
                <w:szCs w:val="8"/>
              </w:rPr>
            </w:pPr>
          </w:p>
          <w:p w14:paraId="47B51238" w14:textId="245D1BC2" w:rsidR="00B231E8" w:rsidRPr="0093272D" w:rsidRDefault="008370E0" w:rsidP="00AD020E">
            <w:pPr>
              <w:widowControl w:val="0"/>
              <w:ind w:left="175" w:right="85"/>
              <w:jc w:val="right"/>
              <w:rPr>
                <w:rFonts w:cs="Arial"/>
                <w:b/>
                <w:bCs/>
                <w:szCs w:val="22"/>
              </w:rPr>
            </w:pPr>
            <w:r>
              <w:rPr>
                <w:rFonts w:cs="Arial"/>
                <w:b/>
                <w:bCs/>
                <w:szCs w:val="22"/>
              </w:rPr>
              <w:t>1500</w:t>
            </w:r>
            <w:r w:rsidR="00B231E8" w:rsidRPr="0093272D">
              <w:rPr>
                <w:rFonts w:cs="Arial"/>
                <w:b/>
                <w:bCs/>
                <w:szCs w:val="22"/>
              </w:rPr>
              <w:t xml:space="preserve"> Kč / hod.</w:t>
            </w:r>
          </w:p>
        </w:tc>
      </w:tr>
      <w:tr w:rsidR="00B231E8" w14:paraId="23320D85" w14:textId="77777777" w:rsidTr="00B231E8">
        <w:trPr>
          <w:trHeight w:val="340"/>
        </w:trPr>
        <w:tc>
          <w:tcPr>
            <w:tcW w:w="7655" w:type="dxa"/>
            <w:shd w:val="clear" w:color="auto" w:fill="auto"/>
            <w:tcMar>
              <w:top w:w="113" w:type="dxa"/>
              <w:bottom w:w="113" w:type="dxa"/>
            </w:tcMar>
          </w:tcPr>
          <w:p w14:paraId="0146C955" w14:textId="77777777" w:rsidR="00B231E8" w:rsidRPr="0093272D" w:rsidRDefault="00B231E8" w:rsidP="00AD020E">
            <w:pPr>
              <w:widowControl w:val="0"/>
              <w:spacing w:after="60"/>
              <w:rPr>
                <w:rFonts w:cs="Arial"/>
                <w:b/>
                <w:bCs/>
                <w:szCs w:val="22"/>
              </w:rPr>
            </w:pPr>
            <w:r>
              <w:rPr>
                <w:rFonts w:cs="Arial"/>
                <w:b/>
                <w:bCs/>
                <w:szCs w:val="22"/>
              </w:rPr>
              <w:t>Odborná</w:t>
            </w:r>
            <w:r w:rsidRPr="0093272D">
              <w:rPr>
                <w:rFonts w:cs="Arial"/>
                <w:b/>
                <w:bCs/>
                <w:szCs w:val="22"/>
              </w:rPr>
              <w:t xml:space="preserve"> konzultace</w:t>
            </w:r>
          </w:p>
          <w:p w14:paraId="13A6768E" w14:textId="77777777" w:rsidR="00B231E8" w:rsidRPr="0093272D" w:rsidRDefault="00B231E8" w:rsidP="00AD020E">
            <w:pPr>
              <w:widowControl w:val="0"/>
              <w:spacing w:after="60"/>
              <w:rPr>
                <w:rFonts w:cs="Arial"/>
                <w:bCs/>
                <w:szCs w:val="22"/>
              </w:rPr>
            </w:pPr>
            <w:r w:rsidRPr="0093272D">
              <w:rPr>
                <w:rFonts w:cs="Arial"/>
                <w:bCs/>
                <w:szCs w:val="22"/>
              </w:rPr>
              <w:t xml:space="preserve">V případě práce v místě </w:t>
            </w:r>
            <w:r w:rsidR="00E00CFE">
              <w:rPr>
                <w:rFonts w:cs="Arial"/>
                <w:bCs/>
                <w:szCs w:val="22"/>
              </w:rPr>
              <w:t>Nabyvatel</w:t>
            </w:r>
            <w:r w:rsidRPr="0093272D">
              <w:rPr>
                <w:rFonts w:cs="Arial"/>
                <w:bCs/>
                <w:szCs w:val="22"/>
              </w:rPr>
              <w:t>e budou účtovány minimálně tři (3) hodiny, poté každá další započatá půlhodina.</w:t>
            </w:r>
          </w:p>
          <w:p w14:paraId="741EF3A9"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práce potřebné k přizpůsobení a parametrizaci systému</w:t>
            </w:r>
          </w:p>
          <w:p w14:paraId="62768A13"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metodická a legislativní konzultace</w:t>
            </w:r>
          </w:p>
          <w:p w14:paraId="789BDDE1"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analýza a studie proveditelnosti</w:t>
            </w:r>
          </w:p>
          <w:p w14:paraId="0E9BFEEC" w14:textId="77777777" w:rsidR="00B231E8"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7A6DD7">
              <w:rPr>
                <w:rFonts w:cs="Arial"/>
                <w:sz w:val="22"/>
                <w:szCs w:val="22"/>
              </w:rPr>
              <w:t xml:space="preserve">konzultace specialisty </w:t>
            </w:r>
          </w:p>
          <w:p w14:paraId="42650C0C"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tvorba tiskových formulářů, přehledů a sestav</w:t>
            </w:r>
          </w:p>
          <w:p w14:paraId="398C12D5"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tvorba výstupů mimo</w:t>
            </w:r>
            <w:r w:rsidR="00A37977">
              <w:rPr>
                <w:rFonts w:cs="Arial"/>
                <w:sz w:val="22"/>
                <w:szCs w:val="22"/>
              </w:rPr>
              <w:t xml:space="preserve"> </w:t>
            </w:r>
            <w:r>
              <w:rPr>
                <w:rFonts w:cs="Arial"/>
                <w:sz w:val="22"/>
                <w:szCs w:val="22"/>
              </w:rPr>
              <w:t>HELIOS</w:t>
            </w:r>
            <w:r w:rsidRPr="0093272D">
              <w:rPr>
                <w:rFonts w:cs="Arial"/>
                <w:sz w:val="22"/>
                <w:szCs w:val="22"/>
              </w:rPr>
              <w:t xml:space="preserve"> </w:t>
            </w:r>
            <w:r w:rsidR="009D1627">
              <w:rPr>
                <w:rFonts w:cs="Arial"/>
                <w:sz w:val="22"/>
                <w:szCs w:val="22"/>
              </w:rPr>
              <w:t xml:space="preserve">Orange </w:t>
            </w:r>
            <w:r w:rsidRPr="0093272D">
              <w:rPr>
                <w:rFonts w:cs="Arial"/>
                <w:sz w:val="22"/>
                <w:szCs w:val="22"/>
              </w:rPr>
              <w:t>(např. MS Office)</w:t>
            </w:r>
          </w:p>
          <w:p w14:paraId="4DBB537D"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programátorské práce</w:t>
            </w:r>
          </w:p>
          <w:p w14:paraId="267EC1A5" w14:textId="77777777"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konzultace k zakázkovým úpravám</w:t>
            </w:r>
          </w:p>
          <w:p w14:paraId="2FEF7773" w14:textId="33B01E75" w:rsidR="00B231E8" w:rsidRPr="0093272D" w:rsidRDefault="00B231E8" w:rsidP="003C3AEE">
            <w:pPr>
              <w:pStyle w:val="Zhlav"/>
              <w:widowControl w:val="0"/>
              <w:numPr>
                <w:ilvl w:val="0"/>
                <w:numId w:val="17"/>
              </w:numPr>
              <w:tabs>
                <w:tab w:val="clear" w:pos="720"/>
                <w:tab w:val="clear" w:pos="4536"/>
                <w:tab w:val="clear" w:pos="9072"/>
                <w:tab w:val="left" w:pos="-1985"/>
                <w:tab w:val="right" w:pos="-1843"/>
                <w:tab w:val="num" w:pos="1004"/>
                <w:tab w:val="right" w:pos="6096"/>
                <w:tab w:val="left" w:pos="6237"/>
              </w:tabs>
              <w:ind w:left="1004"/>
              <w:jc w:val="both"/>
              <w:rPr>
                <w:rFonts w:cs="Arial"/>
                <w:sz w:val="22"/>
                <w:szCs w:val="22"/>
              </w:rPr>
            </w:pPr>
            <w:r w:rsidRPr="0093272D">
              <w:rPr>
                <w:rFonts w:cs="Arial"/>
                <w:sz w:val="22"/>
                <w:szCs w:val="22"/>
              </w:rPr>
              <w:t>školení ovládání systému</w:t>
            </w:r>
            <w:r w:rsidR="00A37977">
              <w:rPr>
                <w:rFonts w:cs="Arial"/>
                <w:sz w:val="22"/>
                <w:szCs w:val="22"/>
              </w:rPr>
              <w:t xml:space="preserve"> </w:t>
            </w:r>
            <w:r>
              <w:rPr>
                <w:rFonts w:cs="Arial"/>
                <w:sz w:val="22"/>
                <w:szCs w:val="22"/>
              </w:rPr>
              <w:t>HELIOS</w:t>
            </w:r>
            <w:r w:rsidRPr="0093272D">
              <w:rPr>
                <w:rFonts w:cs="Arial"/>
                <w:sz w:val="22"/>
                <w:szCs w:val="22"/>
              </w:rPr>
              <w:t xml:space="preserve"> </w:t>
            </w:r>
          </w:p>
        </w:tc>
        <w:tc>
          <w:tcPr>
            <w:tcW w:w="1843" w:type="dxa"/>
            <w:gridSpan w:val="2"/>
            <w:shd w:val="clear" w:color="auto" w:fill="auto"/>
            <w:tcMar>
              <w:top w:w="113" w:type="dxa"/>
              <w:left w:w="0" w:type="dxa"/>
              <w:bottom w:w="113" w:type="dxa"/>
              <w:right w:w="57" w:type="dxa"/>
            </w:tcMar>
          </w:tcPr>
          <w:p w14:paraId="10C65185" w14:textId="6AE6FAFF" w:rsidR="00B231E8" w:rsidRPr="0093272D" w:rsidRDefault="008370E0" w:rsidP="00AD020E">
            <w:pPr>
              <w:widowControl w:val="0"/>
              <w:ind w:left="175" w:right="85"/>
              <w:jc w:val="right"/>
              <w:rPr>
                <w:rFonts w:cs="Arial"/>
                <w:b/>
                <w:bCs/>
                <w:szCs w:val="22"/>
              </w:rPr>
            </w:pPr>
            <w:r>
              <w:rPr>
                <w:rFonts w:cs="Arial"/>
                <w:b/>
                <w:bCs/>
                <w:szCs w:val="22"/>
              </w:rPr>
              <w:t>1500</w:t>
            </w:r>
            <w:r w:rsidR="00B231E8" w:rsidRPr="0093272D">
              <w:rPr>
                <w:rFonts w:cs="Arial"/>
                <w:b/>
                <w:bCs/>
                <w:szCs w:val="22"/>
              </w:rPr>
              <w:t xml:space="preserve"> Kč / hod.</w:t>
            </w:r>
          </w:p>
        </w:tc>
      </w:tr>
      <w:tr w:rsidR="001F0806" w:rsidRPr="0093272D" w14:paraId="0D12FCDB" w14:textId="77777777" w:rsidTr="00552185">
        <w:trPr>
          <w:trHeight w:val="765"/>
        </w:trPr>
        <w:tc>
          <w:tcPr>
            <w:tcW w:w="7655" w:type="dxa"/>
            <w:shd w:val="clear" w:color="auto" w:fill="auto"/>
            <w:tcMar>
              <w:top w:w="113" w:type="dxa"/>
              <w:bottom w:w="113" w:type="dxa"/>
            </w:tcMar>
          </w:tcPr>
          <w:p w14:paraId="1ADA90BD" w14:textId="77777777" w:rsidR="001F0806" w:rsidRPr="00956905" w:rsidRDefault="001F0806" w:rsidP="00552185">
            <w:pPr>
              <w:widowControl w:val="0"/>
              <w:rPr>
                <w:rFonts w:cs="Arial"/>
                <w:b/>
                <w:bCs/>
                <w:sz w:val="8"/>
                <w:szCs w:val="8"/>
              </w:rPr>
            </w:pPr>
          </w:p>
          <w:p w14:paraId="4DEF54C9" w14:textId="59EF0A00" w:rsidR="001F0806" w:rsidRPr="0093272D" w:rsidRDefault="001F0806" w:rsidP="00552185">
            <w:pPr>
              <w:widowControl w:val="0"/>
              <w:spacing w:after="60"/>
              <w:rPr>
                <w:rFonts w:cs="Arial"/>
                <w:b/>
                <w:bCs/>
                <w:szCs w:val="22"/>
              </w:rPr>
            </w:pPr>
            <w:r>
              <w:rPr>
                <w:rFonts w:cs="Arial"/>
                <w:b/>
                <w:bCs/>
                <w:szCs w:val="22"/>
              </w:rPr>
              <w:t xml:space="preserve">Programování </w:t>
            </w:r>
          </w:p>
          <w:p w14:paraId="719490B6" w14:textId="77777777" w:rsidR="001F0806" w:rsidRPr="0093272D" w:rsidRDefault="001F0806" w:rsidP="00552185">
            <w:pPr>
              <w:widowControl w:val="0"/>
              <w:spacing w:after="60"/>
              <w:rPr>
                <w:rFonts w:cs="Arial"/>
                <w:bCs/>
                <w:szCs w:val="22"/>
              </w:rPr>
            </w:pPr>
            <w:r w:rsidRPr="0093272D">
              <w:rPr>
                <w:rFonts w:cs="Arial"/>
                <w:bCs/>
                <w:szCs w:val="22"/>
              </w:rPr>
              <w:t>Minimálně účtována půlhodina, poté každá další započatá půlhodina.</w:t>
            </w:r>
          </w:p>
          <w:p w14:paraId="6CFDEFE0" w14:textId="77777777" w:rsidR="001F0806" w:rsidRPr="0093272D" w:rsidRDefault="001F0806" w:rsidP="001F0806">
            <w:pPr>
              <w:pStyle w:val="Zhlav"/>
              <w:widowControl w:val="0"/>
              <w:numPr>
                <w:ilvl w:val="0"/>
                <w:numId w:val="22"/>
              </w:numPr>
              <w:tabs>
                <w:tab w:val="clear" w:pos="4536"/>
                <w:tab w:val="clear" w:pos="9072"/>
                <w:tab w:val="left" w:pos="-1985"/>
                <w:tab w:val="right" w:pos="-1843"/>
                <w:tab w:val="right" w:pos="6096"/>
                <w:tab w:val="left" w:pos="6237"/>
              </w:tabs>
              <w:jc w:val="both"/>
              <w:rPr>
                <w:rFonts w:cs="Arial"/>
                <w:sz w:val="22"/>
                <w:szCs w:val="22"/>
              </w:rPr>
            </w:pPr>
            <w:r w:rsidRPr="0093272D">
              <w:rPr>
                <w:rFonts w:cs="Arial"/>
                <w:sz w:val="22"/>
                <w:szCs w:val="22"/>
              </w:rPr>
              <w:t>tvorba tiskových formulářů, přehledů a sestav</w:t>
            </w:r>
          </w:p>
          <w:p w14:paraId="64E85285" w14:textId="77777777" w:rsidR="001F0806" w:rsidRPr="0093272D" w:rsidRDefault="001F0806" w:rsidP="001F0806">
            <w:pPr>
              <w:pStyle w:val="Zhlav"/>
              <w:widowControl w:val="0"/>
              <w:numPr>
                <w:ilvl w:val="0"/>
                <w:numId w:val="22"/>
              </w:numPr>
              <w:tabs>
                <w:tab w:val="clear" w:pos="4536"/>
                <w:tab w:val="clear" w:pos="9072"/>
                <w:tab w:val="left" w:pos="-1985"/>
                <w:tab w:val="right" w:pos="-1843"/>
                <w:tab w:val="right" w:pos="6096"/>
                <w:tab w:val="left" w:pos="6237"/>
              </w:tabs>
              <w:jc w:val="both"/>
              <w:rPr>
                <w:rFonts w:cs="Arial"/>
                <w:sz w:val="22"/>
                <w:szCs w:val="22"/>
              </w:rPr>
            </w:pPr>
            <w:r w:rsidRPr="0093272D">
              <w:rPr>
                <w:rFonts w:cs="Arial"/>
                <w:sz w:val="22"/>
                <w:szCs w:val="22"/>
              </w:rPr>
              <w:t>tvorba výstupů mimo</w:t>
            </w:r>
            <w:r>
              <w:rPr>
                <w:rFonts w:cs="Arial"/>
                <w:sz w:val="22"/>
                <w:szCs w:val="22"/>
              </w:rPr>
              <w:t xml:space="preserve"> HELIOS</w:t>
            </w:r>
            <w:r w:rsidRPr="0093272D">
              <w:rPr>
                <w:rFonts w:cs="Arial"/>
                <w:sz w:val="22"/>
                <w:szCs w:val="22"/>
              </w:rPr>
              <w:t xml:space="preserve"> </w:t>
            </w:r>
            <w:r>
              <w:rPr>
                <w:rFonts w:cs="Arial"/>
                <w:sz w:val="22"/>
                <w:szCs w:val="22"/>
              </w:rPr>
              <w:t xml:space="preserve">Orange </w:t>
            </w:r>
            <w:r w:rsidRPr="0093272D">
              <w:rPr>
                <w:rFonts w:cs="Arial"/>
                <w:sz w:val="22"/>
                <w:szCs w:val="22"/>
              </w:rPr>
              <w:t>(např. MS Office)</w:t>
            </w:r>
          </w:p>
          <w:p w14:paraId="3FB292C1" w14:textId="77777777" w:rsidR="001F0806" w:rsidRPr="0093272D" w:rsidRDefault="001F0806" w:rsidP="001F0806">
            <w:pPr>
              <w:pStyle w:val="Zhlav"/>
              <w:widowControl w:val="0"/>
              <w:numPr>
                <w:ilvl w:val="0"/>
                <w:numId w:val="22"/>
              </w:numPr>
              <w:tabs>
                <w:tab w:val="clear" w:pos="4536"/>
                <w:tab w:val="clear" w:pos="9072"/>
                <w:tab w:val="left" w:pos="-1985"/>
                <w:tab w:val="right" w:pos="-1843"/>
                <w:tab w:val="right" w:pos="6096"/>
                <w:tab w:val="left" w:pos="6237"/>
              </w:tabs>
              <w:jc w:val="both"/>
              <w:rPr>
                <w:rFonts w:cs="Arial"/>
                <w:sz w:val="22"/>
                <w:szCs w:val="22"/>
              </w:rPr>
            </w:pPr>
            <w:r w:rsidRPr="0093272D">
              <w:rPr>
                <w:rFonts w:cs="Arial"/>
                <w:sz w:val="22"/>
                <w:szCs w:val="22"/>
              </w:rPr>
              <w:t>programátorské práce</w:t>
            </w:r>
          </w:p>
          <w:p w14:paraId="40B4D92B" w14:textId="30647B20" w:rsidR="001F0806" w:rsidRPr="0093272D" w:rsidRDefault="001F0806" w:rsidP="001F0806">
            <w:pPr>
              <w:pStyle w:val="Zhlav"/>
              <w:widowControl w:val="0"/>
              <w:numPr>
                <w:ilvl w:val="0"/>
                <w:numId w:val="22"/>
              </w:numPr>
              <w:tabs>
                <w:tab w:val="clear" w:pos="4536"/>
                <w:tab w:val="clear" w:pos="9072"/>
                <w:tab w:val="left" w:pos="-1985"/>
                <w:tab w:val="right" w:pos="-1843"/>
                <w:tab w:val="right" w:pos="6096"/>
                <w:tab w:val="left" w:pos="6237"/>
              </w:tabs>
              <w:jc w:val="both"/>
              <w:rPr>
                <w:rFonts w:cs="Arial"/>
                <w:sz w:val="22"/>
                <w:szCs w:val="22"/>
              </w:rPr>
            </w:pPr>
            <w:r w:rsidRPr="0093272D">
              <w:rPr>
                <w:rFonts w:cs="Arial"/>
                <w:sz w:val="22"/>
                <w:szCs w:val="22"/>
              </w:rPr>
              <w:t>zakázkov</w:t>
            </w:r>
            <w:r>
              <w:rPr>
                <w:rFonts w:cs="Arial"/>
                <w:sz w:val="22"/>
                <w:szCs w:val="22"/>
              </w:rPr>
              <w:t>é úpravy</w:t>
            </w:r>
          </w:p>
          <w:p w14:paraId="74FC2567" w14:textId="77777777" w:rsidR="001F0806" w:rsidRPr="0093272D" w:rsidRDefault="001F0806" w:rsidP="001F0806">
            <w:pPr>
              <w:pStyle w:val="Zhlav"/>
              <w:widowControl w:val="0"/>
              <w:numPr>
                <w:ilvl w:val="0"/>
                <w:numId w:val="22"/>
              </w:numPr>
              <w:tabs>
                <w:tab w:val="clear" w:pos="4536"/>
                <w:tab w:val="clear" w:pos="9072"/>
                <w:tab w:val="left" w:pos="-1985"/>
                <w:tab w:val="right" w:pos="-1843"/>
                <w:tab w:val="right" w:pos="6096"/>
                <w:tab w:val="left" w:pos="6237"/>
              </w:tabs>
              <w:jc w:val="both"/>
              <w:rPr>
                <w:rFonts w:cs="Arial"/>
                <w:sz w:val="22"/>
                <w:szCs w:val="22"/>
              </w:rPr>
            </w:pPr>
            <w:r w:rsidRPr="0093272D">
              <w:rPr>
                <w:rFonts w:cs="Arial"/>
                <w:sz w:val="22"/>
                <w:szCs w:val="22"/>
              </w:rPr>
              <w:t>práce s daty (převody a oprava dat)</w:t>
            </w:r>
          </w:p>
          <w:p w14:paraId="0833D802" w14:textId="77777777" w:rsidR="001F0806" w:rsidRDefault="001F0806" w:rsidP="001F0806">
            <w:pPr>
              <w:pStyle w:val="Zhlav"/>
              <w:widowControl w:val="0"/>
              <w:numPr>
                <w:ilvl w:val="0"/>
                <w:numId w:val="22"/>
              </w:numPr>
              <w:tabs>
                <w:tab w:val="clear" w:pos="4536"/>
                <w:tab w:val="clear" w:pos="9072"/>
                <w:tab w:val="left" w:pos="-1985"/>
                <w:tab w:val="right" w:pos="-1843"/>
                <w:tab w:val="right" w:pos="6096"/>
                <w:tab w:val="left" w:pos="6237"/>
              </w:tabs>
              <w:jc w:val="both"/>
              <w:rPr>
                <w:rFonts w:cs="Arial"/>
                <w:sz w:val="22"/>
                <w:szCs w:val="22"/>
              </w:rPr>
            </w:pPr>
            <w:r w:rsidRPr="0093272D">
              <w:rPr>
                <w:rFonts w:cs="Arial"/>
                <w:sz w:val="22"/>
                <w:szCs w:val="22"/>
              </w:rPr>
              <w:t>reinstalace</w:t>
            </w:r>
            <w:r>
              <w:rPr>
                <w:rFonts w:cs="Arial"/>
                <w:sz w:val="22"/>
                <w:szCs w:val="22"/>
              </w:rPr>
              <w:t xml:space="preserve"> HELIOS</w:t>
            </w:r>
          </w:p>
          <w:p w14:paraId="6B809352" w14:textId="329B7E3A" w:rsidR="001F0806" w:rsidRPr="0093272D" w:rsidRDefault="001F0806" w:rsidP="001F0806">
            <w:pPr>
              <w:pStyle w:val="Odstavecseseznamem"/>
              <w:widowControl w:val="0"/>
              <w:numPr>
                <w:ilvl w:val="0"/>
                <w:numId w:val="22"/>
              </w:numPr>
              <w:contextualSpacing w:val="0"/>
              <w:jc w:val="both"/>
              <w:rPr>
                <w:rFonts w:cs="Arial"/>
                <w:szCs w:val="22"/>
              </w:rPr>
            </w:pPr>
            <w:r>
              <w:rPr>
                <w:rFonts w:cs="Arial"/>
                <w:szCs w:val="22"/>
              </w:rPr>
              <w:t>instalace HELIOS, SQL</w:t>
            </w:r>
          </w:p>
        </w:tc>
        <w:tc>
          <w:tcPr>
            <w:tcW w:w="1843" w:type="dxa"/>
            <w:gridSpan w:val="2"/>
            <w:shd w:val="clear" w:color="auto" w:fill="auto"/>
            <w:tcMar>
              <w:top w:w="113" w:type="dxa"/>
              <w:left w:w="0" w:type="dxa"/>
              <w:bottom w:w="113" w:type="dxa"/>
              <w:right w:w="57" w:type="dxa"/>
            </w:tcMar>
          </w:tcPr>
          <w:p w14:paraId="3EA09EB6" w14:textId="77777777" w:rsidR="001F0806" w:rsidRPr="00956905" w:rsidRDefault="001F0806" w:rsidP="00552185">
            <w:pPr>
              <w:widowControl w:val="0"/>
              <w:ind w:left="175" w:right="85"/>
              <w:jc w:val="center"/>
              <w:rPr>
                <w:rFonts w:cs="Arial"/>
                <w:b/>
                <w:bCs/>
                <w:sz w:val="8"/>
                <w:szCs w:val="8"/>
              </w:rPr>
            </w:pPr>
          </w:p>
          <w:p w14:paraId="32F57194" w14:textId="633E82DD" w:rsidR="001F0806" w:rsidRPr="0093272D" w:rsidRDefault="001F0806" w:rsidP="00552185">
            <w:pPr>
              <w:widowControl w:val="0"/>
              <w:ind w:left="175" w:right="85"/>
              <w:jc w:val="right"/>
              <w:rPr>
                <w:rFonts w:cs="Arial"/>
                <w:b/>
                <w:bCs/>
                <w:szCs w:val="22"/>
              </w:rPr>
            </w:pPr>
            <w:r>
              <w:rPr>
                <w:rFonts w:cs="Arial"/>
                <w:b/>
                <w:bCs/>
                <w:szCs w:val="22"/>
              </w:rPr>
              <w:t>1800</w:t>
            </w:r>
            <w:r w:rsidRPr="0093272D">
              <w:rPr>
                <w:rFonts w:cs="Arial"/>
                <w:b/>
                <w:bCs/>
                <w:szCs w:val="22"/>
              </w:rPr>
              <w:t xml:space="preserve"> Kč / hod.</w:t>
            </w:r>
          </w:p>
        </w:tc>
      </w:tr>
      <w:tr w:rsidR="00B231E8" w14:paraId="7FC04986" w14:textId="77777777" w:rsidTr="00B231E8">
        <w:trPr>
          <w:trHeight w:val="340"/>
        </w:trPr>
        <w:tc>
          <w:tcPr>
            <w:tcW w:w="7655" w:type="dxa"/>
            <w:shd w:val="clear" w:color="auto" w:fill="auto"/>
            <w:tcMar>
              <w:top w:w="113" w:type="dxa"/>
              <w:bottom w:w="113" w:type="dxa"/>
            </w:tcMar>
          </w:tcPr>
          <w:p w14:paraId="1EF5CA1F" w14:textId="068D4C9E" w:rsidR="00B231E8" w:rsidRPr="00865110" w:rsidRDefault="00B231E8" w:rsidP="00B11E6E">
            <w:pPr>
              <w:pStyle w:val="Zhlav"/>
              <w:widowControl w:val="0"/>
              <w:tabs>
                <w:tab w:val="clear" w:pos="4536"/>
                <w:tab w:val="clear" w:pos="9072"/>
                <w:tab w:val="left" w:pos="-1985"/>
                <w:tab w:val="right" w:pos="-1843"/>
                <w:tab w:val="right" w:pos="6096"/>
                <w:tab w:val="left" w:pos="6237"/>
              </w:tabs>
              <w:jc w:val="both"/>
              <w:rPr>
                <w:rFonts w:cs="Arial"/>
                <w:sz w:val="22"/>
                <w:szCs w:val="22"/>
              </w:rPr>
            </w:pPr>
          </w:p>
        </w:tc>
        <w:tc>
          <w:tcPr>
            <w:tcW w:w="1843" w:type="dxa"/>
            <w:gridSpan w:val="2"/>
            <w:shd w:val="clear" w:color="auto" w:fill="auto"/>
            <w:tcMar>
              <w:top w:w="113" w:type="dxa"/>
              <w:left w:w="0" w:type="dxa"/>
              <w:bottom w:w="113" w:type="dxa"/>
              <w:right w:w="57" w:type="dxa"/>
            </w:tcMar>
          </w:tcPr>
          <w:p w14:paraId="5657C228" w14:textId="77777777" w:rsidR="00B231E8" w:rsidRPr="0093272D" w:rsidRDefault="00B231E8" w:rsidP="00AD020E">
            <w:pPr>
              <w:widowControl w:val="0"/>
              <w:ind w:left="175" w:right="85"/>
              <w:jc w:val="right"/>
              <w:rPr>
                <w:rFonts w:cs="Arial"/>
                <w:b/>
                <w:bCs/>
                <w:szCs w:val="22"/>
              </w:rPr>
            </w:pPr>
          </w:p>
        </w:tc>
      </w:tr>
      <w:tr w:rsidR="00B231E8" w:rsidRPr="00523070" w14:paraId="77742667" w14:textId="77777777" w:rsidTr="00B231E8">
        <w:trPr>
          <w:trHeight w:hRule="exact" w:val="397"/>
        </w:trPr>
        <w:tc>
          <w:tcPr>
            <w:tcW w:w="7655" w:type="dxa"/>
            <w:tcBorders>
              <w:right w:val="single" w:sz="4" w:space="0" w:color="00B0F0"/>
            </w:tcBorders>
            <w:shd w:val="clear" w:color="auto" w:fill="00B0F0"/>
            <w:tcMar>
              <w:top w:w="113" w:type="dxa"/>
              <w:bottom w:w="113" w:type="dxa"/>
            </w:tcMar>
            <w:vAlign w:val="center"/>
          </w:tcPr>
          <w:p w14:paraId="30F3B50A" w14:textId="77777777" w:rsidR="00B231E8" w:rsidRPr="00523070" w:rsidRDefault="00B231E8" w:rsidP="00AD020E">
            <w:pPr>
              <w:widowControl w:val="0"/>
              <w:rPr>
                <w:rFonts w:eastAsia="Calibri" w:cs="Arial"/>
                <w:b/>
                <w:bCs/>
                <w:color w:val="FFFFFF"/>
                <w:sz w:val="24"/>
                <w:szCs w:val="24"/>
              </w:rPr>
            </w:pPr>
            <w:r w:rsidRPr="00523070">
              <w:rPr>
                <w:rFonts w:eastAsia="Calibri" w:cs="Arial"/>
                <w:b/>
                <w:bCs/>
                <w:color w:val="FFFFFF"/>
                <w:sz w:val="24"/>
                <w:szCs w:val="24"/>
              </w:rPr>
              <w:t>Paušály a cestovné</w:t>
            </w:r>
          </w:p>
        </w:tc>
        <w:tc>
          <w:tcPr>
            <w:tcW w:w="1843" w:type="dxa"/>
            <w:gridSpan w:val="2"/>
            <w:tcBorders>
              <w:left w:val="single" w:sz="4" w:space="0" w:color="00B0F0"/>
            </w:tcBorders>
            <w:shd w:val="clear" w:color="auto" w:fill="00B0F0"/>
            <w:tcMar>
              <w:top w:w="113" w:type="dxa"/>
              <w:left w:w="0" w:type="dxa"/>
              <w:bottom w:w="113" w:type="dxa"/>
              <w:right w:w="57" w:type="dxa"/>
            </w:tcMar>
            <w:vAlign w:val="center"/>
          </w:tcPr>
          <w:p w14:paraId="10751A07" w14:textId="77777777" w:rsidR="00B231E8" w:rsidRPr="00523070" w:rsidRDefault="00B231E8" w:rsidP="00AD020E">
            <w:pPr>
              <w:widowControl w:val="0"/>
              <w:ind w:right="85"/>
              <w:jc w:val="center"/>
              <w:rPr>
                <w:rFonts w:eastAsia="Calibri" w:cs="Arial"/>
                <w:b/>
                <w:bCs/>
                <w:color w:val="FFFFFF"/>
                <w:sz w:val="24"/>
                <w:szCs w:val="24"/>
              </w:rPr>
            </w:pPr>
            <w:r w:rsidRPr="00523070">
              <w:rPr>
                <w:rFonts w:eastAsia="Calibri" w:cs="Arial"/>
                <w:b/>
                <w:bCs/>
                <w:color w:val="FFFFFF"/>
                <w:sz w:val="24"/>
                <w:szCs w:val="24"/>
              </w:rPr>
              <w:t>Cena bez DPH</w:t>
            </w:r>
          </w:p>
        </w:tc>
      </w:tr>
      <w:tr w:rsidR="00B231E8" w:rsidRPr="00523070" w14:paraId="69736E23" w14:textId="77777777" w:rsidTr="00B231E8">
        <w:trPr>
          <w:trHeight w:hRule="exact" w:val="454"/>
        </w:trPr>
        <w:tc>
          <w:tcPr>
            <w:tcW w:w="7655" w:type="dxa"/>
            <w:shd w:val="clear" w:color="auto" w:fill="auto"/>
            <w:tcMar>
              <w:top w:w="113" w:type="dxa"/>
              <w:bottom w:w="113" w:type="dxa"/>
            </w:tcMar>
            <w:vAlign w:val="bottom"/>
          </w:tcPr>
          <w:p w14:paraId="3DF22F89" w14:textId="77777777" w:rsidR="00B231E8" w:rsidRPr="00C36BB4" w:rsidRDefault="00B231E8" w:rsidP="00AD020E">
            <w:pPr>
              <w:tabs>
                <w:tab w:val="right" w:pos="-1985"/>
                <w:tab w:val="right" w:pos="-1843"/>
                <w:tab w:val="right" w:pos="6096"/>
                <w:tab w:val="left" w:pos="6237"/>
              </w:tabs>
              <w:rPr>
                <w:rFonts w:eastAsia="Calibri" w:cs="Arial"/>
                <w:b/>
                <w:bCs/>
                <w:szCs w:val="22"/>
              </w:rPr>
            </w:pPr>
            <w:bookmarkStart w:id="11" w:name="_Hlk30063098"/>
            <w:r w:rsidRPr="00523070">
              <w:rPr>
                <w:rFonts w:eastAsia="Calibri" w:cs="Arial"/>
                <w:b/>
                <w:bCs/>
                <w:szCs w:val="22"/>
              </w:rPr>
              <w:t>Příprava na konzultaci</w:t>
            </w:r>
          </w:p>
        </w:tc>
        <w:tc>
          <w:tcPr>
            <w:tcW w:w="1843" w:type="dxa"/>
            <w:gridSpan w:val="2"/>
            <w:shd w:val="clear" w:color="auto" w:fill="auto"/>
            <w:tcMar>
              <w:top w:w="113" w:type="dxa"/>
              <w:left w:w="0" w:type="dxa"/>
              <w:bottom w:w="113" w:type="dxa"/>
              <w:right w:w="57" w:type="dxa"/>
            </w:tcMar>
            <w:vAlign w:val="bottom"/>
          </w:tcPr>
          <w:p w14:paraId="0F1666D3" w14:textId="45FFD349" w:rsidR="00B231E8" w:rsidRPr="00523070" w:rsidRDefault="008370E0" w:rsidP="00AD020E">
            <w:pPr>
              <w:widowControl w:val="0"/>
              <w:ind w:left="175" w:right="85"/>
              <w:jc w:val="right"/>
              <w:rPr>
                <w:rFonts w:eastAsia="Calibri" w:cs="Arial"/>
                <w:b/>
                <w:bCs/>
                <w:szCs w:val="22"/>
              </w:rPr>
            </w:pPr>
            <w:r>
              <w:rPr>
                <w:rFonts w:eastAsia="Calibri" w:cs="Arial"/>
                <w:b/>
                <w:bCs/>
                <w:szCs w:val="22"/>
              </w:rPr>
              <w:t>400</w:t>
            </w:r>
            <w:r w:rsidR="00B231E8" w:rsidRPr="00523070">
              <w:rPr>
                <w:rFonts w:eastAsia="Calibri" w:cs="Arial"/>
                <w:b/>
                <w:bCs/>
                <w:szCs w:val="22"/>
              </w:rPr>
              <w:t xml:space="preserve"> Kč</w:t>
            </w:r>
          </w:p>
        </w:tc>
      </w:tr>
      <w:bookmarkEnd w:id="11"/>
      <w:tr w:rsidR="00B231E8" w:rsidRPr="00523070" w14:paraId="38797A2A" w14:textId="77777777" w:rsidTr="00B231E8">
        <w:trPr>
          <w:trHeight w:hRule="exact" w:val="397"/>
        </w:trPr>
        <w:tc>
          <w:tcPr>
            <w:tcW w:w="7655" w:type="dxa"/>
            <w:shd w:val="clear" w:color="auto" w:fill="auto"/>
            <w:tcMar>
              <w:top w:w="113" w:type="dxa"/>
              <w:bottom w:w="113" w:type="dxa"/>
            </w:tcMar>
            <w:vAlign w:val="bottom"/>
          </w:tcPr>
          <w:p w14:paraId="0C552B7B" w14:textId="77777777" w:rsidR="00B231E8" w:rsidRPr="00523070" w:rsidRDefault="00B231E8" w:rsidP="00AD020E">
            <w:pPr>
              <w:widowControl w:val="0"/>
              <w:tabs>
                <w:tab w:val="left" w:pos="-1985"/>
                <w:tab w:val="right" w:pos="-1843"/>
                <w:tab w:val="right" w:pos="6096"/>
                <w:tab w:val="left" w:pos="6237"/>
              </w:tabs>
              <w:rPr>
                <w:rFonts w:eastAsia="Calibri" w:cs="Arial"/>
                <w:szCs w:val="22"/>
              </w:rPr>
            </w:pPr>
            <w:r w:rsidRPr="00523070">
              <w:rPr>
                <w:rFonts w:eastAsia="Calibri" w:cs="Arial"/>
                <w:b/>
                <w:bCs/>
                <w:szCs w:val="22"/>
              </w:rPr>
              <w:t>Cestovné</w:t>
            </w:r>
          </w:p>
        </w:tc>
        <w:tc>
          <w:tcPr>
            <w:tcW w:w="1843" w:type="dxa"/>
            <w:gridSpan w:val="2"/>
            <w:shd w:val="clear" w:color="auto" w:fill="auto"/>
            <w:tcMar>
              <w:top w:w="113" w:type="dxa"/>
              <w:left w:w="0" w:type="dxa"/>
              <w:bottom w:w="113" w:type="dxa"/>
              <w:right w:w="57" w:type="dxa"/>
            </w:tcMar>
            <w:vAlign w:val="bottom"/>
          </w:tcPr>
          <w:p w14:paraId="3A71BD57" w14:textId="0E2B2994" w:rsidR="00B231E8" w:rsidRPr="00523070" w:rsidRDefault="008370E0" w:rsidP="00AD020E">
            <w:pPr>
              <w:widowControl w:val="0"/>
              <w:ind w:left="175" w:right="85"/>
              <w:jc w:val="right"/>
              <w:rPr>
                <w:rFonts w:eastAsia="Calibri" w:cs="Arial"/>
                <w:b/>
                <w:bCs/>
                <w:szCs w:val="22"/>
              </w:rPr>
            </w:pPr>
            <w:r>
              <w:rPr>
                <w:rFonts w:eastAsia="Calibri" w:cs="Arial"/>
                <w:b/>
                <w:bCs/>
                <w:szCs w:val="22"/>
              </w:rPr>
              <w:t>12</w:t>
            </w:r>
            <w:r w:rsidR="00B231E8" w:rsidRPr="00523070">
              <w:rPr>
                <w:rFonts w:eastAsia="Calibri" w:cs="Arial"/>
                <w:b/>
                <w:bCs/>
                <w:szCs w:val="22"/>
              </w:rPr>
              <w:t xml:space="preserve"> Kč / km</w:t>
            </w:r>
          </w:p>
        </w:tc>
      </w:tr>
      <w:tr w:rsidR="00B231E8" w:rsidRPr="00523070" w14:paraId="6B9025F7" w14:textId="77777777" w:rsidTr="00B231E8">
        <w:trPr>
          <w:trHeight w:hRule="exact" w:val="397"/>
        </w:trPr>
        <w:tc>
          <w:tcPr>
            <w:tcW w:w="7655" w:type="dxa"/>
            <w:shd w:val="clear" w:color="auto" w:fill="auto"/>
            <w:tcMar>
              <w:top w:w="113" w:type="dxa"/>
              <w:bottom w:w="113" w:type="dxa"/>
            </w:tcMar>
            <w:vAlign w:val="bottom"/>
          </w:tcPr>
          <w:p w14:paraId="275062A5" w14:textId="77777777" w:rsidR="00B231E8" w:rsidRDefault="00B231E8" w:rsidP="00AD020E">
            <w:pPr>
              <w:widowControl w:val="0"/>
              <w:rPr>
                <w:rFonts w:eastAsia="Calibri" w:cs="Arial"/>
                <w:b/>
                <w:bCs/>
                <w:szCs w:val="22"/>
              </w:rPr>
            </w:pPr>
            <w:r w:rsidRPr="00523070">
              <w:rPr>
                <w:rFonts w:eastAsia="Calibri" w:cs="Arial"/>
                <w:b/>
                <w:bCs/>
                <w:szCs w:val="22"/>
              </w:rPr>
              <w:t>Čas strávený na cestě</w:t>
            </w:r>
          </w:p>
          <w:p w14:paraId="51E50F0F" w14:textId="77777777" w:rsidR="00B231E8" w:rsidRPr="00B65B05" w:rsidRDefault="00B231E8" w:rsidP="00AD020E">
            <w:pPr>
              <w:rPr>
                <w:rFonts w:eastAsia="Calibri" w:cs="Arial"/>
                <w:szCs w:val="22"/>
              </w:rPr>
            </w:pPr>
          </w:p>
          <w:p w14:paraId="5B7F985A" w14:textId="77777777" w:rsidR="00B231E8" w:rsidRPr="00B65B05" w:rsidRDefault="00B231E8" w:rsidP="00AD020E">
            <w:pPr>
              <w:rPr>
                <w:rFonts w:eastAsia="Calibri" w:cs="Arial"/>
                <w:szCs w:val="22"/>
              </w:rPr>
            </w:pPr>
          </w:p>
          <w:p w14:paraId="49048FBC" w14:textId="77777777" w:rsidR="00B231E8" w:rsidRPr="00B65B05" w:rsidRDefault="00B231E8" w:rsidP="00AD020E">
            <w:pPr>
              <w:rPr>
                <w:rFonts w:eastAsia="Calibri" w:cs="Arial"/>
                <w:szCs w:val="22"/>
              </w:rPr>
            </w:pPr>
          </w:p>
          <w:p w14:paraId="4F0AED5F" w14:textId="77777777" w:rsidR="00B231E8" w:rsidRPr="00B65B05" w:rsidRDefault="00B231E8" w:rsidP="00AD020E">
            <w:pPr>
              <w:rPr>
                <w:rFonts w:eastAsia="Calibri" w:cs="Arial"/>
                <w:szCs w:val="22"/>
              </w:rPr>
            </w:pPr>
          </w:p>
          <w:p w14:paraId="714139B0" w14:textId="77777777" w:rsidR="00B231E8" w:rsidRPr="00B65B05" w:rsidRDefault="00B231E8" w:rsidP="00AD020E">
            <w:pPr>
              <w:rPr>
                <w:rFonts w:eastAsia="Calibri" w:cs="Arial"/>
                <w:szCs w:val="22"/>
              </w:rPr>
            </w:pPr>
          </w:p>
          <w:p w14:paraId="6E4F0F85" w14:textId="77777777" w:rsidR="00B231E8" w:rsidRPr="00B65B05" w:rsidRDefault="00B231E8" w:rsidP="00AD020E">
            <w:pPr>
              <w:rPr>
                <w:rFonts w:eastAsia="Calibri" w:cs="Arial"/>
                <w:szCs w:val="22"/>
              </w:rPr>
            </w:pPr>
          </w:p>
          <w:p w14:paraId="6A134172" w14:textId="77777777" w:rsidR="00B231E8" w:rsidRPr="00B65B05" w:rsidRDefault="00B231E8" w:rsidP="00AD020E">
            <w:pPr>
              <w:tabs>
                <w:tab w:val="left" w:pos="4420"/>
              </w:tabs>
              <w:rPr>
                <w:rFonts w:eastAsia="Calibri" w:cs="Arial"/>
                <w:szCs w:val="22"/>
              </w:rPr>
            </w:pPr>
            <w:r>
              <w:rPr>
                <w:rFonts w:eastAsia="Calibri" w:cs="Arial"/>
                <w:szCs w:val="22"/>
              </w:rPr>
              <w:tab/>
            </w:r>
          </w:p>
        </w:tc>
        <w:tc>
          <w:tcPr>
            <w:tcW w:w="1843" w:type="dxa"/>
            <w:gridSpan w:val="2"/>
            <w:shd w:val="clear" w:color="auto" w:fill="auto"/>
            <w:tcMar>
              <w:top w:w="113" w:type="dxa"/>
              <w:left w:w="0" w:type="dxa"/>
              <w:bottom w:w="113" w:type="dxa"/>
              <w:right w:w="57" w:type="dxa"/>
            </w:tcMar>
            <w:vAlign w:val="bottom"/>
          </w:tcPr>
          <w:p w14:paraId="7FC2B469" w14:textId="64779571" w:rsidR="00B231E8" w:rsidRPr="00523070" w:rsidRDefault="008370E0" w:rsidP="00AD020E">
            <w:pPr>
              <w:widowControl w:val="0"/>
              <w:ind w:left="175" w:right="85"/>
              <w:jc w:val="right"/>
              <w:rPr>
                <w:rFonts w:eastAsia="Calibri" w:cs="Arial"/>
                <w:b/>
                <w:bCs/>
                <w:szCs w:val="22"/>
              </w:rPr>
            </w:pPr>
            <w:r>
              <w:rPr>
                <w:rFonts w:eastAsia="Calibri" w:cs="Arial"/>
                <w:b/>
                <w:bCs/>
                <w:szCs w:val="22"/>
              </w:rPr>
              <w:t>400</w:t>
            </w:r>
            <w:r w:rsidR="00B231E8" w:rsidRPr="00523070">
              <w:rPr>
                <w:rFonts w:eastAsia="Calibri" w:cs="Arial"/>
                <w:b/>
                <w:bCs/>
                <w:szCs w:val="22"/>
              </w:rPr>
              <w:t xml:space="preserve"> Kč / hod.</w:t>
            </w:r>
          </w:p>
        </w:tc>
      </w:tr>
    </w:tbl>
    <w:p w14:paraId="140D5E75" w14:textId="77777777" w:rsidR="00B231E8" w:rsidRPr="008811AE" w:rsidRDefault="00B231E8" w:rsidP="00B231E8"/>
    <w:p w14:paraId="5FED6D5E" w14:textId="77777777" w:rsidR="00B231E8" w:rsidRPr="008811AE" w:rsidRDefault="00B231E8" w:rsidP="00B231E8"/>
    <w:p w14:paraId="67BA7165" w14:textId="77777777" w:rsidR="001F0806" w:rsidRDefault="001F0806">
      <w:r>
        <w:br w:type="page"/>
      </w:r>
    </w:p>
    <w:tbl>
      <w:tblPr>
        <w:tblW w:w="9498" w:type="dxa"/>
        <w:tblCellMar>
          <w:top w:w="170" w:type="dxa"/>
          <w:bottom w:w="170" w:type="dxa"/>
        </w:tblCellMar>
        <w:tblLook w:val="04A0" w:firstRow="1" w:lastRow="0" w:firstColumn="1" w:lastColumn="0" w:noHBand="0" w:noVBand="1"/>
      </w:tblPr>
      <w:tblGrid>
        <w:gridCol w:w="7655"/>
        <w:gridCol w:w="1843"/>
      </w:tblGrid>
      <w:tr w:rsidR="00B231E8" w:rsidRPr="00523070" w14:paraId="258CDC53" w14:textId="77777777" w:rsidTr="00B231E8">
        <w:trPr>
          <w:trHeight w:hRule="exact" w:val="397"/>
        </w:trPr>
        <w:tc>
          <w:tcPr>
            <w:tcW w:w="7655" w:type="dxa"/>
            <w:tcBorders>
              <w:right w:val="single" w:sz="4" w:space="0" w:color="00B0F0"/>
            </w:tcBorders>
            <w:shd w:val="clear" w:color="auto" w:fill="00B0F0"/>
            <w:tcMar>
              <w:top w:w="113" w:type="dxa"/>
              <w:bottom w:w="113" w:type="dxa"/>
            </w:tcMar>
            <w:vAlign w:val="center"/>
          </w:tcPr>
          <w:p w14:paraId="32899833" w14:textId="7472808C" w:rsidR="00B231E8" w:rsidRPr="00523070" w:rsidRDefault="00B231E8" w:rsidP="00AD020E">
            <w:pPr>
              <w:widowControl w:val="0"/>
              <w:rPr>
                <w:rFonts w:eastAsia="Calibri" w:cs="Arial"/>
                <w:b/>
                <w:bCs/>
                <w:color w:val="FFFFFF"/>
                <w:sz w:val="24"/>
                <w:szCs w:val="24"/>
              </w:rPr>
            </w:pPr>
            <w:r w:rsidRPr="00523070">
              <w:rPr>
                <w:rFonts w:eastAsia="Calibri" w:cs="Arial"/>
                <w:b/>
                <w:bCs/>
                <w:color w:val="FFFFFF"/>
                <w:sz w:val="24"/>
                <w:szCs w:val="24"/>
              </w:rPr>
              <w:lastRenderedPageBreak/>
              <w:t>Příplatky a poplatky *</w:t>
            </w:r>
          </w:p>
        </w:tc>
        <w:tc>
          <w:tcPr>
            <w:tcW w:w="1843" w:type="dxa"/>
            <w:tcBorders>
              <w:left w:val="single" w:sz="4" w:space="0" w:color="00B0F0"/>
            </w:tcBorders>
            <w:shd w:val="clear" w:color="auto" w:fill="00B0F0"/>
            <w:tcMar>
              <w:top w:w="113" w:type="dxa"/>
              <w:left w:w="0" w:type="dxa"/>
              <w:bottom w:w="113" w:type="dxa"/>
              <w:right w:w="57" w:type="dxa"/>
            </w:tcMar>
            <w:vAlign w:val="center"/>
          </w:tcPr>
          <w:p w14:paraId="63A0A954" w14:textId="77777777" w:rsidR="00B231E8" w:rsidRPr="00523070" w:rsidRDefault="00B231E8" w:rsidP="00AD020E">
            <w:pPr>
              <w:widowControl w:val="0"/>
              <w:ind w:right="85"/>
              <w:jc w:val="center"/>
              <w:rPr>
                <w:rFonts w:eastAsia="Calibri" w:cs="Arial"/>
                <w:b/>
                <w:bCs/>
                <w:color w:val="FFFFFF"/>
                <w:sz w:val="24"/>
                <w:szCs w:val="24"/>
              </w:rPr>
            </w:pPr>
            <w:r w:rsidRPr="00523070">
              <w:rPr>
                <w:rFonts w:eastAsia="Calibri" w:cs="Arial"/>
                <w:b/>
                <w:bCs/>
                <w:color w:val="FFFFFF"/>
                <w:sz w:val="24"/>
                <w:szCs w:val="24"/>
              </w:rPr>
              <w:t>Cena bez DPH</w:t>
            </w:r>
          </w:p>
        </w:tc>
      </w:tr>
      <w:tr w:rsidR="00B231E8" w:rsidRPr="00523070" w14:paraId="3B74584F" w14:textId="77777777" w:rsidTr="00B231E8">
        <w:trPr>
          <w:trHeight w:val="437"/>
        </w:trPr>
        <w:tc>
          <w:tcPr>
            <w:tcW w:w="7655" w:type="dxa"/>
            <w:shd w:val="clear" w:color="auto" w:fill="auto"/>
            <w:tcMar>
              <w:top w:w="28" w:type="dxa"/>
              <w:bottom w:w="142" w:type="dxa"/>
            </w:tcMar>
          </w:tcPr>
          <w:p w14:paraId="27ED29B4" w14:textId="77777777" w:rsidR="00B231E8" w:rsidRPr="00523070" w:rsidRDefault="00B231E8" w:rsidP="003C3AEE">
            <w:pPr>
              <w:numPr>
                <w:ilvl w:val="0"/>
                <w:numId w:val="23"/>
              </w:numPr>
              <w:tabs>
                <w:tab w:val="left" w:pos="1031"/>
              </w:tabs>
              <w:ind w:left="1031" w:hanging="283"/>
              <w:contextualSpacing/>
              <w:jc w:val="both"/>
              <w:rPr>
                <w:rFonts w:eastAsia="Calibri" w:cs="Arial"/>
                <w:i/>
                <w:szCs w:val="22"/>
              </w:rPr>
            </w:pPr>
            <w:r w:rsidRPr="00523070">
              <w:rPr>
                <w:rFonts w:eastAsia="Calibri" w:cs="Arial"/>
                <w:i/>
                <w:szCs w:val="22"/>
              </w:rPr>
              <w:t xml:space="preserve">Žádný příplatek nezvyšuje základ ceny pro stanovení kteréhokoliv </w:t>
            </w:r>
          </w:p>
          <w:p w14:paraId="5065B827" w14:textId="77777777" w:rsidR="00B231E8" w:rsidRPr="00523070" w:rsidRDefault="00B231E8" w:rsidP="00AD020E">
            <w:pPr>
              <w:tabs>
                <w:tab w:val="left" w:pos="1031"/>
              </w:tabs>
              <w:ind w:left="1031"/>
              <w:contextualSpacing/>
              <w:rPr>
                <w:rFonts w:eastAsia="Calibri" w:cs="Arial"/>
                <w:i/>
                <w:szCs w:val="22"/>
              </w:rPr>
            </w:pPr>
            <w:r w:rsidRPr="00523070">
              <w:rPr>
                <w:rFonts w:eastAsia="Calibri" w:cs="Arial"/>
                <w:i/>
                <w:szCs w:val="22"/>
              </w:rPr>
              <w:t>dalšího příplatku.</w:t>
            </w:r>
          </w:p>
        </w:tc>
        <w:tc>
          <w:tcPr>
            <w:tcW w:w="1843" w:type="dxa"/>
            <w:shd w:val="clear" w:color="auto" w:fill="auto"/>
            <w:tcMar>
              <w:top w:w="28" w:type="dxa"/>
              <w:left w:w="0" w:type="dxa"/>
              <w:bottom w:w="142" w:type="dxa"/>
              <w:right w:w="57" w:type="dxa"/>
            </w:tcMar>
          </w:tcPr>
          <w:p w14:paraId="6956A13C" w14:textId="77777777" w:rsidR="00B231E8" w:rsidRPr="00523070" w:rsidRDefault="00B231E8" w:rsidP="00AD020E">
            <w:pPr>
              <w:widowControl w:val="0"/>
              <w:ind w:left="175" w:right="85"/>
              <w:jc w:val="right"/>
              <w:rPr>
                <w:rFonts w:eastAsia="Calibri" w:cs="Arial"/>
                <w:b/>
                <w:bCs/>
                <w:sz w:val="10"/>
                <w:szCs w:val="10"/>
              </w:rPr>
            </w:pPr>
          </w:p>
        </w:tc>
      </w:tr>
      <w:tr w:rsidR="00B231E8" w:rsidRPr="00523070" w14:paraId="781FA61A" w14:textId="77777777" w:rsidTr="00B231E8">
        <w:trPr>
          <w:trHeight w:val="765"/>
        </w:trPr>
        <w:tc>
          <w:tcPr>
            <w:tcW w:w="7655" w:type="dxa"/>
            <w:shd w:val="clear" w:color="auto" w:fill="auto"/>
            <w:tcMar>
              <w:top w:w="113" w:type="dxa"/>
              <w:bottom w:w="113" w:type="dxa"/>
            </w:tcMar>
          </w:tcPr>
          <w:p w14:paraId="796C9C8C" w14:textId="77777777" w:rsidR="00B231E8" w:rsidRPr="00523070" w:rsidRDefault="00B231E8" w:rsidP="00AD020E">
            <w:pPr>
              <w:tabs>
                <w:tab w:val="right" w:pos="-1985"/>
                <w:tab w:val="right" w:pos="-1843"/>
                <w:tab w:val="right" w:pos="6096"/>
                <w:tab w:val="left" w:pos="6237"/>
              </w:tabs>
              <w:spacing w:after="60"/>
              <w:rPr>
                <w:rFonts w:eastAsia="Calibri" w:cs="Arial"/>
                <w:b/>
                <w:bCs/>
                <w:szCs w:val="22"/>
              </w:rPr>
            </w:pPr>
            <w:r w:rsidRPr="00523070">
              <w:rPr>
                <w:rFonts w:eastAsia="Calibri" w:cs="Arial"/>
                <w:b/>
                <w:bCs/>
                <w:szCs w:val="22"/>
              </w:rPr>
              <w:t>Příplatek za práci mimo pracovní dobu</w:t>
            </w:r>
          </w:p>
          <w:p w14:paraId="56BE9C7F" w14:textId="0880E5BD" w:rsidR="00B231E8" w:rsidRPr="00523070" w:rsidRDefault="00B231E8" w:rsidP="003C3AEE">
            <w:pPr>
              <w:numPr>
                <w:ilvl w:val="0"/>
                <w:numId w:val="19"/>
              </w:numPr>
              <w:tabs>
                <w:tab w:val="clear" w:pos="720"/>
                <w:tab w:val="left" w:pos="-1985"/>
                <w:tab w:val="right" w:pos="-1843"/>
                <w:tab w:val="num" w:pos="1068"/>
                <w:tab w:val="right" w:pos="6237"/>
              </w:tabs>
              <w:ind w:left="1068"/>
              <w:jc w:val="both"/>
              <w:rPr>
                <w:rFonts w:eastAsia="Calibri" w:cs="Arial"/>
                <w:szCs w:val="22"/>
              </w:rPr>
            </w:pPr>
            <w:r w:rsidRPr="00523070">
              <w:rPr>
                <w:rFonts w:eastAsia="Calibri" w:cs="Arial"/>
                <w:szCs w:val="22"/>
              </w:rPr>
              <w:t>od 1</w:t>
            </w:r>
            <w:r w:rsidR="00B11E6E">
              <w:rPr>
                <w:rFonts w:eastAsia="Calibri" w:cs="Arial"/>
                <w:szCs w:val="22"/>
              </w:rPr>
              <w:t>6</w:t>
            </w:r>
            <w:r w:rsidRPr="00523070">
              <w:rPr>
                <w:rFonts w:eastAsia="Calibri" w:cs="Arial"/>
                <w:szCs w:val="22"/>
              </w:rPr>
              <w:t>:00 do 8:00</w:t>
            </w:r>
          </w:p>
          <w:p w14:paraId="698694DE" w14:textId="77777777" w:rsidR="00B231E8" w:rsidRPr="00523070" w:rsidRDefault="00B231E8" w:rsidP="003C3AEE">
            <w:pPr>
              <w:numPr>
                <w:ilvl w:val="0"/>
                <w:numId w:val="19"/>
              </w:numPr>
              <w:tabs>
                <w:tab w:val="clear" w:pos="720"/>
                <w:tab w:val="left" w:pos="-1985"/>
                <w:tab w:val="right" w:pos="-1843"/>
                <w:tab w:val="num" w:pos="1068"/>
                <w:tab w:val="right" w:pos="6237"/>
              </w:tabs>
              <w:ind w:left="1068"/>
              <w:jc w:val="both"/>
              <w:rPr>
                <w:rFonts w:eastAsia="Calibri" w:cs="Arial"/>
                <w:szCs w:val="22"/>
              </w:rPr>
            </w:pPr>
            <w:r w:rsidRPr="00523070">
              <w:rPr>
                <w:rFonts w:eastAsia="Calibri" w:cs="Arial"/>
                <w:szCs w:val="22"/>
              </w:rPr>
              <w:t>uplatňuje se ve všední dny</w:t>
            </w:r>
          </w:p>
        </w:tc>
        <w:tc>
          <w:tcPr>
            <w:tcW w:w="1843" w:type="dxa"/>
            <w:shd w:val="clear" w:color="auto" w:fill="auto"/>
            <w:tcMar>
              <w:top w:w="113" w:type="dxa"/>
              <w:left w:w="0" w:type="dxa"/>
              <w:bottom w:w="113" w:type="dxa"/>
              <w:right w:w="57" w:type="dxa"/>
            </w:tcMar>
          </w:tcPr>
          <w:p w14:paraId="6B09F598" w14:textId="77777777" w:rsidR="00B231E8" w:rsidRPr="00523070" w:rsidRDefault="00B231E8" w:rsidP="00AD020E">
            <w:pPr>
              <w:widowControl w:val="0"/>
              <w:ind w:right="85"/>
              <w:jc w:val="right"/>
              <w:rPr>
                <w:rFonts w:eastAsia="Calibri" w:cs="Arial"/>
                <w:b/>
                <w:bCs/>
                <w:szCs w:val="22"/>
              </w:rPr>
            </w:pPr>
            <w:r w:rsidRPr="00523070">
              <w:rPr>
                <w:rFonts w:eastAsia="Calibri" w:cs="Arial"/>
                <w:b/>
                <w:bCs/>
                <w:szCs w:val="22"/>
              </w:rPr>
              <w:t>+ 25 %</w:t>
            </w:r>
          </w:p>
        </w:tc>
      </w:tr>
      <w:tr w:rsidR="00B231E8" w:rsidRPr="00523070" w14:paraId="4C2652AE" w14:textId="77777777" w:rsidTr="00B231E8">
        <w:trPr>
          <w:trHeight w:val="340"/>
        </w:trPr>
        <w:tc>
          <w:tcPr>
            <w:tcW w:w="7655" w:type="dxa"/>
            <w:shd w:val="clear" w:color="auto" w:fill="auto"/>
            <w:tcMar>
              <w:top w:w="113" w:type="dxa"/>
              <w:bottom w:w="113" w:type="dxa"/>
            </w:tcMar>
          </w:tcPr>
          <w:p w14:paraId="71342436" w14:textId="77777777" w:rsidR="00B231E8" w:rsidRPr="00523070" w:rsidRDefault="00B231E8" w:rsidP="00AD020E">
            <w:pPr>
              <w:widowControl w:val="0"/>
              <w:tabs>
                <w:tab w:val="left" w:pos="-1985"/>
                <w:tab w:val="right" w:pos="-1843"/>
                <w:tab w:val="right" w:pos="6096"/>
                <w:tab w:val="left" w:pos="6237"/>
              </w:tabs>
              <w:rPr>
                <w:rFonts w:eastAsia="Calibri" w:cs="Arial"/>
                <w:szCs w:val="22"/>
              </w:rPr>
            </w:pPr>
            <w:r w:rsidRPr="00523070">
              <w:rPr>
                <w:rFonts w:eastAsia="Calibri" w:cs="Arial"/>
                <w:b/>
                <w:bCs/>
                <w:szCs w:val="22"/>
              </w:rPr>
              <w:t>Příplatek za práci v sobotu a neděli</w:t>
            </w:r>
            <w:r w:rsidRPr="00523070">
              <w:rPr>
                <w:rFonts w:eastAsia="Calibri" w:cs="Arial"/>
                <w:b/>
                <w:bCs/>
                <w:szCs w:val="22"/>
              </w:rPr>
              <w:tab/>
            </w:r>
          </w:p>
        </w:tc>
        <w:tc>
          <w:tcPr>
            <w:tcW w:w="1843" w:type="dxa"/>
            <w:shd w:val="clear" w:color="auto" w:fill="auto"/>
            <w:tcMar>
              <w:top w:w="113" w:type="dxa"/>
              <w:left w:w="0" w:type="dxa"/>
              <w:bottom w:w="113" w:type="dxa"/>
              <w:right w:w="57" w:type="dxa"/>
            </w:tcMar>
          </w:tcPr>
          <w:p w14:paraId="785E13B1" w14:textId="77777777" w:rsidR="00B231E8" w:rsidRPr="00523070" w:rsidRDefault="00B231E8" w:rsidP="00AD020E">
            <w:pPr>
              <w:widowControl w:val="0"/>
              <w:ind w:left="175" w:right="85"/>
              <w:jc w:val="right"/>
              <w:rPr>
                <w:rFonts w:eastAsia="Calibri" w:cs="Arial"/>
                <w:b/>
                <w:bCs/>
                <w:szCs w:val="22"/>
              </w:rPr>
            </w:pPr>
            <w:r w:rsidRPr="00523070">
              <w:rPr>
                <w:rFonts w:eastAsia="Calibri" w:cs="Arial"/>
                <w:b/>
                <w:bCs/>
                <w:szCs w:val="22"/>
              </w:rPr>
              <w:t>+ 50 %</w:t>
            </w:r>
          </w:p>
        </w:tc>
      </w:tr>
      <w:tr w:rsidR="00B231E8" w:rsidRPr="00523070" w14:paraId="775B686B" w14:textId="77777777" w:rsidTr="00B231E8">
        <w:trPr>
          <w:trHeight w:val="297"/>
        </w:trPr>
        <w:tc>
          <w:tcPr>
            <w:tcW w:w="7655" w:type="dxa"/>
            <w:shd w:val="clear" w:color="auto" w:fill="auto"/>
            <w:tcMar>
              <w:top w:w="113" w:type="dxa"/>
              <w:bottom w:w="113" w:type="dxa"/>
            </w:tcMar>
          </w:tcPr>
          <w:p w14:paraId="753EADE8" w14:textId="77777777" w:rsidR="00B231E8" w:rsidRPr="00523070" w:rsidRDefault="00B231E8" w:rsidP="00AD020E">
            <w:pPr>
              <w:widowControl w:val="0"/>
              <w:tabs>
                <w:tab w:val="left" w:pos="-1985"/>
                <w:tab w:val="right" w:pos="-1843"/>
                <w:tab w:val="right" w:pos="6096"/>
                <w:tab w:val="left" w:pos="6237"/>
              </w:tabs>
              <w:rPr>
                <w:rFonts w:eastAsia="Calibri" w:cs="Arial"/>
                <w:szCs w:val="22"/>
              </w:rPr>
            </w:pPr>
            <w:r w:rsidRPr="00523070">
              <w:rPr>
                <w:rFonts w:eastAsia="Calibri" w:cs="Arial"/>
                <w:b/>
                <w:bCs/>
                <w:szCs w:val="22"/>
              </w:rPr>
              <w:t>Příplatek za práci ve státem uznaný svátek</w:t>
            </w:r>
          </w:p>
        </w:tc>
        <w:tc>
          <w:tcPr>
            <w:tcW w:w="1843" w:type="dxa"/>
            <w:shd w:val="clear" w:color="auto" w:fill="auto"/>
            <w:tcMar>
              <w:top w:w="113" w:type="dxa"/>
              <w:left w:w="0" w:type="dxa"/>
              <w:bottom w:w="113" w:type="dxa"/>
              <w:right w:w="57" w:type="dxa"/>
            </w:tcMar>
          </w:tcPr>
          <w:p w14:paraId="00A28F2D" w14:textId="77777777" w:rsidR="00B231E8" w:rsidRPr="00523070" w:rsidRDefault="00B231E8" w:rsidP="00AD020E">
            <w:pPr>
              <w:widowControl w:val="0"/>
              <w:ind w:left="175" w:right="85"/>
              <w:jc w:val="right"/>
              <w:rPr>
                <w:rFonts w:eastAsia="Calibri" w:cs="Arial"/>
                <w:b/>
                <w:bCs/>
                <w:szCs w:val="22"/>
              </w:rPr>
            </w:pPr>
            <w:r w:rsidRPr="00523070">
              <w:rPr>
                <w:rFonts w:eastAsia="Calibri" w:cs="Arial"/>
                <w:b/>
                <w:bCs/>
                <w:szCs w:val="22"/>
              </w:rPr>
              <w:t>+ 100 %</w:t>
            </w:r>
          </w:p>
        </w:tc>
      </w:tr>
      <w:tr w:rsidR="00B231E8" w:rsidRPr="00523070" w14:paraId="37E698D6" w14:textId="77777777" w:rsidTr="00B231E8">
        <w:trPr>
          <w:trHeight w:val="297"/>
        </w:trPr>
        <w:tc>
          <w:tcPr>
            <w:tcW w:w="7655" w:type="dxa"/>
            <w:shd w:val="clear" w:color="auto" w:fill="auto"/>
            <w:tcMar>
              <w:top w:w="113" w:type="dxa"/>
              <w:bottom w:w="113" w:type="dxa"/>
            </w:tcMar>
          </w:tcPr>
          <w:p w14:paraId="08C1BE1F" w14:textId="3BDF224A" w:rsidR="00B231E8" w:rsidRPr="00523070" w:rsidRDefault="00B231E8" w:rsidP="00AD020E">
            <w:pPr>
              <w:tabs>
                <w:tab w:val="right" w:pos="-1985"/>
                <w:tab w:val="right" w:pos="-1843"/>
                <w:tab w:val="right" w:pos="6096"/>
                <w:tab w:val="left" w:pos="6237"/>
              </w:tabs>
              <w:spacing w:after="60"/>
              <w:rPr>
                <w:rFonts w:eastAsia="Calibri" w:cs="Arial"/>
                <w:b/>
                <w:bCs/>
                <w:szCs w:val="22"/>
              </w:rPr>
            </w:pPr>
            <w:r w:rsidRPr="00523070">
              <w:rPr>
                <w:rFonts w:eastAsia="Calibri" w:cs="Arial"/>
                <w:b/>
                <w:bCs/>
                <w:szCs w:val="22"/>
              </w:rPr>
              <w:t xml:space="preserve">Příplatek pro </w:t>
            </w:r>
            <w:r w:rsidR="00B11E6E">
              <w:rPr>
                <w:rFonts w:eastAsia="Calibri" w:cs="Arial"/>
                <w:b/>
                <w:bCs/>
                <w:szCs w:val="22"/>
              </w:rPr>
              <w:t xml:space="preserve">uživatele </w:t>
            </w:r>
            <w:r w:rsidRPr="00523070">
              <w:rPr>
                <w:rFonts w:eastAsia="Calibri" w:cs="Arial"/>
                <w:b/>
                <w:bCs/>
                <w:szCs w:val="22"/>
              </w:rPr>
              <w:t>se starší verzí SW</w:t>
            </w:r>
            <w:r w:rsidRPr="00523070">
              <w:rPr>
                <w:rFonts w:eastAsia="Calibri" w:cs="Arial"/>
                <w:b/>
                <w:bCs/>
                <w:szCs w:val="22"/>
              </w:rPr>
              <w:tab/>
            </w:r>
            <w:r w:rsidRPr="00523070">
              <w:rPr>
                <w:rFonts w:eastAsia="Calibri" w:cs="Arial"/>
                <w:b/>
                <w:bCs/>
                <w:szCs w:val="22"/>
              </w:rPr>
              <w:tab/>
            </w:r>
            <w:r w:rsidRPr="00523070">
              <w:rPr>
                <w:rFonts w:eastAsia="Calibri" w:cs="Arial"/>
                <w:b/>
                <w:bCs/>
                <w:szCs w:val="22"/>
              </w:rPr>
              <w:tab/>
            </w:r>
            <w:r w:rsidRPr="00523070">
              <w:rPr>
                <w:rFonts w:eastAsia="Calibri" w:cs="Arial"/>
                <w:b/>
                <w:bCs/>
                <w:szCs w:val="22"/>
              </w:rPr>
              <w:tab/>
            </w:r>
          </w:p>
          <w:p w14:paraId="0BA763D6" w14:textId="77777777" w:rsidR="00B231E8" w:rsidRPr="00523070" w:rsidRDefault="00B231E8" w:rsidP="003C3AEE">
            <w:pPr>
              <w:numPr>
                <w:ilvl w:val="0"/>
                <w:numId w:val="19"/>
              </w:numPr>
              <w:tabs>
                <w:tab w:val="clear" w:pos="720"/>
                <w:tab w:val="left" w:pos="-1985"/>
                <w:tab w:val="right" w:pos="-1843"/>
                <w:tab w:val="num" w:pos="1068"/>
                <w:tab w:val="right" w:pos="6237"/>
              </w:tabs>
              <w:ind w:left="1068"/>
              <w:jc w:val="both"/>
              <w:rPr>
                <w:rFonts w:eastAsia="Calibri" w:cs="Arial"/>
                <w:szCs w:val="22"/>
              </w:rPr>
            </w:pPr>
            <w:r w:rsidRPr="00523070">
              <w:rPr>
                <w:rFonts w:eastAsia="Calibri" w:cs="Arial"/>
                <w:szCs w:val="22"/>
              </w:rPr>
              <w:t>příplatek se vztahuje na starší než aktuální verze systému</w:t>
            </w:r>
          </w:p>
        </w:tc>
        <w:tc>
          <w:tcPr>
            <w:tcW w:w="1843" w:type="dxa"/>
            <w:shd w:val="clear" w:color="auto" w:fill="auto"/>
            <w:tcMar>
              <w:top w:w="113" w:type="dxa"/>
              <w:left w:w="0" w:type="dxa"/>
              <w:bottom w:w="113" w:type="dxa"/>
              <w:right w:w="57" w:type="dxa"/>
            </w:tcMar>
          </w:tcPr>
          <w:p w14:paraId="2FADC18A" w14:textId="77777777" w:rsidR="00B231E8" w:rsidRPr="00523070" w:rsidRDefault="00B231E8" w:rsidP="00AD020E">
            <w:pPr>
              <w:widowControl w:val="0"/>
              <w:ind w:left="175" w:right="85"/>
              <w:jc w:val="right"/>
              <w:rPr>
                <w:rFonts w:eastAsia="Calibri" w:cs="Arial"/>
                <w:b/>
                <w:bCs/>
                <w:szCs w:val="22"/>
              </w:rPr>
            </w:pPr>
            <w:r w:rsidRPr="00523070">
              <w:rPr>
                <w:rFonts w:eastAsia="Calibri" w:cs="Arial"/>
                <w:b/>
                <w:bCs/>
                <w:szCs w:val="22"/>
              </w:rPr>
              <w:t xml:space="preserve">+ </w:t>
            </w:r>
            <w:r>
              <w:rPr>
                <w:rFonts w:eastAsia="Calibri" w:cs="Arial"/>
                <w:b/>
                <w:bCs/>
                <w:szCs w:val="22"/>
              </w:rPr>
              <w:t>50</w:t>
            </w:r>
            <w:r w:rsidRPr="00523070">
              <w:rPr>
                <w:rFonts w:eastAsia="Calibri" w:cs="Arial"/>
                <w:b/>
                <w:bCs/>
                <w:szCs w:val="22"/>
              </w:rPr>
              <w:t xml:space="preserve"> %</w:t>
            </w:r>
          </w:p>
        </w:tc>
      </w:tr>
      <w:tr w:rsidR="00B231E8" w:rsidRPr="00523070" w14:paraId="089134AF" w14:textId="77777777" w:rsidTr="00B231E8">
        <w:trPr>
          <w:trHeight w:val="297"/>
        </w:trPr>
        <w:tc>
          <w:tcPr>
            <w:tcW w:w="7655" w:type="dxa"/>
            <w:shd w:val="clear" w:color="auto" w:fill="auto"/>
            <w:tcMar>
              <w:top w:w="113" w:type="dxa"/>
              <w:bottom w:w="113" w:type="dxa"/>
            </w:tcMar>
          </w:tcPr>
          <w:p w14:paraId="24820B15" w14:textId="77777777" w:rsidR="00B231E8" w:rsidRPr="00523070" w:rsidRDefault="00B231E8" w:rsidP="00AD020E">
            <w:pPr>
              <w:tabs>
                <w:tab w:val="right" w:pos="-1985"/>
                <w:tab w:val="right" w:pos="-1843"/>
                <w:tab w:val="right" w:pos="6096"/>
                <w:tab w:val="left" w:pos="6237"/>
              </w:tabs>
              <w:spacing w:after="60"/>
              <w:rPr>
                <w:rFonts w:eastAsia="Calibri" w:cs="Arial"/>
                <w:b/>
                <w:bCs/>
                <w:szCs w:val="22"/>
              </w:rPr>
            </w:pPr>
            <w:bookmarkStart w:id="12" w:name="_Hlk30063187"/>
            <w:r w:rsidRPr="00523070">
              <w:rPr>
                <w:rFonts w:eastAsia="Calibri" w:cs="Arial"/>
                <w:b/>
                <w:bCs/>
                <w:szCs w:val="22"/>
              </w:rPr>
              <w:t xml:space="preserve">Storno poplatek </w:t>
            </w:r>
          </w:p>
          <w:p w14:paraId="2BEFE718" w14:textId="77777777" w:rsidR="00B231E8" w:rsidRPr="00523070" w:rsidRDefault="00B231E8" w:rsidP="00AD020E">
            <w:pPr>
              <w:tabs>
                <w:tab w:val="left" w:pos="-1985"/>
                <w:tab w:val="right" w:pos="-1843"/>
                <w:tab w:val="right" w:pos="6237"/>
              </w:tabs>
              <w:ind w:right="171"/>
              <w:rPr>
                <w:rFonts w:eastAsia="Calibri" w:cs="Arial"/>
                <w:szCs w:val="22"/>
              </w:rPr>
            </w:pPr>
            <w:r w:rsidRPr="00523070">
              <w:rPr>
                <w:rFonts w:eastAsia="Calibri" w:cs="Arial"/>
                <w:szCs w:val="22"/>
              </w:rPr>
              <w:t xml:space="preserve">Při odřeknutí objednané konzultace či jiné práce méně než 24 hodin před jejím započetím je </w:t>
            </w:r>
            <w:r w:rsidR="00E00CFE">
              <w:rPr>
                <w:rFonts w:eastAsia="Calibri" w:cs="Arial"/>
                <w:szCs w:val="22"/>
              </w:rPr>
              <w:t>Nabyvatel</w:t>
            </w:r>
            <w:r w:rsidRPr="00523070">
              <w:rPr>
                <w:rFonts w:eastAsia="Calibri" w:cs="Arial"/>
                <w:szCs w:val="22"/>
              </w:rPr>
              <w:t>i účtován stornovací poplatek ve výši 50</w:t>
            </w:r>
            <w:r>
              <w:rPr>
                <w:rFonts w:eastAsia="Calibri" w:cs="Arial"/>
                <w:szCs w:val="22"/>
              </w:rPr>
              <w:t xml:space="preserve"> </w:t>
            </w:r>
            <w:r w:rsidRPr="00523070">
              <w:rPr>
                <w:rFonts w:eastAsia="Calibri" w:cs="Arial"/>
                <w:szCs w:val="22"/>
              </w:rPr>
              <w:t xml:space="preserve">% z ceny objednávky – minimálně </w:t>
            </w:r>
            <w:r w:rsidRPr="00523070">
              <w:rPr>
                <w:rFonts w:eastAsia="Calibri" w:cs="Arial"/>
                <w:bCs/>
                <w:szCs w:val="22"/>
              </w:rPr>
              <w:t>tři (3)</w:t>
            </w:r>
            <w:r w:rsidRPr="00523070">
              <w:rPr>
                <w:rFonts w:eastAsia="Calibri" w:cs="Arial"/>
                <w:szCs w:val="22"/>
              </w:rPr>
              <w:t xml:space="preserve"> hodiny práce.</w:t>
            </w:r>
          </w:p>
        </w:tc>
        <w:tc>
          <w:tcPr>
            <w:tcW w:w="1843" w:type="dxa"/>
            <w:shd w:val="clear" w:color="auto" w:fill="auto"/>
            <w:tcMar>
              <w:top w:w="113" w:type="dxa"/>
              <w:left w:w="0" w:type="dxa"/>
              <w:bottom w:w="113" w:type="dxa"/>
              <w:right w:w="57" w:type="dxa"/>
            </w:tcMar>
          </w:tcPr>
          <w:p w14:paraId="2D813B9E" w14:textId="77777777" w:rsidR="00B231E8" w:rsidRPr="00523070" w:rsidRDefault="00B231E8" w:rsidP="00AD020E">
            <w:pPr>
              <w:widowControl w:val="0"/>
              <w:ind w:left="175" w:right="85"/>
              <w:jc w:val="right"/>
              <w:rPr>
                <w:rFonts w:eastAsia="Calibri" w:cs="Arial"/>
                <w:b/>
                <w:bCs/>
                <w:szCs w:val="22"/>
              </w:rPr>
            </w:pPr>
            <w:r w:rsidRPr="00523070">
              <w:rPr>
                <w:rFonts w:eastAsia="Calibri" w:cs="Arial"/>
                <w:b/>
                <w:bCs/>
                <w:szCs w:val="22"/>
              </w:rPr>
              <w:t>50 %</w:t>
            </w:r>
          </w:p>
          <w:p w14:paraId="51D8E334" w14:textId="77777777" w:rsidR="00B231E8" w:rsidRPr="00523070" w:rsidRDefault="00B231E8" w:rsidP="00AD020E">
            <w:pPr>
              <w:widowControl w:val="0"/>
              <w:ind w:left="175" w:right="85"/>
              <w:jc w:val="right"/>
              <w:rPr>
                <w:rFonts w:eastAsia="Calibri" w:cs="Arial"/>
                <w:b/>
                <w:bCs/>
                <w:szCs w:val="22"/>
              </w:rPr>
            </w:pPr>
            <w:r w:rsidRPr="00523070">
              <w:rPr>
                <w:rFonts w:eastAsia="Calibri" w:cs="Arial"/>
                <w:b/>
                <w:bCs/>
                <w:szCs w:val="22"/>
              </w:rPr>
              <w:t>(min. 3 hod.)</w:t>
            </w:r>
          </w:p>
        </w:tc>
      </w:tr>
      <w:bookmarkEnd w:id="12"/>
    </w:tbl>
    <w:p w14:paraId="6E3E8CAF" w14:textId="77777777" w:rsidR="001F0806" w:rsidRDefault="001F0806" w:rsidP="001C1077">
      <w:pPr>
        <w:rPr>
          <w:rFonts w:cs="Calibri"/>
          <w:szCs w:val="22"/>
        </w:rPr>
      </w:pPr>
    </w:p>
    <w:p w14:paraId="7A866E8D" w14:textId="77777777" w:rsidR="001F0806" w:rsidRDefault="001F0806" w:rsidP="001C1077">
      <w:pPr>
        <w:rPr>
          <w:rFonts w:cs="Calibri"/>
          <w:szCs w:val="22"/>
        </w:rPr>
      </w:pPr>
    </w:p>
    <w:p w14:paraId="0D4AF56A" w14:textId="77777777" w:rsidR="001F0806" w:rsidRDefault="001F0806" w:rsidP="001C1077">
      <w:pPr>
        <w:rPr>
          <w:rFonts w:cs="Calibri"/>
          <w:szCs w:val="22"/>
        </w:rPr>
      </w:pPr>
    </w:p>
    <w:p w14:paraId="46E396E5" w14:textId="77777777" w:rsidR="001F0806" w:rsidRDefault="001F0806" w:rsidP="001C1077">
      <w:pPr>
        <w:rPr>
          <w:rFonts w:cs="Calibri"/>
          <w:szCs w:val="22"/>
        </w:rPr>
      </w:pPr>
    </w:p>
    <w:p w14:paraId="16AAAAEE" w14:textId="77777777" w:rsidR="001F0806" w:rsidRDefault="001F0806" w:rsidP="001C1077">
      <w:pPr>
        <w:rPr>
          <w:rFonts w:cs="Calibri"/>
          <w:szCs w:val="22"/>
        </w:rPr>
      </w:pPr>
    </w:p>
    <w:p w14:paraId="4E1D08D0" w14:textId="77777777" w:rsidR="001F0806" w:rsidRDefault="001F0806" w:rsidP="001C1077">
      <w:pPr>
        <w:rPr>
          <w:rFonts w:cs="Calibri"/>
          <w:szCs w:val="22"/>
        </w:rPr>
      </w:pPr>
    </w:p>
    <w:p w14:paraId="3DD6423D" w14:textId="77777777" w:rsidR="001F0806" w:rsidRDefault="001F0806" w:rsidP="001C1077">
      <w:pPr>
        <w:rPr>
          <w:rFonts w:cs="Calibri"/>
          <w:szCs w:val="22"/>
        </w:rPr>
      </w:pPr>
    </w:p>
    <w:p w14:paraId="2E4A99D7" w14:textId="77777777" w:rsidR="001F0806" w:rsidRDefault="001F0806" w:rsidP="001C1077">
      <w:pPr>
        <w:rPr>
          <w:rFonts w:cs="Calibri"/>
          <w:szCs w:val="22"/>
        </w:rPr>
      </w:pPr>
    </w:p>
    <w:p w14:paraId="3A41EA41" w14:textId="77777777" w:rsidR="001F0806" w:rsidRDefault="001F0806" w:rsidP="001C1077">
      <w:pPr>
        <w:rPr>
          <w:rFonts w:cs="Calibri"/>
          <w:szCs w:val="22"/>
        </w:rPr>
      </w:pPr>
    </w:p>
    <w:p w14:paraId="459EDB8A" w14:textId="7EFC908A" w:rsidR="00D14EEB" w:rsidRPr="001C1077" w:rsidRDefault="00423622" w:rsidP="001C1077">
      <w:pPr>
        <w:rPr>
          <w:b/>
          <w:bCs/>
        </w:rPr>
      </w:pPr>
      <w:r w:rsidRPr="001C1077">
        <w:rPr>
          <w:b/>
          <w:bCs/>
        </w:rPr>
        <w:t>Příloha č. 3</w:t>
      </w:r>
      <w:r w:rsidR="001C1077">
        <w:rPr>
          <w:b/>
          <w:bCs/>
        </w:rPr>
        <w:t>:</w:t>
      </w:r>
      <w:r w:rsidR="001C1077" w:rsidRPr="001C1077">
        <w:rPr>
          <w:b/>
          <w:bCs/>
        </w:rPr>
        <w:t xml:space="preserve"> </w:t>
      </w:r>
      <w:r w:rsidR="00D14EEB" w:rsidRPr="001C1077">
        <w:rPr>
          <w:b/>
          <w:bCs/>
        </w:rPr>
        <w:t>Implementační služby</w:t>
      </w:r>
    </w:p>
    <w:p w14:paraId="7A591F49" w14:textId="77777777" w:rsidR="00D14EEB" w:rsidRPr="00540383" w:rsidRDefault="00D14EEB" w:rsidP="00D14EEB">
      <w:pPr>
        <w:spacing w:after="120"/>
        <w:jc w:val="center"/>
        <w:rPr>
          <w:rFonts w:cs="Arial"/>
          <w:szCs w:val="22"/>
        </w:rPr>
      </w:pPr>
    </w:p>
    <w:p w14:paraId="5D31DCD7" w14:textId="462506EF" w:rsidR="00D14EEB" w:rsidRPr="00553084" w:rsidRDefault="00D14EEB" w:rsidP="00D011B5">
      <w:pPr>
        <w:spacing w:after="240"/>
        <w:rPr>
          <w:rFonts w:cs="Arial"/>
          <w:szCs w:val="22"/>
        </w:rPr>
      </w:pPr>
      <w:r w:rsidRPr="00540383">
        <w:rPr>
          <w:rFonts w:cs="Arial"/>
          <w:szCs w:val="22"/>
        </w:rPr>
        <w:t xml:space="preserve">Tato </w:t>
      </w:r>
      <w:r w:rsidR="007617ED">
        <w:rPr>
          <w:rFonts w:cs="Arial"/>
          <w:szCs w:val="22"/>
        </w:rPr>
        <w:t xml:space="preserve">tabulka </w:t>
      </w:r>
      <w:r w:rsidRPr="00540383">
        <w:rPr>
          <w:rFonts w:cs="Arial"/>
          <w:szCs w:val="22"/>
        </w:rPr>
        <w:t xml:space="preserve">obsahuje základní odhad, který bude upřesněn na základě bližších požadavků </w:t>
      </w:r>
      <w:r w:rsidR="00E00CFE">
        <w:rPr>
          <w:rFonts w:cs="Arial"/>
          <w:szCs w:val="22"/>
        </w:rPr>
        <w:t>Nabyvatel</w:t>
      </w:r>
      <w:r>
        <w:rPr>
          <w:rFonts w:cs="Arial"/>
          <w:szCs w:val="22"/>
        </w:rPr>
        <w:t xml:space="preserve">e </w:t>
      </w:r>
      <w:r w:rsidRPr="00540383">
        <w:rPr>
          <w:rFonts w:cs="Arial"/>
          <w:szCs w:val="22"/>
        </w:rPr>
        <w:t xml:space="preserve">v průběhu </w:t>
      </w:r>
      <w:r w:rsidR="007617ED">
        <w:rPr>
          <w:rFonts w:cs="Arial"/>
          <w:szCs w:val="22"/>
        </w:rPr>
        <w:t>migrace</w:t>
      </w:r>
      <w:r w:rsidRPr="00540383">
        <w:rPr>
          <w:rFonts w:cs="Arial"/>
          <w:szCs w:val="22"/>
        </w:rPr>
        <w:t xml:space="preserve">. </w:t>
      </w:r>
      <w:r w:rsidR="007617ED">
        <w:rPr>
          <w:rFonts w:cs="Arial"/>
          <w:szCs w:val="22"/>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897"/>
      </w:tblGrid>
      <w:tr w:rsidR="00D14EEB" w:rsidRPr="00B11E6E" w14:paraId="412DBF13" w14:textId="77777777" w:rsidTr="00B231E8">
        <w:trPr>
          <w:trHeight w:val="454"/>
        </w:trPr>
        <w:tc>
          <w:tcPr>
            <w:tcW w:w="7601" w:type="dxa"/>
            <w:shd w:val="clear" w:color="auto" w:fill="00B0F0"/>
            <w:vAlign w:val="center"/>
          </w:tcPr>
          <w:p w14:paraId="5CF20AD5" w14:textId="77777777" w:rsidR="00D14EEB" w:rsidRPr="00B11E6E" w:rsidRDefault="00D14EEB" w:rsidP="00272A32">
            <w:pPr>
              <w:spacing w:before="8" w:after="8"/>
              <w:rPr>
                <w:rStyle w:val="Odkaznavysvtlivky"/>
                <w:rFonts w:ascii="Calibri" w:hAnsi="Calibri"/>
                <w:b/>
                <w:color w:val="FFFFFF"/>
                <w:szCs w:val="22"/>
                <w:vertAlign w:val="baseline"/>
              </w:rPr>
            </w:pPr>
            <w:r w:rsidRPr="00B11E6E">
              <w:rPr>
                <w:b/>
                <w:color w:val="FFFFFF"/>
                <w:szCs w:val="22"/>
              </w:rPr>
              <w:t>Služba</w:t>
            </w:r>
          </w:p>
        </w:tc>
        <w:tc>
          <w:tcPr>
            <w:tcW w:w="1897" w:type="dxa"/>
            <w:shd w:val="clear" w:color="auto" w:fill="00B0F0"/>
            <w:vAlign w:val="center"/>
          </w:tcPr>
          <w:p w14:paraId="4C966857" w14:textId="77777777" w:rsidR="00D14EEB" w:rsidRPr="00B11E6E" w:rsidRDefault="00D14EEB" w:rsidP="00272A32">
            <w:pPr>
              <w:spacing w:before="8" w:after="8"/>
              <w:jc w:val="center"/>
              <w:rPr>
                <w:rStyle w:val="Odkaznavysvtlivky"/>
                <w:rFonts w:ascii="Calibri" w:hAnsi="Calibri"/>
                <w:b/>
                <w:color w:val="FFFFFF"/>
                <w:szCs w:val="22"/>
                <w:vertAlign w:val="baseline"/>
              </w:rPr>
            </w:pPr>
            <w:r w:rsidRPr="00B11E6E">
              <w:rPr>
                <w:b/>
                <w:color w:val="FFFFFF"/>
                <w:szCs w:val="22"/>
              </w:rPr>
              <w:t>Cena bez DPH</w:t>
            </w:r>
          </w:p>
        </w:tc>
      </w:tr>
      <w:tr w:rsidR="00D14EEB" w:rsidRPr="00B11E6E" w14:paraId="5687E11A" w14:textId="77777777" w:rsidTr="00B231E8">
        <w:trPr>
          <w:trHeight w:val="397"/>
        </w:trPr>
        <w:tc>
          <w:tcPr>
            <w:tcW w:w="7601" w:type="dxa"/>
            <w:shd w:val="clear" w:color="auto" w:fill="auto"/>
            <w:vAlign w:val="center"/>
          </w:tcPr>
          <w:p w14:paraId="56346638" w14:textId="77777777" w:rsidR="001F0806" w:rsidRDefault="007617ED" w:rsidP="007617ED">
            <w:pPr>
              <w:spacing w:before="8" w:after="8"/>
              <w:rPr>
                <w:rStyle w:val="Odkaznavysvtlivky"/>
                <w:rFonts w:ascii="Calibri" w:hAnsi="Calibri" w:cs="Arial"/>
                <w:szCs w:val="22"/>
                <w:vertAlign w:val="baseline"/>
              </w:rPr>
            </w:pPr>
            <w:r w:rsidRPr="00B11E6E">
              <w:rPr>
                <w:rFonts w:cs="Arial"/>
                <w:b/>
                <w:bCs/>
                <w:szCs w:val="22"/>
              </w:rPr>
              <w:t>Migrace na iNUVIO</w:t>
            </w:r>
            <w:r w:rsidRPr="00B11E6E">
              <w:rPr>
                <w:rFonts w:cs="Arial"/>
                <w:szCs w:val="22"/>
              </w:rPr>
              <w:t xml:space="preserve"> – kvalifikovaný odhad 15 až 20 hodin </w:t>
            </w:r>
            <w:r w:rsidRPr="00B11E6E">
              <w:rPr>
                <w:rFonts w:cs="Arial"/>
                <w:szCs w:val="22"/>
              </w:rPr>
              <w:br/>
            </w:r>
            <w:r w:rsidRPr="00B11E6E">
              <w:rPr>
                <w:rStyle w:val="Odkaznavysvtlivky"/>
                <w:rFonts w:ascii="Calibri" w:hAnsi="Calibri" w:cs="Arial"/>
                <w:szCs w:val="22"/>
                <w:vertAlign w:val="baseline"/>
              </w:rPr>
              <w:t xml:space="preserve">zahrnuje: </w:t>
            </w:r>
          </w:p>
          <w:p w14:paraId="6BE4535C" w14:textId="77777777" w:rsidR="001F0806" w:rsidRDefault="007617ED" w:rsidP="001F0806">
            <w:pPr>
              <w:pStyle w:val="Odstavecseseznamem"/>
              <w:numPr>
                <w:ilvl w:val="0"/>
                <w:numId w:val="19"/>
              </w:numPr>
              <w:spacing w:before="8" w:after="8"/>
              <w:rPr>
                <w:rFonts w:cs="Arial"/>
                <w:szCs w:val="22"/>
              </w:rPr>
            </w:pPr>
            <w:r w:rsidRPr="001F0806">
              <w:rPr>
                <w:rStyle w:val="Odkaznavysvtlivky"/>
                <w:rFonts w:ascii="Calibri" w:hAnsi="Calibri" w:cs="Arial"/>
                <w:szCs w:val="22"/>
                <w:vertAlign w:val="baseline"/>
              </w:rPr>
              <w:t>instalaci iNUVIO</w:t>
            </w:r>
            <w:r w:rsidRPr="001F0806">
              <w:rPr>
                <w:rStyle w:val="Odkaznavysvtlivky"/>
                <w:rFonts w:ascii="Calibri" w:hAnsi="Calibri"/>
                <w:szCs w:val="22"/>
              </w:rPr>
              <w:t xml:space="preserve"> </w:t>
            </w:r>
            <w:r w:rsidRPr="001F0806">
              <w:rPr>
                <w:szCs w:val="22"/>
              </w:rPr>
              <w:t>včetně testovací verze</w:t>
            </w:r>
            <w:r w:rsidRPr="001F0806">
              <w:rPr>
                <w:rStyle w:val="Odkaznavysvtlivky"/>
                <w:rFonts w:ascii="Calibri" w:hAnsi="Calibri" w:cs="Arial"/>
                <w:szCs w:val="22"/>
                <w:vertAlign w:val="baseline"/>
              </w:rPr>
              <w:t xml:space="preserve">, </w:t>
            </w:r>
          </w:p>
          <w:p w14:paraId="203113AC" w14:textId="39F18520" w:rsidR="001F0806" w:rsidRDefault="007617ED" w:rsidP="001F0806">
            <w:pPr>
              <w:pStyle w:val="Odstavecseseznamem"/>
              <w:numPr>
                <w:ilvl w:val="0"/>
                <w:numId w:val="19"/>
              </w:numPr>
              <w:spacing w:before="8" w:after="8"/>
              <w:rPr>
                <w:rFonts w:cs="Arial"/>
                <w:szCs w:val="22"/>
              </w:rPr>
            </w:pPr>
            <w:r w:rsidRPr="001F0806">
              <w:rPr>
                <w:rStyle w:val="Odkaznavysvtlivky"/>
                <w:rFonts w:ascii="Calibri" w:hAnsi="Calibri" w:cs="Arial"/>
                <w:szCs w:val="22"/>
                <w:vertAlign w:val="baseline"/>
              </w:rPr>
              <w:t>zálohování dat</w:t>
            </w:r>
            <w:r w:rsidR="001F0806">
              <w:rPr>
                <w:rStyle w:val="Odkaznavysvtlivky"/>
                <w:rFonts w:ascii="Calibri" w:hAnsi="Calibri" w:cs="Arial"/>
                <w:szCs w:val="22"/>
                <w:vertAlign w:val="baseline"/>
              </w:rPr>
              <w:t xml:space="preserve"> před migrací</w:t>
            </w:r>
            <w:r w:rsidRPr="001F0806">
              <w:rPr>
                <w:rStyle w:val="Odkaznavysvtlivky"/>
                <w:rFonts w:ascii="Calibri" w:hAnsi="Calibri" w:cs="Arial"/>
                <w:szCs w:val="22"/>
                <w:vertAlign w:val="baseline"/>
              </w:rPr>
              <w:t xml:space="preserve">, </w:t>
            </w:r>
          </w:p>
          <w:p w14:paraId="5C51B34E" w14:textId="77777777" w:rsidR="001F0806" w:rsidRDefault="007617ED" w:rsidP="001F0806">
            <w:pPr>
              <w:pStyle w:val="Odstavecseseznamem"/>
              <w:numPr>
                <w:ilvl w:val="0"/>
                <w:numId w:val="19"/>
              </w:numPr>
              <w:spacing w:before="8" w:after="8"/>
              <w:rPr>
                <w:rFonts w:cs="Arial"/>
                <w:szCs w:val="22"/>
              </w:rPr>
            </w:pPr>
            <w:r w:rsidRPr="001F0806">
              <w:rPr>
                <w:rStyle w:val="Odkaznavysvtlivky"/>
                <w:rFonts w:ascii="Calibri" w:hAnsi="Calibri" w:cs="Arial"/>
                <w:szCs w:val="22"/>
                <w:vertAlign w:val="baseline"/>
              </w:rPr>
              <w:t xml:space="preserve">kontrola dat před migrací, </w:t>
            </w:r>
          </w:p>
          <w:p w14:paraId="74D6F9B6" w14:textId="77777777" w:rsidR="001F0806" w:rsidRDefault="007617ED" w:rsidP="001F0806">
            <w:pPr>
              <w:pStyle w:val="Odstavecseseznamem"/>
              <w:numPr>
                <w:ilvl w:val="0"/>
                <w:numId w:val="19"/>
              </w:numPr>
              <w:spacing w:before="8" w:after="8"/>
              <w:rPr>
                <w:rFonts w:cs="Arial"/>
                <w:szCs w:val="22"/>
              </w:rPr>
            </w:pPr>
            <w:r w:rsidRPr="001F0806">
              <w:rPr>
                <w:rStyle w:val="Odkaznavysvtlivky"/>
                <w:rFonts w:ascii="Calibri" w:hAnsi="Calibri" w:cs="Arial"/>
                <w:szCs w:val="22"/>
                <w:vertAlign w:val="baseline"/>
              </w:rPr>
              <w:t xml:space="preserve">migrace dat, </w:t>
            </w:r>
          </w:p>
          <w:p w14:paraId="2ACBC0FC" w14:textId="3CAD03C9" w:rsidR="001F0806" w:rsidRDefault="007617ED" w:rsidP="001F0806">
            <w:pPr>
              <w:pStyle w:val="Odstavecseseznamem"/>
              <w:numPr>
                <w:ilvl w:val="0"/>
                <w:numId w:val="19"/>
              </w:numPr>
              <w:spacing w:before="8" w:after="8"/>
              <w:rPr>
                <w:rFonts w:cs="Arial"/>
                <w:szCs w:val="22"/>
              </w:rPr>
            </w:pPr>
            <w:r w:rsidRPr="001F0806">
              <w:rPr>
                <w:rStyle w:val="Odkaznavysvtlivky"/>
                <w:rFonts w:ascii="Calibri" w:hAnsi="Calibri" w:cs="Arial"/>
                <w:szCs w:val="22"/>
                <w:vertAlign w:val="baseline"/>
              </w:rPr>
              <w:t>zálohování</w:t>
            </w:r>
            <w:r w:rsidR="001F0806">
              <w:rPr>
                <w:rStyle w:val="Odkaznavysvtlivky"/>
                <w:rFonts w:ascii="Calibri" w:hAnsi="Calibri" w:cs="Arial"/>
                <w:szCs w:val="22"/>
                <w:vertAlign w:val="baseline"/>
              </w:rPr>
              <w:t xml:space="preserve"> po migraci </w:t>
            </w:r>
            <w:r w:rsidRPr="001F0806">
              <w:rPr>
                <w:rStyle w:val="Odkaznavysvtlivky"/>
                <w:rFonts w:ascii="Calibri" w:hAnsi="Calibri" w:cs="Arial"/>
                <w:szCs w:val="22"/>
                <w:vertAlign w:val="baseline"/>
              </w:rPr>
              <w:t xml:space="preserve"> </w:t>
            </w:r>
          </w:p>
          <w:p w14:paraId="768B7DE2" w14:textId="77777777" w:rsidR="001F0806" w:rsidRDefault="007617ED" w:rsidP="001F0806">
            <w:pPr>
              <w:pStyle w:val="Odstavecseseznamem"/>
              <w:numPr>
                <w:ilvl w:val="0"/>
                <w:numId w:val="19"/>
              </w:numPr>
              <w:spacing w:before="8" w:after="8"/>
              <w:rPr>
                <w:rStyle w:val="Odkaznavysvtlivky"/>
                <w:rFonts w:ascii="Calibri" w:hAnsi="Calibri" w:cs="Arial"/>
                <w:szCs w:val="22"/>
                <w:vertAlign w:val="baseline"/>
              </w:rPr>
            </w:pPr>
            <w:r w:rsidRPr="001F0806">
              <w:rPr>
                <w:rStyle w:val="Odkaznavysvtlivky"/>
                <w:rFonts w:ascii="Calibri" w:hAnsi="Calibri" w:cs="Arial"/>
                <w:szCs w:val="22"/>
                <w:vertAlign w:val="baseline"/>
              </w:rPr>
              <w:t xml:space="preserve">nastavení, </w:t>
            </w:r>
          </w:p>
          <w:p w14:paraId="423D48F2" w14:textId="77777777" w:rsidR="001F0806" w:rsidRDefault="007617ED" w:rsidP="001F0806">
            <w:pPr>
              <w:pStyle w:val="Odstavecseseznamem"/>
              <w:numPr>
                <w:ilvl w:val="0"/>
                <w:numId w:val="19"/>
              </w:numPr>
              <w:spacing w:before="8" w:after="8"/>
              <w:rPr>
                <w:rStyle w:val="Odkaznavysvtlivky"/>
                <w:rFonts w:ascii="Calibri" w:hAnsi="Calibri" w:cs="Arial"/>
                <w:szCs w:val="22"/>
                <w:vertAlign w:val="baseline"/>
              </w:rPr>
            </w:pPr>
            <w:r w:rsidRPr="001F0806">
              <w:rPr>
                <w:rStyle w:val="Odkaznavysvtlivky"/>
                <w:rFonts w:ascii="Calibri" w:hAnsi="Calibri" w:cs="Arial"/>
                <w:szCs w:val="22"/>
                <w:vertAlign w:val="baseline"/>
              </w:rPr>
              <w:t>kontrola fun</w:t>
            </w:r>
            <w:r w:rsidRPr="001F0806">
              <w:rPr>
                <w:szCs w:val="22"/>
              </w:rPr>
              <w:t>kč</w:t>
            </w:r>
            <w:r w:rsidRPr="001F0806">
              <w:rPr>
                <w:rStyle w:val="Odkaznavysvtlivky"/>
                <w:rFonts w:ascii="Calibri" w:hAnsi="Calibri" w:cs="Arial"/>
                <w:szCs w:val="22"/>
                <w:vertAlign w:val="baseline"/>
              </w:rPr>
              <w:t xml:space="preserve">nosti, </w:t>
            </w:r>
          </w:p>
          <w:p w14:paraId="3D0B0081" w14:textId="77777777" w:rsidR="00D14EEB" w:rsidRDefault="007617ED" w:rsidP="001F0806">
            <w:pPr>
              <w:pStyle w:val="Odstavecseseznamem"/>
              <w:numPr>
                <w:ilvl w:val="0"/>
                <w:numId w:val="19"/>
              </w:numPr>
              <w:spacing w:before="8" w:after="8"/>
              <w:rPr>
                <w:rStyle w:val="Odkaznavysvtlivky"/>
                <w:rFonts w:ascii="Calibri" w:hAnsi="Calibri" w:cs="Arial"/>
                <w:szCs w:val="22"/>
                <w:vertAlign w:val="baseline"/>
              </w:rPr>
            </w:pPr>
            <w:r w:rsidRPr="001F0806">
              <w:rPr>
                <w:rStyle w:val="Odkaznavysvtlivky"/>
                <w:rFonts w:ascii="Calibri" w:hAnsi="Calibri" w:cs="Arial"/>
                <w:szCs w:val="22"/>
                <w:vertAlign w:val="baseline"/>
              </w:rPr>
              <w:t>testování</w:t>
            </w:r>
          </w:p>
          <w:p w14:paraId="5EF60DF8" w14:textId="44243B7D" w:rsidR="001F0806" w:rsidRPr="001F0806" w:rsidRDefault="001F0806" w:rsidP="001F0806">
            <w:pPr>
              <w:pStyle w:val="Odstavecseseznamem"/>
              <w:spacing w:before="8" w:after="8"/>
              <w:rPr>
                <w:rStyle w:val="Odkaznavysvtlivky"/>
                <w:rFonts w:ascii="Calibri" w:hAnsi="Calibri" w:cs="Arial"/>
                <w:szCs w:val="22"/>
                <w:vertAlign w:val="baseline"/>
              </w:rPr>
            </w:pPr>
          </w:p>
        </w:tc>
        <w:tc>
          <w:tcPr>
            <w:tcW w:w="1897" w:type="dxa"/>
            <w:shd w:val="clear" w:color="auto" w:fill="auto"/>
            <w:vAlign w:val="center"/>
          </w:tcPr>
          <w:p w14:paraId="2082D73C" w14:textId="7A33471F" w:rsidR="00D14EEB" w:rsidRPr="00B11E6E" w:rsidRDefault="007617ED" w:rsidP="00B231E8">
            <w:pPr>
              <w:spacing w:before="8" w:after="8"/>
              <w:ind w:right="31"/>
              <w:jc w:val="right"/>
              <w:rPr>
                <w:rStyle w:val="Odkaznavysvtlivky"/>
                <w:rFonts w:ascii="Calibri" w:hAnsi="Calibri"/>
                <w:szCs w:val="22"/>
                <w:vertAlign w:val="baseline"/>
              </w:rPr>
            </w:pPr>
            <w:r w:rsidRPr="00B11E6E">
              <w:rPr>
                <w:szCs w:val="22"/>
              </w:rPr>
              <w:t>1</w:t>
            </w:r>
            <w:r w:rsidR="00B11E6E" w:rsidRPr="00B11E6E">
              <w:rPr>
                <w:szCs w:val="22"/>
              </w:rPr>
              <w:t>.</w:t>
            </w:r>
            <w:r w:rsidRPr="00B11E6E">
              <w:rPr>
                <w:szCs w:val="22"/>
              </w:rPr>
              <w:t>500 Kč / hod.</w:t>
            </w:r>
          </w:p>
        </w:tc>
      </w:tr>
      <w:tr w:rsidR="007617ED" w:rsidRPr="00B11E6E" w14:paraId="14F6BB05" w14:textId="77777777" w:rsidTr="00523DF0">
        <w:trPr>
          <w:trHeight w:val="397"/>
        </w:trPr>
        <w:tc>
          <w:tcPr>
            <w:tcW w:w="7601" w:type="dxa"/>
            <w:shd w:val="clear" w:color="auto" w:fill="auto"/>
            <w:vAlign w:val="center"/>
          </w:tcPr>
          <w:p w14:paraId="134A1E17" w14:textId="3F6D8EE4" w:rsidR="007617ED" w:rsidRPr="00B11E6E" w:rsidRDefault="007617ED" w:rsidP="007617ED">
            <w:pPr>
              <w:spacing w:before="8" w:after="8"/>
              <w:jc w:val="both"/>
              <w:rPr>
                <w:rStyle w:val="Odkaznavysvtlivky"/>
                <w:rFonts w:ascii="Calibri" w:hAnsi="Calibri"/>
                <w:szCs w:val="22"/>
                <w:vertAlign w:val="baseline"/>
              </w:rPr>
            </w:pPr>
            <w:r w:rsidRPr="00B11E6E">
              <w:rPr>
                <w:rFonts w:cs="Arial"/>
                <w:b/>
                <w:bCs/>
                <w:szCs w:val="22"/>
              </w:rPr>
              <w:t>Školení HELIOS</w:t>
            </w:r>
            <w:r w:rsidRPr="00B11E6E">
              <w:rPr>
                <w:rFonts w:cs="Arial"/>
                <w:szCs w:val="22"/>
              </w:rPr>
              <w:t xml:space="preserve"> –</w:t>
            </w:r>
            <w:r w:rsidR="001F0806" w:rsidRPr="00B11E6E">
              <w:rPr>
                <w:rFonts w:cs="Arial"/>
                <w:szCs w:val="22"/>
              </w:rPr>
              <w:t xml:space="preserve"> kvalifikovaný odhad</w:t>
            </w:r>
            <w:r w:rsidRPr="00B11E6E">
              <w:rPr>
                <w:rFonts w:cs="Arial"/>
                <w:szCs w:val="22"/>
              </w:rPr>
              <w:t xml:space="preserve"> </w:t>
            </w:r>
            <w:proofErr w:type="gramStart"/>
            <w:r w:rsidRPr="00B11E6E">
              <w:rPr>
                <w:rFonts w:cs="Arial"/>
                <w:szCs w:val="22"/>
              </w:rPr>
              <w:t xml:space="preserve">2 </w:t>
            </w:r>
            <w:r w:rsidR="001F0806">
              <w:rPr>
                <w:rFonts w:cs="Arial"/>
                <w:szCs w:val="22"/>
              </w:rPr>
              <w:t>–</w:t>
            </w:r>
            <w:r w:rsidR="001F0806">
              <w:rPr>
                <w:szCs w:val="22"/>
              </w:rPr>
              <w:t xml:space="preserve"> 3</w:t>
            </w:r>
            <w:proofErr w:type="gramEnd"/>
            <w:r w:rsidR="001F0806">
              <w:rPr>
                <w:szCs w:val="22"/>
              </w:rPr>
              <w:t xml:space="preserve"> </w:t>
            </w:r>
            <w:r w:rsidRPr="00B11E6E">
              <w:rPr>
                <w:rFonts w:cs="Arial"/>
                <w:szCs w:val="22"/>
              </w:rPr>
              <w:t>hodiny – dle požadavků Nabyvatele</w:t>
            </w:r>
          </w:p>
        </w:tc>
        <w:tc>
          <w:tcPr>
            <w:tcW w:w="1897" w:type="dxa"/>
            <w:shd w:val="clear" w:color="auto" w:fill="auto"/>
            <w:vAlign w:val="center"/>
          </w:tcPr>
          <w:p w14:paraId="1D710C6F" w14:textId="1C3C7317" w:rsidR="007617ED" w:rsidRPr="00B11E6E" w:rsidRDefault="007617ED" w:rsidP="007617ED">
            <w:pPr>
              <w:spacing w:before="8" w:after="8"/>
              <w:ind w:right="31"/>
              <w:jc w:val="right"/>
              <w:rPr>
                <w:rStyle w:val="Odkaznavysvtlivky"/>
                <w:rFonts w:ascii="Calibri" w:hAnsi="Calibri"/>
                <w:szCs w:val="22"/>
                <w:vertAlign w:val="baseline"/>
              </w:rPr>
            </w:pPr>
            <w:r w:rsidRPr="00B11E6E">
              <w:rPr>
                <w:szCs w:val="22"/>
              </w:rPr>
              <w:t>1</w:t>
            </w:r>
            <w:r w:rsidR="00B11E6E" w:rsidRPr="00B11E6E">
              <w:rPr>
                <w:szCs w:val="22"/>
              </w:rPr>
              <w:t>.</w:t>
            </w:r>
            <w:r w:rsidRPr="00B11E6E">
              <w:rPr>
                <w:szCs w:val="22"/>
              </w:rPr>
              <w:t>500 Kč / hod.</w:t>
            </w:r>
          </w:p>
        </w:tc>
      </w:tr>
    </w:tbl>
    <w:p w14:paraId="6FB821CC" w14:textId="4BC10E38" w:rsidR="00387F6F" w:rsidRPr="001C1077" w:rsidRDefault="00423622" w:rsidP="001C1077">
      <w:pPr>
        <w:rPr>
          <w:b/>
          <w:bCs/>
        </w:rPr>
      </w:pPr>
      <w:r w:rsidRPr="001C1077">
        <w:rPr>
          <w:b/>
          <w:bCs/>
        </w:rPr>
        <w:lastRenderedPageBreak/>
        <w:t>Příloha č.</w:t>
      </w:r>
      <w:r w:rsidR="00A13C08" w:rsidRPr="001C1077">
        <w:rPr>
          <w:b/>
          <w:bCs/>
        </w:rPr>
        <w:t xml:space="preserve"> </w:t>
      </w:r>
      <w:r w:rsidRPr="001C1077">
        <w:rPr>
          <w:b/>
          <w:bCs/>
        </w:rPr>
        <w:t>4</w:t>
      </w:r>
      <w:r w:rsidR="001C1077">
        <w:rPr>
          <w:b/>
          <w:bCs/>
        </w:rPr>
        <w:t>:</w:t>
      </w:r>
      <w:r w:rsidR="001C1077" w:rsidRPr="001C1077">
        <w:rPr>
          <w:b/>
          <w:bCs/>
        </w:rPr>
        <w:t xml:space="preserve"> </w:t>
      </w:r>
      <w:r w:rsidR="00387F6F" w:rsidRPr="001C1077">
        <w:rPr>
          <w:b/>
          <w:bCs/>
        </w:rPr>
        <w:t>Reklamační podmínky</w:t>
      </w:r>
    </w:p>
    <w:p w14:paraId="05F58606" w14:textId="77777777" w:rsidR="00387F6F" w:rsidRPr="001E2811" w:rsidRDefault="00387F6F" w:rsidP="00387F6F">
      <w:pPr>
        <w:ind w:right="-81"/>
        <w:jc w:val="both"/>
        <w:rPr>
          <w:rFonts w:cs="Calibri"/>
          <w:szCs w:val="22"/>
        </w:rPr>
      </w:pPr>
    </w:p>
    <w:p w14:paraId="372351D9" w14:textId="77777777" w:rsidR="00387F6F" w:rsidRPr="001E2811" w:rsidRDefault="00387F6F" w:rsidP="003C3AEE">
      <w:pPr>
        <w:numPr>
          <w:ilvl w:val="0"/>
          <w:numId w:val="28"/>
        </w:numPr>
        <w:spacing w:after="60"/>
        <w:ind w:right="-81"/>
        <w:jc w:val="both"/>
        <w:rPr>
          <w:rFonts w:cs="Calibri"/>
          <w:szCs w:val="22"/>
        </w:rPr>
      </w:pPr>
      <w:r w:rsidRPr="001E2811">
        <w:rPr>
          <w:rFonts w:cs="Calibri"/>
          <w:szCs w:val="22"/>
        </w:rPr>
        <w:t xml:space="preserve">Programový systém </w:t>
      </w:r>
      <w:r w:rsidRPr="001E2811">
        <w:rPr>
          <w:rFonts w:cs="Calibri"/>
          <w:b/>
          <w:bCs/>
          <w:szCs w:val="22"/>
        </w:rPr>
        <w:t>HELIOS Orange</w:t>
      </w:r>
      <w:r w:rsidRPr="001E2811">
        <w:rPr>
          <w:rFonts w:cs="Calibri"/>
          <w:szCs w:val="22"/>
        </w:rPr>
        <w:t xml:space="preserve"> je soubor programů chráněný podle autorského zákona.</w:t>
      </w:r>
    </w:p>
    <w:p w14:paraId="6107B81D" w14:textId="77777777" w:rsidR="00387F6F" w:rsidRPr="001E2811" w:rsidRDefault="00387F6F" w:rsidP="003C3AEE">
      <w:pPr>
        <w:numPr>
          <w:ilvl w:val="0"/>
          <w:numId w:val="29"/>
        </w:numPr>
        <w:spacing w:after="60"/>
        <w:ind w:right="-81"/>
        <w:jc w:val="both"/>
        <w:rPr>
          <w:rFonts w:cs="Calibri"/>
          <w:bCs/>
          <w:szCs w:val="22"/>
        </w:rPr>
      </w:pPr>
      <w:r w:rsidRPr="001E2811">
        <w:rPr>
          <w:rFonts w:cs="Calibri"/>
          <w:szCs w:val="22"/>
        </w:rPr>
        <w:t xml:space="preserve">Poskytovatel převádí na Nabyvatele právo k užívání systému </w:t>
      </w:r>
      <w:r w:rsidRPr="001E2811">
        <w:rPr>
          <w:rFonts w:cs="Calibri"/>
          <w:b/>
          <w:bCs/>
          <w:szCs w:val="22"/>
        </w:rPr>
        <w:t>HELIOS Orange</w:t>
      </w:r>
    </w:p>
    <w:p w14:paraId="29DB7D76" w14:textId="025970B0" w:rsidR="00387F6F" w:rsidRPr="001E2811" w:rsidRDefault="00387F6F" w:rsidP="00DA6301">
      <w:pPr>
        <w:spacing w:after="60"/>
        <w:ind w:right="-81"/>
        <w:jc w:val="both"/>
        <w:rPr>
          <w:rFonts w:cs="Calibri"/>
          <w:szCs w:val="22"/>
        </w:rPr>
      </w:pPr>
      <w:r w:rsidRPr="001E2811">
        <w:rPr>
          <w:rFonts w:cs="Calibri"/>
          <w:szCs w:val="22"/>
        </w:rPr>
        <w:tab/>
        <w:t xml:space="preserve">na jedné lokální počítačové síti (síťová verze), pokud není ve </w:t>
      </w:r>
      <w:r w:rsidR="00B15A4C">
        <w:rPr>
          <w:rFonts w:cs="Calibri"/>
          <w:szCs w:val="22"/>
        </w:rPr>
        <w:t>Sml</w:t>
      </w:r>
      <w:r w:rsidRPr="001E2811">
        <w:rPr>
          <w:rFonts w:cs="Calibri"/>
          <w:szCs w:val="22"/>
        </w:rPr>
        <w:t>ouvě uvedeno jinak.</w:t>
      </w:r>
    </w:p>
    <w:p w14:paraId="6468D109" w14:textId="77777777" w:rsidR="00387F6F" w:rsidRPr="001E2811" w:rsidRDefault="00387F6F" w:rsidP="003C3AEE">
      <w:pPr>
        <w:numPr>
          <w:ilvl w:val="0"/>
          <w:numId w:val="30"/>
        </w:numPr>
        <w:spacing w:after="60"/>
        <w:ind w:right="-81"/>
        <w:jc w:val="both"/>
        <w:rPr>
          <w:rFonts w:cs="Calibri"/>
          <w:szCs w:val="22"/>
        </w:rPr>
      </w:pPr>
      <w:r w:rsidRPr="001E2811">
        <w:rPr>
          <w:rFonts w:cs="Calibri"/>
          <w:szCs w:val="22"/>
        </w:rPr>
        <w:t xml:space="preserve">Nabyvatel nesmí poskytnout třetím osobám instalační média ani jejich kopie. Případné postoupení užívacího práva třetí osobě musí být sjednáno smluvně s Poskytovatelem systému </w:t>
      </w:r>
      <w:r w:rsidRPr="001E2811">
        <w:rPr>
          <w:rFonts w:cs="Calibri"/>
          <w:b/>
          <w:bCs/>
          <w:szCs w:val="22"/>
        </w:rPr>
        <w:t>HELIOS Orange</w:t>
      </w:r>
      <w:r w:rsidRPr="001E2811">
        <w:rPr>
          <w:rFonts w:cs="Calibri"/>
          <w:szCs w:val="22"/>
        </w:rPr>
        <w:t>.</w:t>
      </w:r>
    </w:p>
    <w:p w14:paraId="24284533" w14:textId="77777777" w:rsidR="00387F6F" w:rsidRPr="001E2811" w:rsidRDefault="00387F6F" w:rsidP="003C3AEE">
      <w:pPr>
        <w:numPr>
          <w:ilvl w:val="0"/>
          <w:numId w:val="30"/>
        </w:numPr>
        <w:spacing w:after="60"/>
        <w:ind w:right="-81"/>
        <w:jc w:val="both"/>
        <w:rPr>
          <w:rFonts w:cs="Calibri"/>
          <w:szCs w:val="22"/>
        </w:rPr>
      </w:pPr>
      <w:r w:rsidRPr="001E2811">
        <w:rPr>
          <w:rFonts w:cs="Calibri"/>
          <w:szCs w:val="22"/>
        </w:rPr>
        <w:t>Nabyvatel se zavazuje neprovádět žádné zásahy do programu.</w:t>
      </w:r>
    </w:p>
    <w:p w14:paraId="37F383D4" w14:textId="77777777" w:rsidR="00387F6F" w:rsidRPr="001E2811" w:rsidRDefault="00387F6F" w:rsidP="00DA6301">
      <w:pPr>
        <w:spacing w:after="60"/>
        <w:ind w:right="-81"/>
        <w:jc w:val="both"/>
        <w:rPr>
          <w:rFonts w:cs="Calibri"/>
          <w:szCs w:val="22"/>
        </w:rPr>
      </w:pPr>
    </w:p>
    <w:p w14:paraId="14152EBD" w14:textId="77777777" w:rsidR="00387F6F" w:rsidRPr="00387F6F" w:rsidRDefault="00387F6F" w:rsidP="00DA6301">
      <w:pPr>
        <w:spacing w:after="60" w:line="260" w:lineRule="exact"/>
        <w:jc w:val="both"/>
        <w:outlineLvl w:val="0"/>
        <w:rPr>
          <w:rFonts w:cs="Calibri"/>
          <w:b/>
          <w:bCs/>
          <w:szCs w:val="22"/>
        </w:rPr>
      </w:pPr>
      <w:r w:rsidRPr="00387F6F">
        <w:rPr>
          <w:rFonts w:cs="Calibri"/>
          <w:b/>
          <w:bCs/>
          <w:szCs w:val="22"/>
        </w:rPr>
        <w:t>Technické podmínky</w:t>
      </w:r>
    </w:p>
    <w:p w14:paraId="0BAED085" w14:textId="77777777" w:rsidR="00387F6F" w:rsidRPr="001E2811" w:rsidRDefault="00387F6F" w:rsidP="003C3AEE">
      <w:pPr>
        <w:numPr>
          <w:ilvl w:val="0"/>
          <w:numId w:val="31"/>
        </w:numPr>
        <w:spacing w:after="60"/>
        <w:ind w:right="-81"/>
        <w:jc w:val="both"/>
        <w:rPr>
          <w:rFonts w:cs="Calibri"/>
          <w:szCs w:val="22"/>
        </w:rPr>
      </w:pPr>
      <w:r w:rsidRPr="001E2811">
        <w:rPr>
          <w:rFonts w:cs="Calibri"/>
          <w:szCs w:val="22"/>
        </w:rPr>
        <w:t xml:space="preserve">Programové vybavení je provozovatelné na všech počítačích vybavených minimálně dle technické specifikace v příloze této </w:t>
      </w:r>
      <w:r w:rsidR="00B15A4C">
        <w:rPr>
          <w:rFonts w:cs="Calibri"/>
          <w:szCs w:val="22"/>
        </w:rPr>
        <w:t>Sml</w:t>
      </w:r>
      <w:r w:rsidRPr="001E2811">
        <w:rPr>
          <w:rFonts w:cs="Calibri"/>
          <w:szCs w:val="22"/>
        </w:rPr>
        <w:t xml:space="preserve">ouvy č. 6. Pro zajištění kvalitního provozu doporučujeme konzultovat konfiguraci výpočetní techniky s Poskytovatelem, což je zahrnuto ve službách uvedených v příloze č. 2 </w:t>
      </w:r>
      <w:r w:rsidR="00B15A4C">
        <w:rPr>
          <w:rFonts w:cs="Calibri"/>
          <w:szCs w:val="22"/>
        </w:rPr>
        <w:t>Sml</w:t>
      </w:r>
      <w:r w:rsidRPr="001E2811">
        <w:rPr>
          <w:rFonts w:cs="Calibri"/>
          <w:szCs w:val="22"/>
        </w:rPr>
        <w:t>ouvy.</w:t>
      </w:r>
    </w:p>
    <w:p w14:paraId="4C823936" w14:textId="77777777" w:rsidR="00387F6F" w:rsidRPr="001E2811" w:rsidRDefault="00387F6F" w:rsidP="00DA6301">
      <w:pPr>
        <w:spacing w:after="60"/>
        <w:ind w:right="-81"/>
        <w:jc w:val="both"/>
        <w:rPr>
          <w:rFonts w:cs="Calibri"/>
          <w:szCs w:val="22"/>
        </w:rPr>
      </w:pPr>
    </w:p>
    <w:p w14:paraId="3AD99D9E" w14:textId="77777777" w:rsidR="00387F6F" w:rsidRPr="00387F6F" w:rsidRDefault="00387F6F" w:rsidP="00DA6301">
      <w:pPr>
        <w:spacing w:after="60" w:line="260" w:lineRule="exact"/>
        <w:jc w:val="both"/>
        <w:outlineLvl w:val="0"/>
        <w:rPr>
          <w:rFonts w:cs="Calibri"/>
          <w:b/>
          <w:bCs/>
          <w:szCs w:val="22"/>
        </w:rPr>
      </w:pPr>
      <w:r>
        <w:rPr>
          <w:rFonts w:cs="Calibri"/>
          <w:b/>
          <w:bCs/>
          <w:szCs w:val="22"/>
        </w:rPr>
        <w:t>R</w:t>
      </w:r>
      <w:r w:rsidRPr="00387F6F">
        <w:rPr>
          <w:rFonts w:cs="Calibri"/>
          <w:b/>
          <w:bCs/>
          <w:szCs w:val="22"/>
        </w:rPr>
        <w:t>eklamace</w:t>
      </w:r>
    </w:p>
    <w:p w14:paraId="49807770" w14:textId="77777777" w:rsidR="00387F6F" w:rsidRPr="001E2811" w:rsidRDefault="00387F6F" w:rsidP="003C3AEE">
      <w:pPr>
        <w:numPr>
          <w:ilvl w:val="0"/>
          <w:numId w:val="32"/>
        </w:numPr>
        <w:spacing w:after="60"/>
        <w:ind w:right="-81"/>
        <w:jc w:val="both"/>
        <w:rPr>
          <w:rFonts w:cs="Calibri"/>
          <w:szCs w:val="22"/>
        </w:rPr>
      </w:pPr>
      <w:r w:rsidRPr="001E2811">
        <w:rPr>
          <w:rFonts w:cs="Calibri"/>
          <w:szCs w:val="22"/>
        </w:rPr>
        <w:t xml:space="preserve">Nabyvatel je oprávněn vytknout vady softwarového produktu po celou dobu platnosti </w:t>
      </w:r>
      <w:r w:rsidR="00B15A4C">
        <w:rPr>
          <w:rFonts w:cs="Calibri"/>
          <w:szCs w:val="22"/>
        </w:rPr>
        <w:t>sml</w:t>
      </w:r>
      <w:r w:rsidRPr="001E2811">
        <w:rPr>
          <w:rFonts w:cs="Calibri"/>
          <w:szCs w:val="22"/>
        </w:rPr>
        <w:t>ouvy o systémové podpoře.</w:t>
      </w:r>
    </w:p>
    <w:p w14:paraId="6072D0A3" w14:textId="35E9C118" w:rsidR="00387F6F" w:rsidRPr="001E2811" w:rsidRDefault="00387F6F" w:rsidP="003C3AEE">
      <w:pPr>
        <w:numPr>
          <w:ilvl w:val="0"/>
          <w:numId w:val="32"/>
        </w:numPr>
        <w:spacing w:after="60"/>
        <w:ind w:right="-81"/>
        <w:jc w:val="both"/>
        <w:rPr>
          <w:rFonts w:cs="Calibri"/>
          <w:szCs w:val="22"/>
        </w:rPr>
      </w:pPr>
      <w:r w:rsidRPr="001E2811">
        <w:rPr>
          <w:rFonts w:cs="Calibri"/>
          <w:szCs w:val="22"/>
        </w:rPr>
        <w:t>Poskytovatel ručí za shodnost programu s platnou legislativou u každé aktuální verze HELIOS Orange za podmínek, že informace o legislativní změně budou zveřejněny v oficiálním tisku (sbírka zákonů) s předstihem 14 dnů před uvedením verze na trh.</w:t>
      </w:r>
    </w:p>
    <w:p w14:paraId="30FB01AD" w14:textId="77777777" w:rsidR="00387F6F" w:rsidRPr="001E2811" w:rsidRDefault="00387F6F" w:rsidP="003C3AEE">
      <w:pPr>
        <w:numPr>
          <w:ilvl w:val="0"/>
          <w:numId w:val="32"/>
        </w:numPr>
        <w:spacing w:after="60"/>
        <w:ind w:right="-81"/>
        <w:jc w:val="both"/>
        <w:rPr>
          <w:rFonts w:cs="Calibri"/>
          <w:szCs w:val="22"/>
        </w:rPr>
      </w:pPr>
      <w:r w:rsidRPr="001E2811">
        <w:rPr>
          <w:rFonts w:cs="Calibri"/>
          <w:szCs w:val="22"/>
        </w:rPr>
        <w:t xml:space="preserve">Nabyvatel se zavazuje oznamovat poruchy programu písemně. </w:t>
      </w:r>
    </w:p>
    <w:p w14:paraId="287C245D" w14:textId="77777777" w:rsidR="00387F6F" w:rsidRPr="001E2811" w:rsidRDefault="00387F6F" w:rsidP="003C3AEE">
      <w:pPr>
        <w:numPr>
          <w:ilvl w:val="0"/>
          <w:numId w:val="32"/>
        </w:numPr>
        <w:spacing w:after="60"/>
        <w:ind w:right="-81"/>
        <w:jc w:val="both"/>
        <w:rPr>
          <w:rFonts w:cs="Calibri"/>
          <w:szCs w:val="22"/>
        </w:rPr>
      </w:pPr>
      <w:r w:rsidRPr="001E2811">
        <w:rPr>
          <w:rFonts w:cs="Calibri"/>
          <w:szCs w:val="22"/>
        </w:rPr>
        <w:t xml:space="preserve">Funkce programu mimo rámec dodané dokumentace ani nevhodnost programu pro dosažení cílů Nabyvatele nejsou důvodem k uplatnění reklamace. </w:t>
      </w:r>
    </w:p>
    <w:p w14:paraId="3D8BC772" w14:textId="77777777" w:rsidR="00387F6F" w:rsidRPr="001E2811" w:rsidRDefault="00387F6F" w:rsidP="003C3AEE">
      <w:pPr>
        <w:numPr>
          <w:ilvl w:val="0"/>
          <w:numId w:val="32"/>
        </w:numPr>
        <w:spacing w:after="60"/>
        <w:ind w:right="-81"/>
        <w:jc w:val="both"/>
        <w:rPr>
          <w:rFonts w:cs="Calibri"/>
          <w:szCs w:val="22"/>
        </w:rPr>
      </w:pPr>
      <w:r w:rsidRPr="001E2811">
        <w:rPr>
          <w:rFonts w:cs="Calibri"/>
          <w:szCs w:val="22"/>
        </w:rPr>
        <w:t xml:space="preserve">Poskytovatel neručí za bezpečnost dat a neodpovídá za závady, které prokazatelně nevzniknou jeho pracovním zásahem nebo vzniknou v důsledku neposkytnutí informací Nabyvatele. </w:t>
      </w:r>
    </w:p>
    <w:p w14:paraId="366F3B14" w14:textId="77777777" w:rsidR="00387F6F" w:rsidRPr="001E2811" w:rsidRDefault="00387F6F" w:rsidP="003C3AEE">
      <w:pPr>
        <w:numPr>
          <w:ilvl w:val="0"/>
          <w:numId w:val="32"/>
        </w:numPr>
        <w:spacing w:after="60"/>
        <w:ind w:right="-81"/>
        <w:jc w:val="both"/>
        <w:rPr>
          <w:rFonts w:cs="Calibri"/>
          <w:szCs w:val="22"/>
        </w:rPr>
      </w:pPr>
      <w:r w:rsidRPr="001E2811">
        <w:rPr>
          <w:rFonts w:cs="Calibri"/>
          <w:szCs w:val="22"/>
        </w:rPr>
        <w:t>Odpovědnost Poskytovatele se nevztahuje na závady způsobené nesprávným užíváním programových produktů nebo chybným nakládáním s nimi, popřípadě neoprávněným pozměňováním, instalováním, kopírováním nebo jiným neoprávněným použitím. Poskytovatel neodpovídá za případné škody či náklady vzniklé nesprávným užíváním tohoto programového vybavení.</w:t>
      </w:r>
    </w:p>
    <w:p w14:paraId="643A3FDC" w14:textId="77777777" w:rsidR="00387F6F" w:rsidRPr="001E2811" w:rsidRDefault="00387F6F" w:rsidP="00DA6301">
      <w:pPr>
        <w:spacing w:after="60"/>
        <w:ind w:right="-81"/>
        <w:jc w:val="both"/>
        <w:rPr>
          <w:rFonts w:cs="Calibri"/>
          <w:szCs w:val="22"/>
        </w:rPr>
      </w:pPr>
    </w:p>
    <w:p w14:paraId="29B0D3B5" w14:textId="77777777" w:rsidR="00387F6F" w:rsidRPr="00387F6F" w:rsidRDefault="00387F6F" w:rsidP="00DA6301">
      <w:pPr>
        <w:spacing w:after="60" w:line="260" w:lineRule="exact"/>
        <w:jc w:val="both"/>
        <w:outlineLvl w:val="0"/>
        <w:rPr>
          <w:rFonts w:cs="Calibri"/>
          <w:b/>
          <w:bCs/>
          <w:szCs w:val="22"/>
        </w:rPr>
      </w:pPr>
      <w:r w:rsidRPr="00387F6F">
        <w:rPr>
          <w:rFonts w:cs="Calibri"/>
          <w:b/>
          <w:bCs/>
          <w:szCs w:val="22"/>
        </w:rPr>
        <w:t>Nabyvatel se zavazuje:</w:t>
      </w:r>
    </w:p>
    <w:p w14:paraId="7FB69919" w14:textId="77777777" w:rsidR="00387F6F" w:rsidRPr="001E2811" w:rsidRDefault="00387F6F" w:rsidP="003C3AEE">
      <w:pPr>
        <w:pStyle w:val="Zkladntext2"/>
        <w:numPr>
          <w:ilvl w:val="0"/>
          <w:numId w:val="33"/>
        </w:numPr>
        <w:spacing w:after="60" w:line="240" w:lineRule="auto"/>
        <w:jc w:val="both"/>
        <w:rPr>
          <w:rFonts w:cs="Calibri"/>
          <w:szCs w:val="22"/>
        </w:rPr>
      </w:pPr>
      <w:r w:rsidRPr="001E2811">
        <w:rPr>
          <w:rFonts w:cs="Calibri"/>
          <w:szCs w:val="22"/>
        </w:rPr>
        <w:t xml:space="preserve">Striktně dodržovat pokyny uvedené v dokumentaci, vést provozní deník dle přílohy č. 5 </w:t>
      </w:r>
      <w:r w:rsidR="00B15A4C">
        <w:rPr>
          <w:rFonts w:cs="Calibri"/>
          <w:szCs w:val="22"/>
        </w:rPr>
        <w:t>Sml</w:t>
      </w:r>
      <w:r w:rsidRPr="001E2811">
        <w:rPr>
          <w:rFonts w:cs="Calibri"/>
          <w:szCs w:val="22"/>
        </w:rPr>
        <w:t xml:space="preserve">ouvy a zajistit obsluhu pouze vyškolenými pracovníky. </w:t>
      </w:r>
    </w:p>
    <w:p w14:paraId="1B1C45D3" w14:textId="21DF929A" w:rsidR="00387F6F" w:rsidRPr="001E2811" w:rsidRDefault="00387F6F" w:rsidP="003C3AEE">
      <w:pPr>
        <w:pStyle w:val="Zkladntext2"/>
        <w:numPr>
          <w:ilvl w:val="0"/>
          <w:numId w:val="34"/>
        </w:numPr>
        <w:spacing w:after="60" w:line="240" w:lineRule="auto"/>
        <w:jc w:val="both"/>
        <w:rPr>
          <w:rFonts w:cs="Calibri"/>
          <w:szCs w:val="22"/>
        </w:rPr>
      </w:pPr>
      <w:r w:rsidRPr="001E2811">
        <w:rPr>
          <w:rFonts w:cs="Calibri"/>
          <w:szCs w:val="22"/>
        </w:rPr>
        <w:t>Dále se zavazuje provozovat systém na počítačích splňujících "systémové požadavky" vi</w:t>
      </w:r>
      <w:r w:rsidR="001F0806">
        <w:rPr>
          <w:rFonts w:cs="Calibri"/>
          <w:szCs w:val="22"/>
        </w:rPr>
        <w:t>z</w:t>
      </w:r>
      <w:r w:rsidRPr="001E2811">
        <w:rPr>
          <w:rFonts w:cs="Calibri"/>
          <w:szCs w:val="22"/>
        </w:rPr>
        <w:t xml:space="preserve"> příloha č. 6.</w:t>
      </w:r>
    </w:p>
    <w:p w14:paraId="26AF7F4E" w14:textId="77777777" w:rsidR="00387F6F" w:rsidRPr="001E2811" w:rsidRDefault="00387F6F" w:rsidP="00DA6301">
      <w:pPr>
        <w:spacing w:after="60"/>
        <w:ind w:right="-81"/>
        <w:jc w:val="both"/>
        <w:outlineLvl w:val="0"/>
        <w:rPr>
          <w:rFonts w:cs="Calibri"/>
          <w:szCs w:val="22"/>
        </w:rPr>
      </w:pPr>
    </w:p>
    <w:p w14:paraId="35B38A09" w14:textId="77777777" w:rsidR="00387F6F" w:rsidRPr="001E2811" w:rsidRDefault="00387F6F" w:rsidP="00DA6301">
      <w:pPr>
        <w:spacing w:after="60"/>
        <w:ind w:right="-81"/>
        <w:jc w:val="both"/>
        <w:outlineLvl w:val="0"/>
        <w:rPr>
          <w:rFonts w:cs="Calibri"/>
          <w:szCs w:val="22"/>
        </w:rPr>
      </w:pPr>
      <w:r w:rsidRPr="001E2811">
        <w:rPr>
          <w:rFonts w:cs="Calibri"/>
          <w:szCs w:val="22"/>
        </w:rPr>
        <w:t xml:space="preserve">Tyto reklamační podmínky jsou Nabyvatelem akceptovány a vstupují v platnost podpisem této </w:t>
      </w:r>
      <w:r w:rsidR="00B15A4C">
        <w:rPr>
          <w:rFonts w:cs="Calibri"/>
          <w:szCs w:val="22"/>
        </w:rPr>
        <w:t>Sml</w:t>
      </w:r>
      <w:r w:rsidRPr="001E2811">
        <w:rPr>
          <w:rFonts w:cs="Calibri"/>
          <w:szCs w:val="22"/>
        </w:rPr>
        <w:t>ouvy.</w:t>
      </w:r>
    </w:p>
    <w:p w14:paraId="43C345AC" w14:textId="77777777" w:rsidR="00387F6F" w:rsidRPr="001C1077" w:rsidRDefault="00387F6F" w:rsidP="001C1077">
      <w:pPr>
        <w:rPr>
          <w:b/>
          <w:bCs/>
        </w:rPr>
      </w:pPr>
      <w:r w:rsidRPr="001E2811">
        <w:rPr>
          <w:rFonts w:cs="Calibri"/>
          <w:szCs w:val="22"/>
        </w:rPr>
        <w:br w:type="page"/>
      </w:r>
      <w:r w:rsidRPr="001C1077">
        <w:rPr>
          <w:b/>
          <w:bCs/>
        </w:rPr>
        <w:lastRenderedPageBreak/>
        <w:t>Příloha č.</w:t>
      </w:r>
      <w:r w:rsidR="00423622" w:rsidRPr="001C1077">
        <w:rPr>
          <w:b/>
          <w:bCs/>
        </w:rPr>
        <w:t xml:space="preserve"> 5</w:t>
      </w:r>
      <w:r w:rsidR="001C1077">
        <w:rPr>
          <w:b/>
          <w:bCs/>
        </w:rPr>
        <w:t>:</w:t>
      </w:r>
      <w:r w:rsidR="001C1077" w:rsidRPr="001C1077">
        <w:rPr>
          <w:b/>
          <w:bCs/>
        </w:rPr>
        <w:t xml:space="preserve"> </w:t>
      </w:r>
      <w:r w:rsidRPr="001C1077">
        <w:rPr>
          <w:b/>
          <w:bCs/>
        </w:rPr>
        <w:t>Vzor provozního deníku</w:t>
      </w:r>
    </w:p>
    <w:p w14:paraId="3554BF7C" w14:textId="77777777" w:rsidR="00387F6F" w:rsidRPr="001E2811" w:rsidRDefault="00387F6F" w:rsidP="00387F6F">
      <w:pPr>
        <w:tabs>
          <w:tab w:val="left" w:pos="0"/>
          <w:tab w:val="left" w:pos="851"/>
          <w:tab w:val="center" w:pos="1701"/>
          <w:tab w:val="left" w:pos="2835"/>
          <w:tab w:val="center" w:pos="7088"/>
        </w:tabs>
        <w:rPr>
          <w:rFonts w:cs="Calibri"/>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5"/>
        <w:gridCol w:w="1409"/>
        <w:gridCol w:w="2009"/>
        <w:gridCol w:w="3260"/>
        <w:gridCol w:w="1560"/>
      </w:tblGrid>
      <w:tr w:rsidR="00387F6F" w:rsidRPr="001E2811" w14:paraId="3BAE00D5" w14:textId="77777777" w:rsidTr="00B231E8">
        <w:trPr>
          <w:trHeight w:val="752"/>
        </w:trPr>
        <w:tc>
          <w:tcPr>
            <w:tcW w:w="1255" w:type="dxa"/>
            <w:vAlign w:val="center"/>
          </w:tcPr>
          <w:p w14:paraId="0F42D663" w14:textId="77777777" w:rsidR="00387F6F" w:rsidRPr="001E2811" w:rsidRDefault="00387F6F" w:rsidP="00272A32">
            <w:pPr>
              <w:tabs>
                <w:tab w:val="left" w:pos="0"/>
                <w:tab w:val="left" w:pos="851"/>
                <w:tab w:val="center" w:pos="1701"/>
                <w:tab w:val="left" w:pos="2835"/>
                <w:tab w:val="center" w:pos="7088"/>
              </w:tabs>
              <w:jc w:val="center"/>
              <w:rPr>
                <w:rFonts w:cs="Calibri"/>
                <w:b/>
                <w:szCs w:val="22"/>
              </w:rPr>
            </w:pPr>
            <w:r w:rsidRPr="001E2811">
              <w:rPr>
                <w:rFonts w:cs="Calibri"/>
                <w:b/>
                <w:szCs w:val="22"/>
              </w:rPr>
              <w:t>DATUM</w:t>
            </w:r>
          </w:p>
        </w:tc>
        <w:tc>
          <w:tcPr>
            <w:tcW w:w="1409" w:type="dxa"/>
            <w:vAlign w:val="center"/>
          </w:tcPr>
          <w:p w14:paraId="12273B61" w14:textId="77777777" w:rsidR="00387F6F" w:rsidRPr="001E2811" w:rsidRDefault="00387F6F" w:rsidP="00272A32">
            <w:pPr>
              <w:tabs>
                <w:tab w:val="left" w:pos="0"/>
                <w:tab w:val="left" w:pos="851"/>
                <w:tab w:val="center" w:pos="1701"/>
                <w:tab w:val="left" w:pos="2835"/>
                <w:tab w:val="center" w:pos="7088"/>
              </w:tabs>
              <w:jc w:val="center"/>
              <w:rPr>
                <w:rFonts w:cs="Calibri"/>
                <w:b/>
                <w:szCs w:val="22"/>
              </w:rPr>
            </w:pPr>
            <w:r w:rsidRPr="001E2811">
              <w:rPr>
                <w:rFonts w:cs="Calibri"/>
                <w:b/>
                <w:szCs w:val="22"/>
              </w:rPr>
              <w:t>JMÉNO PRACOVNÍKA</w:t>
            </w:r>
          </w:p>
        </w:tc>
        <w:tc>
          <w:tcPr>
            <w:tcW w:w="2009" w:type="dxa"/>
            <w:vAlign w:val="center"/>
          </w:tcPr>
          <w:p w14:paraId="061DC08C" w14:textId="77777777" w:rsidR="00387F6F" w:rsidRPr="001E2811" w:rsidRDefault="00387F6F" w:rsidP="00272A32">
            <w:pPr>
              <w:tabs>
                <w:tab w:val="left" w:pos="0"/>
                <w:tab w:val="left" w:pos="851"/>
                <w:tab w:val="center" w:pos="1701"/>
                <w:tab w:val="left" w:pos="2835"/>
                <w:tab w:val="center" w:pos="7088"/>
              </w:tabs>
              <w:jc w:val="center"/>
              <w:rPr>
                <w:rFonts w:cs="Calibri"/>
                <w:b/>
                <w:szCs w:val="22"/>
              </w:rPr>
            </w:pPr>
            <w:r w:rsidRPr="001E2811">
              <w:rPr>
                <w:rFonts w:cs="Calibri"/>
                <w:b/>
                <w:szCs w:val="22"/>
              </w:rPr>
              <w:t>POPIS ČINNOSTI</w:t>
            </w:r>
          </w:p>
        </w:tc>
        <w:tc>
          <w:tcPr>
            <w:tcW w:w="3260" w:type="dxa"/>
            <w:vAlign w:val="center"/>
          </w:tcPr>
          <w:p w14:paraId="3E707933" w14:textId="77777777" w:rsidR="00387F6F" w:rsidRPr="001E2811" w:rsidRDefault="00387F6F" w:rsidP="00272A32">
            <w:pPr>
              <w:tabs>
                <w:tab w:val="left" w:pos="0"/>
                <w:tab w:val="left" w:pos="851"/>
                <w:tab w:val="center" w:pos="1701"/>
                <w:tab w:val="left" w:pos="2835"/>
                <w:tab w:val="center" w:pos="7088"/>
              </w:tabs>
              <w:jc w:val="center"/>
              <w:rPr>
                <w:rFonts w:cs="Calibri"/>
                <w:b/>
                <w:szCs w:val="22"/>
              </w:rPr>
            </w:pPr>
            <w:r w:rsidRPr="001E2811">
              <w:rPr>
                <w:rFonts w:cs="Calibri"/>
                <w:b/>
                <w:szCs w:val="22"/>
              </w:rPr>
              <w:t>POPIS STAVU</w:t>
            </w:r>
          </w:p>
          <w:p w14:paraId="7BE67829" w14:textId="77777777" w:rsidR="00387F6F" w:rsidRPr="001E2811" w:rsidRDefault="00387F6F" w:rsidP="00272A32">
            <w:pPr>
              <w:tabs>
                <w:tab w:val="left" w:pos="0"/>
                <w:tab w:val="left" w:pos="851"/>
                <w:tab w:val="center" w:pos="1701"/>
                <w:tab w:val="left" w:pos="2835"/>
                <w:tab w:val="center" w:pos="7088"/>
              </w:tabs>
              <w:jc w:val="center"/>
              <w:rPr>
                <w:rFonts w:cs="Calibri"/>
                <w:b/>
                <w:szCs w:val="22"/>
              </w:rPr>
            </w:pPr>
            <w:r w:rsidRPr="001E2811">
              <w:rPr>
                <w:rFonts w:cs="Calibri"/>
                <w:b/>
                <w:szCs w:val="22"/>
              </w:rPr>
              <w:t>(servisní akce, nestandardní stav)</w:t>
            </w:r>
          </w:p>
        </w:tc>
        <w:tc>
          <w:tcPr>
            <w:tcW w:w="1560" w:type="dxa"/>
            <w:vAlign w:val="center"/>
          </w:tcPr>
          <w:p w14:paraId="539CA68B" w14:textId="77777777" w:rsidR="00387F6F" w:rsidRPr="001E2811" w:rsidRDefault="00387F6F" w:rsidP="00272A32">
            <w:pPr>
              <w:tabs>
                <w:tab w:val="left" w:pos="0"/>
                <w:tab w:val="left" w:pos="851"/>
                <w:tab w:val="center" w:pos="1701"/>
                <w:tab w:val="left" w:pos="2835"/>
                <w:tab w:val="center" w:pos="7088"/>
              </w:tabs>
              <w:jc w:val="center"/>
              <w:rPr>
                <w:rFonts w:cs="Calibri"/>
                <w:b/>
                <w:szCs w:val="22"/>
              </w:rPr>
            </w:pPr>
            <w:r w:rsidRPr="001E2811">
              <w:rPr>
                <w:rFonts w:cs="Calibri"/>
                <w:b/>
                <w:szCs w:val="22"/>
              </w:rPr>
              <w:t>ŘEŠENÍ</w:t>
            </w:r>
          </w:p>
        </w:tc>
      </w:tr>
      <w:tr w:rsidR="00387F6F" w:rsidRPr="001E2811" w14:paraId="566195E9" w14:textId="77777777" w:rsidTr="00387DD9">
        <w:trPr>
          <w:trHeight w:hRule="exact" w:val="454"/>
        </w:trPr>
        <w:tc>
          <w:tcPr>
            <w:tcW w:w="1255" w:type="dxa"/>
            <w:vAlign w:val="center"/>
          </w:tcPr>
          <w:p w14:paraId="1D62B928" w14:textId="683F4716"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24.</w:t>
            </w:r>
            <w:r>
              <w:rPr>
                <w:rFonts w:cs="Calibri"/>
                <w:szCs w:val="22"/>
              </w:rPr>
              <w:t xml:space="preserve"> </w:t>
            </w:r>
            <w:r w:rsidRPr="001E2811">
              <w:rPr>
                <w:rFonts w:cs="Calibri"/>
                <w:szCs w:val="22"/>
              </w:rPr>
              <w:t>1.</w:t>
            </w:r>
            <w:r>
              <w:rPr>
                <w:rFonts w:cs="Calibri"/>
                <w:szCs w:val="22"/>
              </w:rPr>
              <w:t xml:space="preserve"> 20</w:t>
            </w:r>
            <w:r w:rsidR="008370E0">
              <w:rPr>
                <w:rFonts w:cs="Calibri"/>
                <w:szCs w:val="22"/>
              </w:rPr>
              <w:t>21</w:t>
            </w:r>
          </w:p>
        </w:tc>
        <w:tc>
          <w:tcPr>
            <w:tcW w:w="1409" w:type="dxa"/>
            <w:vAlign w:val="center"/>
          </w:tcPr>
          <w:p w14:paraId="6F65FBD6" w14:textId="77777777"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Novák</w:t>
            </w:r>
          </w:p>
        </w:tc>
        <w:tc>
          <w:tcPr>
            <w:tcW w:w="2009" w:type="dxa"/>
            <w:vAlign w:val="center"/>
          </w:tcPr>
          <w:p w14:paraId="367B2572" w14:textId="77777777"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ZÁLOHOVÁNÍ DAT</w:t>
            </w:r>
          </w:p>
        </w:tc>
        <w:tc>
          <w:tcPr>
            <w:tcW w:w="3260" w:type="dxa"/>
            <w:vAlign w:val="center"/>
          </w:tcPr>
          <w:p w14:paraId="2D58650D" w14:textId="77777777"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PROBĚHLO V POŘÁDKU</w:t>
            </w:r>
          </w:p>
        </w:tc>
        <w:tc>
          <w:tcPr>
            <w:tcW w:w="1560" w:type="dxa"/>
            <w:vAlign w:val="center"/>
          </w:tcPr>
          <w:p w14:paraId="33296702" w14:textId="77777777" w:rsidR="00387F6F" w:rsidRPr="001E2811" w:rsidRDefault="00387F6F" w:rsidP="00272A32">
            <w:pPr>
              <w:tabs>
                <w:tab w:val="left" w:pos="0"/>
                <w:tab w:val="left" w:pos="851"/>
                <w:tab w:val="center" w:pos="1701"/>
                <w:tab w:val="left" w:pos="2835"/>
                <w:tab w:val="center" w:pos="7088"/>
              </w:tabs>
              <w:rPr>
                <w:rFonts w:cs="Calibri"/>
                <w:szCs w:val="22"/>
              </w:rPr>
            </w:pPr>
          </w:p>
        </w:tc>
      </w:tr>
      <w:tr w:rsidR="00387F6F" w:rsidRPr="001E2811" w14:paraId="73F4E8A4" w14:textId="77777777" w:rsidTr="008370E0">
        <w:trPr>
          <w:trHeight w:hRule="exact" w:val="661"/>
        </w:trPr>
        <w:tc>
          <w:tcPr>
            <w:tcW w:w="1255" w:type="dxa"/>
            <w:vAlign w:val="center"/>
          </w:tcPr>
          <w:p w14:paraId="78C0F1D8" w14:textId="6F8B5BE8"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25.</w:t>
            </w:r>
            <w:r>
              <w:rPr>
                <w:rFonts w:cs="Calibri"/>
                <w:szCs w:val="22"/>
              </w:rPr>
              <w:t xml:space="preserve"> </w:t>
            </w:r>
            <w:r w:rsidRPr="001E2811">
              <w:rPr>
                <w:rFonts w:cs="Calibri"/>
                <w:szCs w:val="22"/>
              </w:rPr>
              <w:t>1.</w:t>
            </w:r>
            <w:r>
              <w:rPr>
                <w:rFonts w:cs="Calibri"/>
                <w:szCs w:val="22"/>
              </w:rPr>
              <w:t xml:space="preserve"> 20</w:t>
            </w:r>
            <w:r w:rsidR="008370E0">
              <w:rPr>
                <w:rFonts w:cs="Calibri"/>
                <w:szCs w:val="22"/>
              </w:rPr>
              <w:t>21</w:t>
            </w:r>
          </w:p>
        </w:tc>
        <w:tc>
          <w:tcPr>
            <w:tcW w:w="1409" w:type="dxa"/>
            <w:vAlign w:val="center"/>
          </w:tcPr>
          <w:p w14:paraId="1D0AE262" w14:textId="77777777"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Novák</w:t>
            </w:r>
          </w:p>
        </w:tc>
        <w:tc>
          <w:tcPr>
            <w:tcW w:w="2009" w:type="dxa"/>
            <w:vAlign w:val="center"/>
          </w:tcPr>
          <w:p w14:paraId="459B8744" w14:textId="77777777"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VYSTAVOVÁNÍ FAKTURY</w:t>
            </w:r>
          </w:p>
        </w:tc>
        <w:tc>
          <w:tcPr>
            <w:tcW w:w="3260" w:type="dxa"/>
            <w:vAlign w:val="center"/>
          </w:tcPr>
          <w:p w14:paraId="7AA12859" w14:textId="05A3ED99"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 xml:space="preserve">VYPADL PROUD </w:t>
            </w:r>
          </w:p>
        </w:tc>
        <w:tc>
          <w:tcPr>
            <w:tcW w:w="1560" w:type="dxa"/>
            <w:vAlign w:val="center"/>
          </w:tcPr>
          <w:p w14:paraId="1395C6B6" w14:textId="77777777" w:rsidR="00387F6F" w:rsidRPr="001E2811" w:rsidRDefault="00387F6F" w:rsidP="00272A32">
            <w:pPr>
              <w:tabs>
                <w:tab w:val="left" w:pos="0"/>
                <w:tab w:val="left" w:pos="851"/>
                <w:tab w:val="center" w:pos="1701"/>
                <w:tab w:val="left" w:pos="2835"/>
                <w:tab w:val="center" w:pos="7088"/>
              </w:tabs>
              <w:rPr>
                <w:rFonts w:cs="Calibri"/>
                <w:szCs w:val="22"/>
              </w:rPr>
            </w:pPr>
            <w:r w:rsidRPr="001E2811">
              <w:rPr>
                <w:rFonts w:cs="Calibri"/>
                <w:szCs w:val="22"/>
              </w:rPr>
              <w:t>PO HOTLINE</w:t>
            </w:r>
          </w:p>
        </w:tc>
      </w:tr>
      <w:tr w:rsidR="00387F6F" w:rsidRPr="001E2811" w14:paraId="04907C09" w14:textId="77777777" w:rsidTr="00387DD9">
        <w:trPr>
          <w:trHeight w:hRule="exact" w:val="454"/>
        </w:trPr>
        <w:tc>
          <w:tcPr>
            <w:tcW w:w="1255" w:type="dxa"/>
            <w:vAlign w:val="center"/>
          </w:tcPr>
          <w:p w14:paraId="158DC215"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1409" w:type="dxa"/>
            <w:vAlign w:val="center"/>
          </w:tcPr>
          <w:p w14:paraId="7A5B65AF"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2009" w:type="dxa"/>
            <w:vAlign w:val="center"/>
          </w:tcPr>
          <w:p w14:paraId="1F58E469"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3260" w:type="dxa"/>
            <w:vAlign w:val="center"/>
          </w:tcPr>
          <w:p w14:paraId="303F511C"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1560" w:type="dxa"/>
            <w:vAlign w:val="center"/>
          </w:tcPr>
          <w:p w14:paraId="08176529" w14:textId="77777777" w:rsidR="00387F6F" w:rsidRPr="001E2811" w:rsidRDefault="00387F6F" w:rsidP="00272A32">
            <w:pPr>
              <w:tabs>
                <w:tab w:val="left" w:pos="0"/>
                <w:tab w:val="left" w:pos="851"/>
                <w:tab w:val="center" w:pos="1701"/>
                <w:tab w:val="left" w:pos="2835"/>
                <w:tab w:val="center" w:pos="7088"/>
              </w:tabs>
              <w:rPr>
                <w:rFonts w:cs="Calibri"/>
                <w:szCs w:val="22"/>
              </w:rPr>
            </w:pPr>
          </w:p>
        </w:tc>
      </w:tr>
      <w:tr w:rsidR="00387F6F" w:rsidRPr="001E2811" w14:paraId="0B7B0708" w14:textId="77777777" w:rsidTr="00387DD9">
        <w:trPr>
          <w:trHeight w:hRule="exact" w:val="454"/>
        </w:trPr>
        <w:tc>
          <w:tcPr>
            <w:tcW w:w="1255" w:type="dxa"/>
            <w:vAlign w:val="center"/>
          </w:tcPr>
          <w:p w14:paraId="35F32A34"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1409" w:type="dxa"/>
            <w:vAlign w:val="center"/>
          </w:tcPr>
          <w:p w14:paraId="4CA6EAED"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2009" w:type="dxa"/>
            <w:vAlign w:val="center"/>
          </w:tcPr>
          <w:p w14:paraId="3A8F5E5D"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3260" w:type="dxa"/>
            <w:vAlign w:val="center"/>
          </w:tcPr>
          <w:p w14:paraId="2923EE94" w14:textId="77777777" w:rsidR="00387F6F" w:rsidRPr="001E2811" w:rsidRDefault="00387F6F" w:rsidP="00272A32">
            <w:pPr>
              <w:tabs>
                <w:tab w:val="left" w:pos="0"/>
                <w:tab w:val="left" w:pos="851"/>
                <w:tab w:val="center" w:pos="1701"/>
                <w:tab w:val="left" w:pos="2835"/>
                <w:tab w:val="center" w:pos="7088"/>
              </w:tabs>
              <w:rPr>
                <w:rFonts w:cs="Calibri"/>
                <w:szCs w:val="22"/>
              </w:rPr>
            </w:pPr>
          </w:p>
        </w:tc>
        <w:tc>
          <w:tcPr>
            <w:tcW w:w="1560" w:type="dxa"/>
            <w:vAlign w:val="center"/>
          </w:tcPr>
          <w:p w14:paraId="6284609B" w14:textId="77777777" w:rsidR="00387F6F" w:rsidRPr="001E2811" w:rsidRDefault="00387F6F" w:rsidP="00272A32">
            <w:pPr>
              <w:tabs>
                <w:tab w:val="left" w:pos="0"/>
                <w:tab w:val="left" w:pos="851"/>
                <w:tab w:val="center" w:pos="1701"/>
                <w:tab w:val="left" w:pos="2835"/>
                <w:tab w:val="center" w:pos="7088"/>
              </w:tabs>
              <w:rPr>
                <w:rFonts w:cs="Calibri"/>
                <w:szCs w:val="22"/>
              </w:rPr>
            </w:pPr>
          </w:p>
        </w:tc>
      </w:tr>
    </w:tbl>
    <w:p w14:paraId="09C986E4" w14:textId="77777777" w:rsidR="00387F6F" w:rsidRPr="001E2811" w:rsidRDefault="00387F6F" w:rsidP="00387F6F">
      <w:pPr>
        <w:tabs>
          <w:tab w:val="center" w:pos="1985"/>
        </w:tabs>
        <w:jc w:val="both"/>
        <w:rPr>
          <w:rFonts w:cs="Calibri"/>
          <w:szCs w:val="22"/>
        </w:rPr>
      </w:pPr>
    </w:p>
    <w:p w14:paraId="5FE2133E" w14:textId="2373D423" w:rsidR="00B11E6E" w:rsidRDefault="00C32EBD" w:rsidP="00B11E6E">
      <w:pPr>
        <w:tabs>
          <w:tab w:val="center" w:pos="1985"/>
        </w:tabs>
        <w:jc w:val="both"/>
        <w:rPr>
          <w:rFonts w:cs="Calibri"/>
          <w:szCs w:val="22"/>
        </w:rPr>
      </w:pPr>
      <w:r>
        <w:rPr>
          <w:rFonts w:cs="Calibri"/>
          <w:szCs w:val="22"/>
        </w:rPr>
        <w:t>Deník l</w:t>
      </w:r>
      <w:r w:rsidR="008370E0">
        <w:rPr>
          <w:rFonts w:cs="Calibri"/>
          <w:szCs w:val="22"/>
        </w:rPr>
        <w:t>ze vést i v elektronické podobě.</w:t>
      </w:r>
      <w:bookmarkStart w:id="13" w:name="_Toc26094362"/>
    </w:p>
    <w:p w14:paraId="1DD6E8FB" w14:textId="77777777" w:rsidR="00B11E6E" w:rsidRDefault="00B11E6E" w:rsidP="00B11E6E">
      <w:pPr>
        <w:tabs>
          <w:tab w:val="center" w:pos="1985"/>
        </w:tabs>
        <w:jc w:val="both"/>
        <w:rPr>
          <w:rFonts w:cs="Calibri"/>
          <w:szCs w:val="22"/>
        </w:rPr>
      </w:pPr>
    </w:p>
    <w:p w14:paraId="22C76347" w14:textId="77777777" w:rsidR="00B11E6E" w:rsidRDefault="00B11E6E" w:rsidP="00B11E6E">
      <w:pPr>
        <w:tabs>
          <w:tab w:val="center" w:pos="1985"/>
        </w:tabs>
        <w:jc w:val="both"/>
        <w:rPr>
          <w:rFonts w:cs="Calibri"/>
          <w:szCs w:val="22"/>
        </w:rPr>
      </w:pPr>
    </w:p>
    <w:p w14:paraId="60C2A370" w14:textId="58B49510" w:rsidR="005F5524" w:rsidRPr="001C1077" w:rsidRDefault="00423622" w:rsidP="00B11E6E">
      <w:pPr>
        <w:tabs>
          <w:tab w:val="center" w:pos="1985"/>
        </w:tabs>
        <w:jc w:val="both"/>
        <w:rPr>
          <w:b/>
          <w:bCs/>
        </w:rPr>
      </w:pPr>
      <w:r w:rsidRPr="001C1077">
        <w:rPr>
          <w:b/>
          <w:bCs/>
        </w:rPr>
        <w:t>Příloha č. 6</w:t>
      </w:r>
      <w:bookmarkEnd w:id="13"/>
      <w:r w:rsidR="001C1077">
        <w:rPr>
          <w:b/>
          <w:bCs/>
        </w:rPr>
        <w:t>:</w:t>
      </w:r>
      <w:r w:rsidR="001C1077" w:rsidRPr="001C1077">
        <w:rPr>
          <w:b/>
          <w:bCs/>
        </w:rPr>
        <w:t xml:space="preserve"> </w:t>
      </w:r>
      <w:r w:rsidR="005F5524" w:rsidRPr="001C1077">
        <w:rPr>
          <w:b/>
          <w:bCs/>
        </w:rPr>
        <w:t>Technologické nároky systému HELIOS O</w:t>
      </w:r>
      <w:r w:rsidRPr="001C1077">
        <w:rPr>
          <w:b/>
          <w:bCs/>
        </w:rPr>
        <w:t>range pro minimální konfiguraci</w:t>
      </w:r>
    </w:p>
    <w:p w14:paraId="2604ECB6" w14:textId="77777777" w:rsidR="005F5524" w:rsidRPr="005F5524" w:rsidRDefault="005F5524" w:rsidP="005F5524">
      <w:pPr>
        <w:jc w:val="both"/>
        <w:rPr>
          <w:rFonts w:cs="Calibri"/>
          <w:bCs/>
          <w:kern w:val="36"/>
          <w:szCs w:val="22"/>
        </w:rPr>
      </w:pPr>
    </w:p>
    <w:p w14:paraId="25F9C09C" w14:textId="77777777" w:rsidR="005F5524" w:rsidRPr="001E2811" w:rsidRDefault="005F5524" w:rsidP="005F5524">
      <w:pPr>
        <w:tabs>
          <w:tab w:val="left" w:pos="0"/>
        </w:tabs>
        <w:spacing w:after="40"/>
        <w:jc w:val="both"/>
        <w:rPr>
          <w:rFonts w:cs="Calibri"/>
          <w:szCs w:val="22"/>
        </w:rPr>
      </w:pPr>
      <w:bookmarkStart w:id="14" w:name="_Toc307804135"/>
      <w:r w:rsidRPr="001E2811">
        <w:rPr>
          <w:rFonts w:cs="Calibri"/>
          <w:szCs w:val="22"/>
        </w:rPr>
        <w:t xml:space="preserve">Podporované prostředí (též platforma) - je software třetí strany (lokální, resp. síťový operační systém, databázový server, terminálový server apod.) konkrétní verze od konkrétního výrobce, v jehož prostředí dodaný HELIOS Orange pracuje a s kterými je HELIOS Orange kompatibilní. Jedná se o podmnožinu technologických nároků HELIOS Orange a </w:t>
      </w:r>
      <w:r>
        <w:rPr>
          <w:rFonts w:cs="Calibri"/>
          <w:szCs w:val="22"/>
        </w:rPr>
        <w:t>Poskytovatel</w:t>
      </w:r>
      <w:r w:rsidRPr="001E2811">
        <w:rPr>
          <w:rFonts w:cs="Calibri"/>
          <w:szCs w:val="22"/>
        </w:rPr>
        <w:t xml:space="preserve"> poskytuje v tomto směru </w:t>
      </w:r>
      <w:r>
        <w:rPr>
          <w:rFonts w:cs="Calibri"/>
          <w:szCs w:val="22"/>
        </w:rPr>
        <w:t>Nabyvateli</w:t>
      </w:r>
      <w:r w:rsidRPr="001E2811">
        <w:rPr>
          <w:rFonts w:cs="Calibri"/>
          <w:szCs w:val="22"/>
        </w:rPr>
        <w:t xml:space="preserve"> informační podporu prostřednictvím specifikace technologických nároků HELIOS Orange.</w:t>
      </w:r>
    </w:p>
    <w:bookmarkEnd w:id="14"/>
    <w:p w14:paraId="795EE6E0" w14:textId="77777777" w:rsidR="005F5524" w:rsidRPr="001E2811" w:rsidRDefault="005F5524" w:rsidP="005F5524">
      <w:pPr>
        <w:jc w:val="both"/>
        <w:rPr>
          <w:rFonts w:cs="Calibri"/>
          <w:szCs w:val="22"/>
        </w:rPr>
      </w:pPr>
    </w:p>
    <w:p w14:paraId="48CC2725" w14:textId="77777777" w:rsidR="005F5524" w:rsidRPr="001E2811" w:rsidRDefault="005F5524" w:rsidP="005F5524">
      <w:pPr>
        <w:jc w:val="both"/>
        <w:rPr>
          <w:rFonts w:cs="Calibri"/>
          <w:szCs w:val="22"/>
        </w:rPr>
      </w:pPr>
      <w:r>
        <w:rPr>
          <w:rFonts w:cs="Calibri"/>
          <w:szCs w:val="22"/>
        </w:rPr>
        <w:t>Nabyvatel</w:t>
      </w:r>
      <w:r w:rsidRPr="001E2811">
        <w:rPr>
          <w:rFonts w:cs="Calibri"/>
          <w:szCs w:val="22"/>
        </w:rPr>
        <w:t xml:space="preserve"> se zavazuje v důsledku vývoje programových prostředků aktualizovat parametry svého technického vybavení a používaných softwarových platforem tak, aby vyhovovaly technologickým nárokům HELIOS Orange a Podporovaným prostředím, to vše za předpokladu poskytnutí úplné součinnosti ze strany </w:t>
      </w:r>
      <w:r>
        <w:rPr>
          <w:rFonts w:cs="Calibri"/>
          <w:szCs w:val="22"/>
        </w:rPr>
        <w:t>Poskytovatele</w:t>
      </w:r>
      <w:r w:rsidRPr="001E2811">
        <w:rPr>
          <w:rFonts w:cs="Calibri"/>
          <w:szCs w:val="22"/>
        </w:rPr>
        <w:t xml:space="preserve"> vč. příslušných informačních povinností.</w:t>
      </w:r>
    </w:p>
    <w:p w14:paraId="5B069560" w14:textId="77777777" w:rsidR="005F5524" w:rsidRPr="001E2811" w:rsidRDefault="005F5524" w:rsidP="005F5524">
      <w:pPr>
        <w:tabs>
          <w:tab w:val="left" w:pos="0"/>
        </w:tabs>
        <w:spacing w:after="40"/>
        <w:jc w:val="both"/>
        <w:rPr>
          <w:rFonts w:cs="Calibri"/>
          <w:szCs w:val="22"/>
        </w:rPr>
      </w:pPr>
    </w:p>
    <w:p w14:paraId="269D6309" w14:textId="77777777" w:rsidR="005F5524" w:rsidRPr="001E2811" w:rsidRDefault="005F5524" w:rsidP="005F5524">
      <w:pPr>
        <w:jc w:val="both"/>
        <w:rPr>
          <w:rFonts w:cs="Calibri"/>
          <w:szCs w:val="22"/>
        </w:rPr>
      </w:pPr>
      <w:r>
        <w:rPr>
          <w:rFonts w:cs="Calibri"/>
          <w:szCs w:val="22"/>
        </w:rPr>
        <w:t>Poskytovatel</w:t>
      </w:r>
      <w:r w:rsidRPr="001E2811">
        <w:rPr>
          <w:rFonts w:cs="Calibri"/>
          <w:szCs w:val="22"/>
        </w:rPr>
        <w:t xml:space="preserve"> si vyhrazuje právo ukončit podporu funkčnosti HELIOS Orange provozovaného na těch platformách, které jejich prvovýrobci přestali podporovat na úrovni kompatibility se softwarovými produkty třetích stran. Za provoz HELIOS Orange v těchto prostředích nenese </w:t>
      </w:r>
      <w:r>
        <w:rPr>
          <w:rFonts w:cs="Calibri"/>
          <w:szCs w:val="22"/>
        </w:rPr>
        <w:t>Poskytovatel</w:t>
      </w:r>
      <w:r w:rsidRPr="001E2811">
        <w:rPr>
          <w:rFonts w:cs="Calibri"/>
          <w:szCs w:val="22"/>
        </w:rPr>
        <w:t xml:space="preserve"> odpovědnost. Rovněž tak </w:t>
      </w:r>
      <w:r>
        <w:rPr>
          <w:rFonts w:cs="Calibri"/>
          <w:szCs w:val="22"/>
        </w:rPr>
        <w:t>Poskytovatel</w:t>
      </w:r>
      <w:r w:rsidRPr="001E2811">
        <w:rPr>
          <w:rFonts w:cs="Calibri"/>
          <w:szCs w:val="22"/>
        </w:rPr>
        <w:t xml:space="preserve"> nenese odpovědnost za případnou újmu vzniklou v důsledku takovéto situace vč. případných nákladů na její řešení. O takovéto skutečnosti je </w:t>
      </w:r>
      <w:r>
        <w:rPr>
          <w:rFonts w:cs="Calibri"/>
          <w:szCs w:val="22"/>
        </w:rPr>
        <w:t>Poskytovatel</w:t>
      </w:r>
      <w:r w:rsidRPr="001E2811">
        <w:rPr>
          <w:rFonts w:cs="Calibri"/>
          <w:szCs w:val="22"/>
        </w:rPr>
        <w:t xml:space="preserve"> povinen </w:t>
      </w:r>
      <w:r>
        <w:rPr>
          <w:rFonts w:cs="Calibri"/>
          <w:szCs w:val="22"/>
        </w:rPr>
        <w:t>Nabyvatel</w:t>
      </w:r>
      <w:r w:rsidRPr="001E2811">
        <w:rPr>
          <w:rFonts w:cs="Calibri"/>
          <w:szCs w:val="22"/>
        </w:rPr>
        <w:t>e prokazatelně informovat.</w:t>
      </w:r>
    </w:p>
    <w:p w14:paraId="7EED1DF7" w14:textId="77777777" w:rsidR="005F5524" w:rsidRPr="001E2811" w:rsidRDefault="005F5524" w:rsidP="005F5524">
      <w:pPr>
        <w:tabs>
          <w:tab w:val="left" w:pos="0"/>
        </w:tabs>
        <w:spacing w:after="40"/>
        <w:jc w:val="both"/>
        <w:rPr>
          <w:rFonts w:cs="Calibri"/>
          <w:szCs w:val="22"/>
        </w:rPr>
      </w:pPr>
    </w:p>
    <w:p w14:paraId="69A39ACB" w14:textId="77777777" w:rsidR="005F5524" w:rsidRPr="001E2811" w:rsidRDefault="005F5524" w:rsidP="005F5524">
      <w:pPr>
        <w:tabs>
          <w:tab w:val="left" w:pos="0"/>
        </w:tabs>
        <w:spacing w:after="40"/>
        <w:jc w:val="both"/>
        <w:rPr>
          <w:rFonts w:cs="Calibri"/>
          <w:szCs w:val="22"/>
        </w:rPr>
      </w:pPr>
      <w:r>
        <w:rPr>
          <w:rFonts w:cs="Calibri"/>
          <w:szCs w:val="22"/>
        </w:rPr>
        <w:t>Poskytovatel</w:t>
      </w:r>
      <w:r w:rsidRPr="001E2811">
        <w:rPr>
          <w:rFonts w:cs="Calibri"/>
          <w:szCs w:val="22"/>
        </w:rPr>
        <w:t xml:space="preserve"> nenese odpovědnost a neposkytuje záruku na odstranění vad HELIOS Orange, pokud je HELIOS Orange provozován v jiném než v Podporovaném prostředí.</w:t>
      </w:r>
    </w:p>
    <w:p w14:paraId="44764692" w14:textId="77777777" w:rsidR="005F5524" w:rsidRPr="001E2811" w:rsidRDefault="005F5524" w:rsidP="005F5524">
      <w:pPr>
        <w:jc w:val="both"/>
        <w:rPr>
          <w:rFonts w:cs="Calibri"/>
          <w:szCs w:val="22"/>
        </w:rPr>
      </w:pPr>
    </w:p>
    <w:p w14:paraId="087E2D4D" w14:textId="77777777" w:rsidR="005F5524" w:rsidRPr="001E2811" w:rsidRDefault="005F5524" w:rsidP="005F5524">
      <w:pPr>
        <w:spacing w:after="120"/>
        <w:jc w:val="both"/>
        <w:rPr>
          <w:rFonts w:cs="Calibri"/>
          <w:szCs w:val="22"/>
        </w:rPr>
      </w:pPr>
      <w:r>
        <w:rPr>
          <w:rFonts w:cs="Calibri"/>
          <w:szCs w:val="22"/>
        </w:rPr>
        <w:t>Aktuální T</w:t>
      </w:r>
      <w:r w:rsidRPr="001E2811">
        <w:rPr>
          <w:rFonts w:cs="Calibri"/>
          <w:szCs w:val="22"/>
        </w:rPr>
        <w:t>echnologické nároky systému HELIOS Orange pro minimální</w:t>
      </w:r>
      <w:r>
        <w:rPr>
          <w:rFonts w:cs="Calibri"/>
          <w:szCs w:val="22"/>
        </w:rPr>
        <w:t xml:space="preserve"> konfiguraci včetně informací o </w:t>
      </w:r>
      <w:r w:rsidRPr="001E2811">
        <w:rPr>
          <w:rFonts w:cs="Calibri"/>
          <w:szCs w:val="22"/>
        </w:rPr>
        <w:t>Podporovaných prostředích naleznete na webových stránkách:</w:t>
      </w:r>
    </w:p>
    <w:p w14:paraId="6B9CA9C7" w14:textId="77777777" w:rsidR="005F5524" w:rsidRPr="001E2811" w:rsidRDefault="00004672" w:rsidP="005F5524">
      <w:pPr>
        <w:jc w:val="both"/>
        <w:rPr>
          <w:rFonts w:cs="Calibri"/>
          <w:szCs w:val="22"/>
        </w:rPr>
      </w:pPr>
      <w:hyperlink r:id="rId9" w:history="1">
        <w:r w:rsidR="00F35DB7" w:rsidRPr="00F35DB7">
          <w:rPr>
            <w:rStyle w:val="Hypertextovodkaz"/>
            <w:rFonts w:ascii="Calibri" w:hAnsi="Calibri" w:cs="Calibri"/>
            <w:szCs w:val="22"/>
          </w:rPr>
          <w:t>http://www.helios.eu/podpora/podpora-pro-produkty-helios/helios-orange/technicke-pozadavky/</w:t>
        </w:r>
      </w:hyperlink>
    </w:p>
    <w:p w14:paraId="742A2A15" w14:textId="77777777" w:rsidR="005F5524" w:rsidRPr="001E2811" w:rsidRDefault="005F5524" w:rsidP="005F5524">
      <w:pPr>
        <w:rPr>
          <w:rFonts w:cs="Calibri"/>
          <w:szCs w:val="22"/>
        </w:rPr>
      </w:pPr>
    </w:p>
    <w:p w14:paraId="3E08C035" w14:textId="4A51BFD4" w:rsidR="00025622" w:rsidRDefault="005F5524" w:rsidP="001C1077">
      <w:pPr>
        <w:rPr>
          <w:b/>
          <w:bCs/>
        </w:rPr>
      </w:pPr>
      <w:r w:rsidRPr="001E2811">
        <w:rPr>
          <w:rFonts w:cs="Calibri"/>
          <w:szCs w:val="22"/>
        </w:rPr>
        <w:br w:type="page"/>
      </w:r>
      <w:bookmarkStart w:id="15" w:name="_Hlk499053552"/>
      <w:r w:rsidR="00423622" w:rsidRPr="001C1077">
        <w:rPr>
          <w:b/>
          <w:bCs/>
        </w:rPr>
        <w:lastRenderedPageBreak/>
        <w:t xml:space="preserve">Příloha č. </w:t>
      </w:r>
      <w:r w:rsidR="00146980">
        <w:rPr>
          <w:b/>
          <w:bCs/>
        </w:rPr>
        <w:t>7</w:t>
      </w:r>
      <w:r w:rsidR="001C1077">
        <w:rPr>
          <w:b/>
          <w:bCs/>
        </w:rPr>
        <w:t>:</w:t>
      </w:r>
      <w:r w:rsidR="001C1077" w:rsidRPr="001C1077">
        <w:rPr>
          <w:b/>
          <w:bCs/>
        </w:rPr>
        <w:t xml:space="preserve"> </w:t>
      </w:r>
      <w:r w:rsidR="00025622" w:rsidRPr="001C1077">
        <w:rPr>
          <w:b/>
          <w:bCs/>
        </w:rPr>
        <w:t xml:space="preserve">Doplňující obchodní podmínky pro službu </w:t>
      </w:r>
      <w:r w:rsidR="00B15A4C" w:rsidRPr="00B15A4C">
        <w:rPr>
          <w:b/>
          <w:bCs/>
        </w:rPr>
        <w:t>Reporting.cz</w:t>
      </w:r>
    </w:p>
    <w:p w14:paraId="70C27EA7" w14:textId="77777777" w:rsidR="00B15A4C" w:rsidRPr="001C1077" w:rsidRDefault="00B15A4C" w:rsidP="001C1077">
      <w:pPr>
        <w:rPr>
          <w:b/>
          <w:bCs/>
        </w:rPr>
      </w:pPr>
    </w:p>
    <w:p w14:paraId="7081BEDB" w14:textId="77777777" w:rsidR="00025622" w:rsidRPr="001E2811" w:rsidRDefault="00025622" w:rsidP="00025622">
      <w:pPr>
        <w:rPr>
          <w:rFonts w:cs="Calibri"/>
          <w:szCs w:val="22"/>
        </w:rPr>
      </w:pPr>
    </w:p>
    <w:p w14:paraId="3C83D0DE" w14:textId="77777777" w:rsidR="00025622" w:rsidRPr="00A80043" w:rsidRDefault="00025622" w:rsidP="00A80043">
      <w:pPr>
        <w:pStyle w:val="PlohaNadp1"/>
      </w:pPr>
      <w:r w:rsidRPr="00A80043">
        <w:t>Úvodní ustanovení</w:t>
      </w:r>
    </w:p>
    <w:p w14:paraId="27F0B17D" w14:textId="77777777" w:rsidR="00025622" w:rsidRPr="00A80043" w:rsidRDefault="00025622" w:rsidP="001B45C2">
      <w:pPr>
        <w:pStyle w:val="PlohaNadp2"/>
      </w:pPr>
      <w:r w:rsidRPr="00A80043">
        <w:t xml:space="preserve">Reporting.cz (dále jen </w:t>
      </w:r>
      <w:proofErr w:type="gramStart"/>
      <w:r w:rsidRPr="00A80043">
        <w:t>„ Aplikace</w:t>
      </w:r>
      <w:proofErr w:type="gramEnd"/>
      <w:r w:rsidRPr="00A80043">
        <w:t xml:space="preserve"> RCZ “) je on-line (internetové) softwarové řešení poskytující službu vizualizace a reportingu dat Nabyvatele zpracovávaných v HELIOS Orange. Aplikace RCZ je integrovaná do HELIOS Orange a přímo z něj přístupná.</w:t>
      </w:r>
    </w:p>
    <w:p w14:paraId="57D5BDE8" w14:textId="77777777" w:rsidR="00025622" w:rsidRPr="00025622" w:rsidRDefault="00025622" w:rsidP="001B45C2">
      <w:pPr>
        <w:pStyle w:val="PlohaNadp2"/>
      </w:pPr>
      <w:r w:rsidRPr="00025622">
        <w:t>Nabyvatel je oprávněn užít Aplikaci RCZ integrovanou do HELIOS Orange pouze v případě uzavření smlouvy k HELIOS Orange obsahující ujednání o zpřístupnění Aplikace RCZ Nabyvateli.</w:t>
      </w:r>
    </w:p>
    <w:p w14:paraId="3DE361A5" w14:textId="77777777" w:rsidR="00025622" w:rsidRPr="00025622" w:rsidRDefault="00025622" w:rsidP="001B45C2">
      <w:pPr>
        <w:pStyle w:val="PlohaNadp2"/>
      </w:pPr>
      <w:r w:rsidRPr="00025622">
        <w:t>Vykonavatelem majetkových práv k Aplikaci RCZ je zcela v souladu s ustanoveními NOZ a Autorského zákona společnost REPORTING.CZ s.r.o., IČ 24248991, se sídlem Praha 8, Sokolovská 131/86 PSČ 186 00, Česká republika (dále jen „Společnost RCZ“).</w:t>
      </w:r>
    </w:p>
    <w:p w14:paraId="5725D427" w14:textId="77777777" w:rsidR="00025622" w:rsidRPr="00025622" w:rsidRDefault="00025622" w:rsidP="001B45C2">
      <w:pPr>
        <w:pStyle w:val="PlohaNadp2"/>
      </w:pPr>
      <w:r w:rsidRPr="00025622">
        <w:t>Poskytovatel prohlašuje, že má uzavřenu platnou smlouvu umožňující Poskytovateli poskytování Aplikace RCZ Nabyvateli prostřednictvím HELIOS Orange.</w:t>
      </w:r>
    </w:p>
    <w:p w14:paraId="6148B482" w14:textId="77777777" w:rsidR="00025622" w:rsidRPr="001E2811" w:rsidRDefault="00025622" w:rsidP="00025622">
      <w:pPr>
        <w:widowControl w:val="0"/>
        <w:autoSpaceDE w:val="0"/>
        <w:autoSpaceDN w:val="0"/>
        <w:adjustRightInd w:val="0"/>
        <w:jc w:val="both"/>
        <w:rPr>
          <w:rFonts w:cs="Calibri"/>
          <w:color w:val="000000"/>
          <w:szCs w:val="22"/>
        </w:rPr>
      </w:pPr>
    </w:p>
    <w:p w14:paraId="3D41BEFC" w14:textId="77777777" w:rsidR="00025622" w:rsidRPr="00025622" w:rsidRDefault="00025622" w:rsidP="00A80043">
      <w:pPr>
        <w:pStyle w:val="PlohaNadp1"/>
      </w:pPr>
      <w:r>
        <w:t>Práva a povinnosti Poskytovatele</w:t>
      </w:r>
    </w:p>
    <w:p w14:paraId="1E48A8A2" w14:textId="77777777" w:rsidR="00025622" w:rsidRPr="00025622" w:rsidRDefault="00025622" w:rsidP="001B45C2">
      <w:pPr>
        <w:pStyle w:val="PlohaNadp2"/>
      </w:pPr>
      <w:r w:rsidRPr="00025622">
        <w:t>Poskytovatel společně se Společností RCZ prohlašují a zavazují se, že:</w:t>
      </w:r>
    </w:p>
    <w:p w14:paraId="647A1595" w14:textId="77777777" w:rsidR="00025622" w:rsidRPr="00A80043" w:rsidRDefault="00025622" w:rsidP="001B45C2">
      <w:pPr>
        <w:pStyle w:val="PlohaNadp3"/>
      </w:pPr>
      <w:r w:rsidRPr="00A80043">
        <w:t xml:space="preserve">žádné údaje shromážděné o Nabyvateli v souvislosti s využitím Aplikace RCZ nebudou využívány k jiným účelům, než k jakým byly shromážděny. Poskytovatel a Společnost RCZ jsou oprávněni tyto údaje zpracovávat a dále je využívat pouze za účelem plnění závazků vyplývajících z této </w:t>
      </w:r>
      <w:r w:rsidR="00B15A4C">
        <w:t>Sml</w:t>
      </w:r>
      <w:r w:rsidRPr="00A80043">
        <w:t xml:space="preserve">ouvy nebo v souvislosti s plněním povinností uložených jim právními předpisy a dále též v souvislosti s nabídkou dalších služeb Poskytovatele nebo Společnosti RCZ souvisejících s Aplikací RCZ. Poskytovatel a Společnost RCZ zaručuje Nabyvateli ochranu zákonem chráněných údajů ve smyslu aktuální právní úpravy, a to zejména zákona </w:t>
      </w:r>
      <w:r w:rsidR="00115491" w:rsidRPr="00A80043">
        <w:t>č.110/2019 Sb., o zpracování osobních údajů, v platném znění</w:t>
      </w:r>
      <w:r w:rsidRPr="00A80043">
        <w:t>. Poskytovatel a Společnost RCZ dále prohlašuje, že veškerá poskytnutá data budou umístěna výhradně na území České republiky;</w:t>
      </w:r>
    </w:p>
    <w:p w14:paraId="3A9AE0F4" w14:textId="77777777" w:rsidR="00025622" w:rsidRPr="00025622" w:rsidRDefault="00025622" w:rsidP="001B45C2">
      <w:pPr>
        <w:pStyle w:val="PlohaNadp3"/>
      </w:pPr>
      <w:r w:rsidRPr="00025622">
        <w:t>zajistí Nabyvateli přístup k Aplikaci RCZ, a to zřízením administračního přístupu, prostřednictvím kterého může dále Nabyvatel zřídit účty dalším uživatelům (tyto osoby jsou nadále Poskytovatelem považovány za oprávněné uživatele);</w:t>
      </w:r>
    </w:p>
    <w:p w14:paraId="62B4B2BA" w14:textId="77777777" w:rsidR="00025622" w:rsidRPr="00025622" w:rsidRDefault="00025622" w:rsidP="001B45C2">
      <w:pPr>
        <w:pStyle w:val="PlohaNadp3"/>
      </w:pPr>
      <w:r w:rsidRPr="00025622">
        <w:t xml:space="preserve">poskytnou Nabyvateli podporu k poskytované Aplikaci RCZ, zejména řešení vad, a to dle podmínek uvedených v příloze č. 4 této </w:t>
      </w:r>
      <w:r w:rsidR="00B15A4C">
        <w:t>Sml</w:t>
      </w:r>
      <w:r w:rsidRPr="00025622">
        <w:t>ouvy;</w:t>
      </w:r>
    </w:p>
    <w:p w14:paraId="49396B5A" w14:textId="77777777" w:rsidR="00025622" w:rsidRPr="00025622" w:rsidRDefault="00025622" w:rsidP="001B45C2">
      <w:pPr>
        <w:pStyle w:val="PlohaNadp3"/>
      </w:pPr>
      <w:r w:rsidRPr="00025622">
        <w:t xml:space="preserve">budou řešit vady dle přílohy </w:t>
      </w:r>
      <w:r w:rsidR="009D1DA0">
        <w:t xml:space="preserve">č. </w:t>
      </w:r>
      <w:r w:rsidRPr="00025622">
        <w:t xml:space="preserve">4. této </w:t>
      </w:r>
      <w:r w:rsidR="00B15A4C">
        <w:t>Sml</w:t>
      </w:r>
      <w:r w:rsidRPr="00025622">
        <w:t>ouvy. V případě, že se bude jednat o vadu závažného charakteru vyžadující delší čas pro odstranění či poruchy způsobené skutečnostmi, které nemůže Poskytovatel nebo Společnost RCZ ovlivnit (výpadek internetového spojení apod.), bude Poskytovatel nebo Společnost RCZ Nabyvatele neprodleně informovat a navrhne provizorní alternativní řešení, pokud to bude možné.</w:t>
      </w:r>
    </w:p>
    <w:p w14:paraId="3AD8371C" w14:textId="77777777" w:rsidR="007049B4" w:rsidRDefault="007049B4" w:rsidP="001B45C2">
      <w:pPr>
        <w:pStyle w:val="PlohaNadp2"/>
      </w:pPr>
      <w:r w:rsidRPr="00025622">
        <w:t>Poskytovatel a Společnost RCZ jsou oprávněni použít údaje o Nabyvateli získané v souvislosti s užitím Aplikace RCZ (např. principy zacházení Nabyvatele s Aplikací RCZ; nikoliv osobní údaje) při dalším technologickém vývoji Aplikace RCZ za účelem zvyšování úrovně Aplikace RCZ. Při tom jsou však povinni respektovat práva a oprávněné zájmy Nabyvatele a můžou tak činit pouze takovým způsobem, v jehož důsledku nevznikne Nabyvateli újma a kterým současně nebude porušena povinnost chránit důvěrnost informací týkajících se Nabyvatele.</w:t>
      </w:r>
    </w:p>
    <w:p w14:paraId="13C6F7BB" w14:textId="77777777" w:rsidR="007049B4" w:rsidRPr="00025622" w:rsidRDefault="007049B4" w:rsidP="006E6188">
      <w:pPr>
        <w:pStyle w:val="PlohaNadp1"/>
      </w:pPr>
      <w:r>
        <w:br w:type="page"/>
      </w:r>
      <w:r>
        <w:lastRenderedPageBreak/>
        <w:t>Práva a povinnosti Nabyvatele</w:t>
      </w:r>
    </w:p>
    <w:p w14:paraId="531A6A25" w14:textId="77777777" w:rsidR="00025622" w:rsidRPr="00025622" w:rsidRDefault="00025622" w:rsidP="001B45C2">
      <w:pPr>
        <w:pStyle w:val="PlohaNadp2"/>
      </w:pPr>
      <w:r w:rsidRPr="001E2811">
        <w:t xml:space="preserve">Nabyvatel bere na vědomí, že Aplikace RCZ je on-line službou. V této souvislosti Nabyvatel potvrzuje, </w:t>
      </w:r>
      <w:r w:rsidRPr="00025622">
        <w:t xml:space="preserve">že je srozuměn a souhlasí s tím, že: </w:t>
      </w:r>
    </w:p>
    <w:p w14:paraId="3766E389" w14:textId="77777777" w:rsidR="00025622" w:rsidRPr="00025622" w:rsidRDefault="00025622" w:rsidP="001B45C2">
      <w:pPr>
        <w:pStyle w:val="PlohaNadp3"/>
      </w:pPr>
      <w:r w:rsidRPr="00025622">
        <w:t>Aplikace RCZ je nainstalována na serveru (příp. serverech) provozovaných Společností RCZ, ke kterému má Nabyvatel (resp. jím určení zaměstnanci – uživatelé) přidělen vzdálený přístup prostřednictvím uživatelského účtu (vždy 1 účet pro jednoho uživatele) zřízeného v rámci HELIOS Orange;</w:t>
      </w:r>
    </w:p>
    <w:p w14:paraId="0133CD4C" w14:textId="77777777" w:rsidR="00025622" w:rsidRPr="00025622" w:rsidRDefault="00025622" w:rsidP="001B45C2">
      <w:pPr>
        <w:pStyle w:val="PlohaNadp3"/>
      </w:pPr>
      <w:r w:rsidRPr="00025622">
        <w:t>v souvislosti s poskytováním Aplikace RCZ nedochází k instalaci žádného specifického software nebo aplikací na zařízení Nabyvatele (vyjma HELIOS Orange obsahujícího komunikační rozhraní k Aplikaci RCZ);</w:t>
      </w:r>
    </w:p>
    <w:p w14:paraId="3B579DDF" w14:textId="77777777" w:rsidR="00025622" w:rsidRPr="00025622" w:rsidRDefault="00025622" w:rsidP="001B45C2">
      <w:pPr>
        <w:pStyle w:val="PlohaNadp3"/>
      </w:pPr>
      <w:r w:rsidRPr="00025622">
        <w:t>nezískává žádná práva ani licence k užití Aplikace RCZ, vyjma práva přístupu k Aplikaci RCZ prostřednictvím HELIOS Orange;</w:t>
      </w:r>
    </w:p>
    <w:p w14:paraId="2B5055DF" w14:textId="77777777" w:rsidR="00025622" w:rsidRPr="00025622" w:rsidRDefault="00025622" w:rsidP="001B45C2">
      <w:pPr>
        <w:pStyle w:val="PlohaNadp3"/>
      </w:pPr>
      <w:r w:rsidRPr="00025622">
        <w:t xml:space="preserve">se zavazuje zřídit uživatelský účet k Aplikaci RCZ pouze oprávněným uživatelům Nabyvatele (tj. těm uživatelům, kteří jsou dle Smlouvy oprávněni užívat danou </w:t>
      </w:r>
      <w:r w:rsidR="00E00CFE">
        <w:t>podlicenci</w:t>
      </w:r>
      <w:r w:rsidR="00E00CFE" w:rsidRPr="00CD59B1">
        <w:t xml:space="preserve"> </w:t>
      </w:r>
      <w:r w:rsidRPr="00025622">
        <w:t>HELIOS Orange). Nabyvatel se rovněž zavazuje nezpřístupnit uživatelský účet jakýmkoliv osobám nebo subjektům mimo Nabyvatele a bere na vědomí, že Poskytovatel ani Společnost RCZ neodpovídá za zanedbání zásad bezpečnosti ze strany Nabyvatele ve vztahu k jeho přístupovým údajům. Nabyvatel bere na vědomí a souhlasí, že odpovídá za jakékoli zneužití svých přihlašovacích údajů třetí osobou;</w:t>
      </w:r>
    </w:p>
    <w:p w14:paraId="43FB137E" w14:textId="77777777" w:rsidR="00025622" w:rsidRPr="00025622" w:rsidRDefault="00025622" w:rsidP="001B45C2">
      <w:pPr>
        <w:pStyle w:val="PlohaNadp3"/>
      </w:pPr>
      <w:r w:rsidRPr="00025622">
        <w:t>Společnost RCZ prostřednictvím Aplikace RCZ zpracovává data, která tímto Nabyvatel Společnosti RCZ zpřístupňuje po dobu platnosti Smlouvy k HELIOS Orange, a to výhradně za účelem získání výstupů Aplikace RCZ pro Nabyvatele. Tyto výstupy jsou zpřístupněny Nabyvateli prostřednictvím HELIOS Orange, a to pouze oprávněným uživatelům;</w:t>
      </w:r>
    </w:p>
    <w:p w14:paraId="1227AD8E" w14:textId="77777777" w:rsidR="00025622" w:rsidRPr="00025622" w:rsidRDefault="00025622" w:rsidP="001B45C2">
      <w:pPr>
        <w:pStyle w:val="PlohaNadp3"/>
      </w:pPr>
      <w:r w:rsidRPr="00025622">
        <w:t>data Nabyvatele jsou přenášena na servery Společnosti RCZ v intervalech a způsobem nastaveným Nabyvatelem. Konkrétní rozsah dat (datové struktury) jsou Nabyvateli k dispozici na vyžádání;</w:t>
      </w:r>
    </w:p>
    <w:p w14:paraId="1739DFD4" w14:textId="068F329C" w:rsidR="00025622" w:rsidRPr="00025622" w:rsidRDefault="00025622" w:rsidP="001B45C2">
      <w:pPr>
        <w:pStyle w:val="PlohaNadp3"/>
      </w:pPr>
      <w:r w:rsidRPr="00025622">
        <w:t xml:space="preserve">pro využívání Aplikace RCZ je vyžadováno aktivní a stabilní připojení k síti Internet, zajištění takového připojení je v odpovědnosti Nabyvatele. Poskytovatel ani Společnost RCZ nenese odpovědnost za připojení Nabyvatele k </w:t>
      </w:r>
      <w:r w:rsidR="00A0594E" w:rsidRPr="00025622">
        <w:t>internetu</w:t>
      </w:r>
      <w:r w:rsidRPr="00025622">
        <w:t xml:space="preserve"> a za dostupnost webových služeb, včetně nastavení firewallu a sítě;</w:t>
      </w:r>
    </w:p>
    <w:p w14:paraId="224C872F" w14:textId="77777777" w:rsidR="00025622" w:rsidRPr="00025622" w:rsidRDefault="00025622" w:rsidP="001B45C2">
      <w:pPr>
        <w:pStyle w:val="PlohaNadp3"/>
      </w:pPr>
      <w:r w:rsidRPr="00025622">
        <w:t>že z důvodu zajištění kvalitních služeb provádí Společnost RCZ údržbu systému Aplikace RCZ, během níž může být přístup k Aplikaci RCZ dočasně omezen nebo vyloučen. Společnost RCZ zveřejní včas, zpravidla nejméně tři (3) pracovní dny předem informace o době a délce trvání údržby a rozsahu, v jakém bude Aplikace RCZ po dobu údržby omezena;</w:t>
      </w:r>
    </w:p>
    <w:p w14:paraId="6CEACE45" w14:textId="77777777" w:rsidR="006E6188" w:rsidRPr="006E6188" w:rsidRDefault="00025622" w:rsidP="001B45C2">
      <w:pPr>
        <w:pStyle w:val="PlohaNadp3"/>
      </w:pPr>
      <w:r w:rsidRPr="006E6188">
        <w:t>Poskytovatel ani Společnost RCZ nejsou odpovědní za prodlení nebo nedostupnost Aplikace RCZ způsobené okolnostmi vylučujícími odpovědnost.</w:t>
      </w:r>
    </w:p>
    <w:p w14:paraId="06F80FC0" w14:textId="77777777" w:rsidR="00025622" w:rsidRPr="006E6188" w:rsidRDefault="00025622" w:rsidP="001B45C2">
      <w:pPr>
        <w:pStyle w:val="PlohaNadp2"/>
      </w:pPr>
      <w:r w:rsidRPr="006E6188">
        <w:t>Nabyvatel dále bere na vědomí a souhlasí s tím, že:</w:t>
      </w:r>
    </w:p>
    <w:p w14:paraId="7580F4C4" w14:textId="77777777" w:rsidR="00025622" w:rsidRPr="00025622" w:rsidRDefault="00025622" w:rsidP="001B45C2">
      <w:pPr>
        <w:pStyle w:val="PlohaNadp3"/>
      </w:pPr>
      <w:r w:rsidRPr="00025622">
        <w:t>nezískává žádná práva k ochranným známkám Aplikace RCZ, Společnosti RCZ nebo třetích osob;</w:t>
      </w:r>
    </w:p>
    <w:p w14:paraId="6F3AEFFF" w14:textId="77777777" w:rsidR="00025622" w:rsidRPr="00025622" w:rsidRDefault="00025622" w:rsidP="001B45C2">
      <w:pPr>
        <w:pStyle w:val="PlohaNadp3"/>
      </w:pPr>
      <w:r w:rsidRPr="00025622">
        <w:t>je oprávněn používat Aplikaci RCZ pouze pro své účely;</w:t>
      </w:r>
    </w:p>
    <w:p w14:paraId="4315FFF3" w14:textId="77777777" w:rsidR="00025622" w:rsidRPr="00025622" w:rsidRDefault="00025622" w:rsidP="001B45C2">
      <w:pPr>
        <w:pStyle w:val="PlohaNadp3"/>
      </w:pPr>
      <w:r w:rsidRPr="00025622">
        <w:t>není oprávněn využívat Aplikaci RCZ a výstupy z nich za komerčními účely pro třetí osoby;</w:t>
      </w:r>
    </w:p>
    <w:p w14:paraId="3E08DFEC" w14:textId="77777777" w:rsidR="00025622" w:rsidRPr="00025622" w:rsidRDefault="00025622" w:rsidP="001B45C2">
      <w:pPr>
        <w:pStyle w:val="PlohaNadp3"/>
      </w:pPr>
      <w:r w:rsidRPr="00025622">
        <w:t xml:space="preserve">není oprávněn Aplikaci </w:t>
      </w:r>
      <w:proofErr w:type="gramStart"/>
      <w:r w:rsidRPr="00025622">
        <w:t>RCZ</w:t>
      </w:r>
      <w:proofErr w:type="gramEnd"/>
      <w:r w:rsidRPr="00025622">
        <w:t xml:space="preserve"> jakkoliv rozmnožovat, šířit, přenechat nebo jakýmkoli způsobem zpřístupňovat (včetně zveřejnění) třetím osobám;</w:t>
      </w:r>
    </w:p>
    <w:p w14:paraId="758347FC" w14:textId="715365EB" w:rsidR="00025622" w:rsidRPr="00025622" w:rsidRDefault="00025622" w:rsidP="001B45C2">
      <w:pPr>
        <w:pStyle w:val="PlohaNadp3"/>
      </w:pPr>
      <w:r w:rsidRPr="00025622">
        <w:lastRenderedPageBreak/>
        <w:t xml:space="preserve">se zavazuje při využití Aplikace RCZ řídit obecně závaznými právními předpisy, dobrými mravy, Smlouvou a </w:t>
      </w:r>
      <w:r w:rsidR="00CC1DB5">
        <w:t>těmito obchodními podmínkami</w:t>
      </w:r>
      <w:r w:rsidRPr="00025622">
        <w:t xml:space="preserve"> a </w:t>
      </w:r>
      <w:proofErr w:type="gramStart"/>
      <w:r w:rsidR="00A0594E" w:rsidRPr="00025622">
        <w:t>nebude</w:t>
      </w:r>
      <w:proofErr w:type="gramEnd"/>
      <w:r w:rsidRPr="00025622">
        <w:t xml:space="preserve"> jakkoliv poškozovat práva ani dobré jméno Společnosti RCZ, Poskytovatele, držitelů autorských práv a ani ostatních uživatelů Aplikací RCZ;</w:t>
      </w:r>
    </w:p>
    <w:p w14:paraId="486D73ED" w14:textId="77777777" w:rsidR="00025622" w:rsidRPr="00025622" w:rsidRDefault="00025622" w:rsidP="001B45C2">
      <w:pPr>
        <w:pStyle w:val="PlohaNadp3"/>
      </w:pPr>
      <w:r w:rsidRPr="00025622">
        <w:t>se zavazuje neprovádět bez písemného souhlasu Poskytovatele jakékoliv zásahy a modifikace Aplikace RCZ (vy jma nastavení zpřístupněných na uživatelské aplikační úrovni) a datových souborů (kupř. měnit, modifikovat, dekompilovat, převádět ze strojového kódu, zpětně analyzovat nebo z něj zpracováním vytvářet odvozená díla) mimo běžné zpracování dat poskytnutými Aplikací RCZ;</w:t>
      </w:r>
    </w:p>
    <w:p w14:paraId="2A051BCC" w14:textId="77777777" w:rsidR="00025622" w:rsidRPr="00025622" w:rsidRDefault="00025622" w:rsidP="001B45C2">
      <w:pPr>
        <w:pStyle w:val="PlohaNadp3"/>
      </w:pPr>
      <w:r w:rsidRPr="00025622">
        <w:t>není oprávněn vytvářet díla odvozená na základě Aplikace RCZ a není oprávněn nakládat s Aplikací RCZ za účelem opravy případných chyb softwaru či zajištění interoperability;</w:t>
      </w:r>
    </w:p>
    <w:p w14:paraId="21082CA4" w14:textId="77777777" w:rsidR="00025622" w:rsidRPr="00025622" w:rsidRDefault="00025622" w:rsidP="001B45C2">
      <w:pPr>
        <w:pStyle w:val="PlohaNadp3"/>
      </w:pPr>
      <w:r w:rsidRPr="00025622">
        <w:t>Aplikace RCZ nebo její část je Nabyvateli poskytována prostřednictvím Společnosti RCZ.</w:t>
      </w:r>
    </w:p>
    <w:p w14:paraId="51A546A6" w14:textId="77777777" w:rsidR="00025622" w:rsidRPr="001E2811" w:rsidRDefault="00025622" w:rsidP="00025622">
      <w:pPr>
        <w:widowControl w:val="0"/>
        <w:autoSpaceDE w:val="0"/>
        <w:autoSpaceDN w:val="0"/>
        <w:adjustRightInd w:val="0"/>
        <w:jc w:val="both"/>
        <w:rPr>
          <w:rFonts w:cs="Calibri"/>
          <w:color w:val="000000"/>
          <w:szCs w:val="22"/>
        </w:rPr>
      </w:pPr>
    </w:p>
    <w:p w14:paraId="4C943B8D" w14:textId="77777777" w:rsidR="00025622" w:rsidRPr="006A46A2" w:rsidRDefault="006A46A2" w:rsidP="006E6188">
      <w:pPr>
        <w:pStyle w:val="PlohaNadp1"/>
      </w:pPr>
      <w:r>
        <w:t>Pozastavení a ukončení služby a Aplikace RCZ</w:t>
      </w:r>
    </w:p>
    <w:p w14:paraId="6DBD639E" w14:textId="77777777" w:rsidR="00025622" w:rsidRPr="001E2811" w:rsidRDefault="00025622" w:rsidP="001B45C2">
      <w:pPr>
        <w:pStyle w:val="PlohaNadp2"/>
      </w:pPr>
      <w:r w:rsidRPr="001E2811">
        <w:t xml:space="preserve">Poskytovatel je oprávněn omezit nebo ukončit poskytování Aplikace RCZ Nabyvateli, poruší-li Nabyvatel závažným způsobem některou z povinností vyplývajících mu z této </w:t>
      </w:r>
      <w:r w:rsidR="00B15A4C">
        <w:t>Sml</w:t>
      </w:r>
      <w:r w:rsidRPr="001E2811">
        <w:t xml:space="preserve">ouvy, zejména použije-li Aplikaci RCZ způsobem, který je v rozporu s touto </w:t>
      </w:r>
      <w:r w:rsidR="00B15A4C">
        <w:t>Sml</w:t>
      </w:r>
      <w:r w:rsidRPr="001E2811">
        <w:t>ouvou nebo s povinnostmi vyplývajícími Nabyvateli z obecně závazných právních předpisů. Poskytovatel nebo společnost RCZ jsou tak oprávněni učinit zejména v případě, že Nabyvatel je v prodlení s plněním jakéhokoliv finančního závazku vůči Poskytovateli nebo společnosti RCZ delším než 30 dnů.</w:t>
      </w:r>
    </w:p>
    <w:p w14:paraId="15A3849C" w14:textId="77777777" w:rsidR="00025622" w:rsidRPr="001E2811" w:rsidRDefault="00025622" w:rsidP="001B45C2">
      <w:pPr>
        <w:pStyle w:val="PlohaNadp2"/>
      </w:pPr>
      <w:r w:rsidRPr="001E2811">
        <w:t>V případě ukončení používání Aplikace RCZ má Nabyvatel právo písemně požádat Poskytovatel</w:t>
      </w:r>
      <w:r>
        <w:t>e o </w:t>
      </w:r>
      <w:r w:rsidRPr="001E2811">
        <w:t>předání veškerých dat Nabyvatele zpracovávaných v rámci Aplikace RCZ. Poskytovatel a Společnost RCZ mají povinnost tato data Nabyvateli předat v případě, že Nabyvatel o předání dat požádá do 30 dnů od ukončení používání Aplikace RCZ. V případě, že Nabyvatel</w:t>
      </w:r>
      <w:r>
        <w:t xml:space="preserve"> písemně do 30 dnů od ukončen</w:t>
      </w:r>
      <w:r w:rsidRPr="001E2811">
        <w:t xml:space="preserve">í používání Aplikace RCZ nepožádá o předání dat, jsou Poskytovatel a Společnost RCZ oprávněni a zároveň v rámci ochrany dat Nabyvatele povinni data Nabyvatele smazat. V souvislosti s tím Poskytovatel uvádí, že veškerá data zpracovávaná v rámci Aplikace RCZ jsou pouze obrazem dat zpracovávaných v daném HELIOS Orange a Nabyvateli zůstávají i po smazání dat v Aplikaci RCZ předmětná data zachována prostřednictvím HELIOS Orange. </w:t>
      </w:r>
    </w:p>
    <w:p w14:paraId="3D2310D7" w14:textId="4DD60304" w:rsidR="00025622" w:rsidRPr="001E2811" w:rsidRDefault="00025622" w:rsidP="001B45C2">
      <w:pPr>
        <w:pStyle w:val="PlohaNadp2"/>
      </w:pPr>
      <w:r w:rsidRPr="001E2811">
        <w:t>V případě ukončení poskytování Aplikace RCZ z důvodů uv</w:t>
      </w:r>
      <w:r w:rsidR="00C51244">
        <w:t xml:space="preserve">edených v bodě 4.1. přílohy č. </w:t>
      </w:r>
      <w:r w:rsidR="00146980">
        <w:t>7</w:t>
      </w:r>
      <w:r w:rsidRPr="001E2811">
        <w:t xml:space="preserve"> této </w:t>
      </w:r>
      <w:r w:rsidR="00B15A4C">
        <w:t>Sml</w:t>
      </w:r>
      <w:r w:rsidRPr="001E2811">
        <w:t>ouvy je Poskytovatel nebo Společnost RCZ povinna vyhovět žádosti Nabyvatele o předá</w:t>
      </w:r>
      <w:r w:rsidR="002059BF">
        <w:t xml:space="preserve">ní dat dle bodu 4.2 přílohy č. </w:t>
      </w:r>
      <w:r w:rsidR="00146980">
        <w:t>7</w:t>
      </w:r>
      <w:r w:rsidRPr="001E2811">
        <w:t xml:space="preserve"> této </w:t>
      </w:r>
      <w:r w:rsidR="00B15A4C">
        <w:t>Sml</w:t>
      </w:r>
      <w:r w:rsidRPr="001E2811">
        <w:t>ouvy pouze v případě, že Nabyvatel uhradí dlužnou odměnu Poskytovateli.</w:t>
      </w:r>
    </w:p>
    <w:p w14:paraId="0549DC7B" w14:textId="77777777" w:rsidR="00B15A4C" w:rsidRDefault="00B15A4C" w:rsidP="001C1077">
      <w:pPr>
        <w:rPr>
          <w:rFonts w:cs="Calibri"/>
          <w:szCs w:val="22"/>
        </w:rPr>
      </w:pPr>
    </w:p>
    <w:p w14:paraId="7D9BFC06" w14:textId="77777777" w:rsidR="00B15A4C" w:rsidRDefault="00B15A4C" w:rsidP="001C1077">
      <w:pPr>
        <w:rPr>
          <w:rFonts w:cs="Calibri"/>
          <w:szCs w:val="22"/>
        </w:rPr>
      </w:pPr>
    </w:p>
    <w:p w14:paraId="64206BDD" w14:textId="77777777" w:rsidR="00B15A4C" w:rsidRDefault="00B15A4C" w:rsidP="001C1077">
      <w:pPr>
        <w:rPr>
          <w:rFonts w:cs="Calibri"/>
          <w:szCs w:val="22"/>
        </w:rPr>
      </w:pPr>
    </w:p>
    <w:p w14:paraId="4AD6D686" w14:textId="77777777" w:rsidR="00B15A4C" w:rsidRDefault="00B15A4C" w:rsidP="001C1077">
      <w:pPr>
        <w:rPr>
          <w:b/>
          <w:bCs/>
        </w:rPr>
        <w:sectPr w:rsidR="00B15A4C" w:rsidSect="00FE6C51">
          <w:headerReference w:type="default" r:id="rId10"/>
          <w:footerReference w:type="default" r:id="rId11"/>
          <w:pgSz w:w="11906" w:h="16838" w:code="9"/>
          <w:pgMar w:top="1843" w:right="1247" w:bottom="1247" w:left="1247" w:header="454" w:footer="164" w:gutter="0"/>
          <w:cols w:space="708"/>
          <w:docGrid w:linePitch="360"/>
        </w:sectPr>
      </w:pPr>
    </w:p>
    <w:p w14:paraId="2EF0B955" w14:textId="490148C5" w:rsidR="00025622" w:rsidRPr="001C1077" w:rsidRDefault="00423622" w:rsidP="001C1077">
      <w:pPr>
        <w:rPr>
          <w:b/>
          <w:bCs/>
        </w:rPr>
      </w:pPr>
      <w:r w:rsidRPr="001C1077">
        <w:rPr>
          <w:b/>
          <w:bCs/>
        </w:rPr>
        <w:lastRenderedPageBreak/>
        <w:t xml:space="preserve">Příloha č. </w:t>
      </w:r>
      <w:r w:rsidR="00146980">
        <w:rPr>
          <w:b/>
          <w:bCs/>
        </w:rPr>
        <w:t>8</w:t>
      </w:r>
      <w:r w:rsidR="001C1077">
        <w:rPr>
          <w:b/>
          <w:bCs/>
        </w:rPr>
        <w:t>:</w:t>
      </w:r>
      <w:r w:rsidR="001C1077" w:rsidRPr="001C1077">
        <w:rPr>
          <w:b/>
          <w:bCs/>
        </w:rPr>
        <w:t xml:space="preserve"> </w:t>
      </w:r>
      <w:r w:rsidRPr="001C1077">
        <w:rPr>
          <w:b/>
          <w:bCs/>
        </w:rPr>
        <w:t>Ž</w:t>
      </w:r>
      <w:r w:rsidR="00025622" w:rsidRPr="001C1077">
        <w:rPr>
          <w:b/>
          <w:bCs/>
        </w:rPr>
        <w:t>ádost o aktivaci Aplikace RCZ</w:t>
      </w:r>
    </w:p>
    <w:p w14:paraId="6402C5DF" w14:textId="77777777" w:rsidR="00025622" w:rsidRPr="001E2811" w:rsidRDefault="00025622" w:rsidP="00025622">
      <w:pPr>
        <w:ind w:left="7513"/>
        <w:outlineLvl w:val="0"/>
        <w:rPr>
          <w:rFonts w:cs="Calibri"/>
          <w:szCs w:val="22"/>
        </w:rPr>
      </w:pPr>
    </w:p>
    <w:p w14:paraId="596DED9A" w14:textId="7308DE60" w:rsidR="00B00855" w:rsidRPr="00146980" w:rsidRDefault="00146980" w:rsidP="00146980">
      <w:pPr>
        <w:ind w:left="6381"/>
        <w:rPr>
          <w:rFonts w:cs="Calibri"/>
          <w:szCs w:val="22"/>
        </w:rPr>
      </w:pPr>
      <w:r w:rsidRPr="00146980">
        <w:rPr>
          <w:rFonts w:cs="Calibri"/>
          <w:szCs w:val="22"/>
        </w:rPr>
        <w:t>HARPAGON Software s.r.o.</w:t>
      </w:r>
    </w:p>
    <w:p w14:paraId="694114DE" w14:textId="4BB03D06" w:rsidR="00B00855" w:rsidRDefault="00146980" w:rsidP="00146980">
      <w:pPr>
        <w:ind w:left="6381"/>
        <w:rPr>
          <w:rFonts w:cs="Calibri"/>
          <w:szCs w:val="22"/>
        </w:rPr>
      </w:pPr>
      <w:r w:rsidRPr="00146980">
        <w:rPr>
          <w:rFonts w:cs="Calibri"/>
          <w:szCs w:val="22"/>
        </w:rPr>
        <w:t>Průmyslová 190</w:t>
      </w:r>
    </w:p>
    <w:p w14:paraId="4321E2CD" w14:textId="6E80580D" w:rsidR="00146980" w:rsidRPr="00EB3EFB" w:rsidRDefault="00146980" w:rsidP="00146980">
      <w:pPr>
        <w:ind w:left="6381"/>
        <w:rPr>
          <w:rFonts w:cs="Calibri"/>
          <w:szCs w:val="22"/>
        </w:rPr>
      </w:pPr>
      <w:r>
        <w:rPr>
          <w:rFonts w:cs="Calibri"/>
          <w:szCs w:val="22"/>
        </w:rPr>
        <w:t>537 01 Chrudim</w:t>
      </w:r>
    </w:p>
    <w:p w14:paraId="00CA8662" w14:textId="77777777" w:rsidR="00025622" w:rsidRPr="001E2811" w:rsidRDefault="00025622" w:rsidP="00025622">
      <w:pPr>
        <w:ind w:left="7513"/>
        <w:outlineLvl w:val="0"/>
        <w:rPr>
          <w:rFonts w:cs="Calibri"/>
          <w:szCs w:val="22"/>
        </w:rPr>
      </w:pPr>
    </w:p>
    <w:p w14:paraId="74920922" w14:textId="77777777" w:rsidR="00025622" w:rsidRPr="001E2811" w:rsidRDefault="00025622" w:rsidP="00025622">
      <w:pPr>
        <w:ind w:left="7513"/>
        <w:outlineLvl w:val="0"/>
        <w:rPr>
          <w:rFonts w:cs="Calibri"/>
          <w:szCs w:val="22"/>
        </w:rPr>
      </w:pPr>
    </w:p>
    <w:p w14:paraId="21754BA6" w14:textId="77777777" w:rsidR="00025622" w:rsidRPr="001E2811" w:rsidRDefault="00025622" w:rsidP="00025622">
      <w:pPr>
        <w:spacing w:after="120"/>
        <w:jc w:val="center"/>
        <w:rPr>
          <w:rFonts w:cs="Calibri"/>
          <w:b/>
          <w:szCs w:val="22"/>
        </w:rPr>
      </w:pPr>
    </w:p>
    <w:p w14:paraId="2BE3ECB5" w14:textId="77777777" w:rsidR="00025622" w:rsidRPr="00025622" w:rsidRDefault="00025622" w:rsidP="00025622">
      <w:pPr>
        <w:spacing w:after="120"/>
        <w:jc w:val="center"/>
        <w:rPr>
          <w:rFonts w:cs="Arial"/>
          <w:b/>
          <w:sz w:val="36"/>
          <w:szCs w:val="36"/>
        </w:rPr>
      </w:pPr>
      <w:r w:rsidRPr="00025622">
        <w:rPr>
          <w:rFonts w:cs="Arial"/>
          <w:b/>
          <w:sz w:val="36"/>
          <w:szCs w:val="36"/>
        </w:rPr>
        <w:t>Žádost o aktivaci Aplikace RCZ</w:t>
      </w:r>
    </w:p>
    <w:p w14:paraId="61FCA794" w14:textId="77777777" w:rsidR="00025622" w:rsidRPr="001E2811" w:rsidRDefault="00025622" w:rsidP="00025622">
      <w:pPr>
        <w:spacing w:after="120"/>
        <w:rPr>
          <w:rFonts w:cs="Calibri"/>
          <w:b/>
          <w:szCs w:val="22"/>
        </w:rPr>
      </w:pPr>
    </w:p>
    <w:p w14:paraId="34B5D213" w14:textId="77777777" w:rsidR="00025622" w:rsidRDefault="00025622" w:rsidP="003C3AEE">
      <w:pPr>
        <w:pStyle w:val="PlohaNadp1"/>
        <w:numPr>
          <w:ilvl w:val="0"/>
          <w:numId w:val="37"/>
        </w:numPr>
      </w:pPr>
      <w:r w:rsidRPr="00025622">
        <w:t>Identifikace Nabyvatele</w:t>
      </w:r>
    </w:p>
    <w:tbl>
      <w:tblPr>
        <w:tblW w:w="9639" w:type="dxa"/>
        <w:tblInd w:w="-5" w:type="dxa"/>
        <w:tblBorders>
          <w:top w:val="single" w:sz="4" w:space="0" w:color="2E74B5"/>
          <w:left w:val="single" w:sz="4" w:space="0" w:color="2E74B5"/>
          <w:bottom w:val="single" w:sz="4" w:space="0" w:color="2E74B5"/>
          <w:right w:val="single" w:sz="4" w:space="0" w:color="2E74B5"/>
        </w:tblBorders>
        <w:tblLook w:val="04A0" w:firstRow="1" w:lastRow="0" w:firstColumn="1" w:lastColumn="0" w:noHBand="0" w:noVBand="1"/>
      </w:tblPr>
      <w:tblGrid>
        <w:gridCol w:w="4819"/>
        <w:gridCol w:w="4820"/>
      </w:tblGrid>
      <w:tr w:rsidR="00001B0F" w:rsidRPr="009B33D0" w14:paraId="343765CA" w14:textId="77777777" w:rsidTr="00AD020E">
        <w:tc>
          <w:tcPr>
            <w:tcW w:w="4819" w:type="dxa"/>
            <w:tcBorders>
              <w:right w:val="single" w:sz="4" w:space="0" w:color="2E74B5"/>
            </w:tcBorders>
            <w:shd w:val="clear" w:color="auto" w:fill="DEEAF6"/>
          </w:tcPr>
          <w:p w14:paraId="3E48FFAA" w14:textId="77777777" w:rsidR="00001B0F" w:rsidRPr="009B33D0" w:rsidRDefault="00001B0F" w:rsidP="00AD020E">
            <w:pPr>
              <w:widowControl w:val="0"/>
              <w:spacing w:before="120" w:after="120"/>
              <w:rPr>
                <w:rFonts w:cs="Calibri"/>
                <w:b/>
                <w:szCs w:val="22"/>
              </w:rPr>
            </w:pPr>
            <w:r w:rsidRPr="009B33D0">
              <w:rPr>
                <w:rFonts w:cs="Calibri"/>
                <w:b/>
                <w:szCs w:val="22"/>
              </w:rPr>
              <w:t>Právnická osoba</w:t>
            </w:r>
          </w:p>
        </w:tc>
        <w:tc>
          <w:tcPr>
            <w:tcW w:w="4820" w:type="dxa"/>
            <w:tcBorders>
              <w:top w:val="single" w:sz="4" w:space="0" w:color="2E74B5"/>
              <w:left w:val="single" w:sz="4" w:space="0" w:color="2E74B5"/>
              <w:bottom w:val="nil"/>
            </w:tcBorders>
            <w:shd w:val="clear" w:color="auto" w:fill="DEEAF6"/>
          </w:tcPr>
          <w:p w14:paraId="1184F1A8" w14:textId="77777777" w:rsidR="00001B0F" w:rsidRPr="009B33D0" w:rsidRDefault="00001B0F" w:rsidP="00AD020E">
            <w:pPr>
              <w:widowControl w:val="0"/>
              <w:spacing w:before="120" w:after="120"/>
              <w:rPr>
                <w:rFonts w:cs="Calibri"/>
                <w:b/>
                <w:szCs w:val="22"/>
              </w:rPr>
            </w:pPr>
            <w:r w:rsidRPr="009B33D0">
              <w:rPr>
                <w:rFonts w:cs="Calibri"/>
                <w:b/>
                <w:szCs w:val="22"/>
              </w:rPr>
              <w:t>Fyzická osoba</w:t>
            </w:r>
          </w:p>
        </w:tc>
      </w:tr>
      <w:tr w:rsidR="00001B0F" w:rsidRPr="009B33D0" w14:paraId="384EE2FE" w14:textId="77777777" w:rsidTr="00AD020E">
        <w:tc>
          <w:tcPr>
            <w:tcW w:w="4819" w:type="dxa"/>
            <w:tcBorders>
              <w:right w:val="single" w:sz="4" w:space="0" w:color="2E74B5"/>
            </w:tcBorders>
            <w:shd w:val="clear" w:color="auto" w:fill="auto"/>
          </w:tcPr>
          <w:p w14:paraId="4C48D338" w14:textId="77777777" w:rsidR="00001B0F" w:rsidRPr="009B33D0" w:rsidRDefault="00001B0F" w:rsidP="00AD020E">
            <w:pPr>
              <w:widowControl w:val="0"/>
              <w:spacing w:before="40" w:after="40"/>
              <w:rPr>
                <w:rFonts w:cs="Calibri"/>
                <w:szCs w:val="22"/>
              </w:rPr>
            </w:pPr>
            <w:r w:rsidRPr="009B33D0">
              <w:rPr>
                <w:rFonts w:cs="Calibri"/>
                <w:szCs w:val="22"/>
              </w:rPr>
              <w:t>Název společnosti:</w:t>
            </w:r>
          </w:p>
          <w:p w14:paraId="20DBE735" w14:textId="77777777" w:rsidR="00001B0F" w:rsidRPr="009B33D0" w:rsidRDefault="00001B0F" w:rsidP="00AD020E">
            <w:pPr>
              <w:widowControl w:val="0"/>
              <w:spacing w:before="40" w:after="40"/>
              <w:rPr>
                <w:rFonts w:cs="Calibri"/>
                <w:szCs w:val="22"/>
              </w:rPr>
            </w:pPr>
          </w:p>
        </w:tc>
        <w:tc>
          <w:tcPr>
            <w:tcW w:w="4820" w:type="dxa"/>
            <w:tcBorders>
              <w:top w:val="nil"/>
              <w:left w:val="single" w:sz="4" w:space="0" w:color="2E74B5"/>
              <w:bottom w:val="nil"/>
            </w:tcBorders>
            <w:shd w:val="clear" w:color="auto" w:fill="auto"/>
          </w:tcPr>
          <w:p w14:paraId="2F41AA41" w14:textId="77777777" w:rsidR="00001B0F" w:rsidRPr="009B33D0" w:rsidRDefault="00001B0F" w:rsidP="00AD020E">
            <w:pPr>
              <w:widowControl w:val="0"/>
              <w:spacing w:before="40" w:after="40"/>
              <w:rPr>
                <w:rFonts w:cs="Calibri"/>
                <w:szCs w:val="22"/>
              </w:rPr>
            </w:pPr>
            <w:r w:rsidRPr="009B33D0">
              <w:rPr>
                <w:rFonts w:cs="Calibri"/>
                <w:szCs w:val="22"/>
              </w:rPr>
              <w:t>Jméno a příjmení:</w:t>
            </w:r>
          </w:p>
          <w:p w14:paraId="052D5CD4" w14:textId="77777777" w:rsidR="00001B0F" w:rsidRPr="009B33D0" w:rsidRDefault="00001B0F" w:rsidP="00AD020E">
            <w:pPr>
              <w:widowControl w:val="0"/>
              <w:spacing w:before="40" w:after="40"/>
              <w:rPr>
                <w:rFonts w:cs="Calibri"/>
                <w:szCs w:val="22"/>
              </w:rPr>
            </w:pPr>
          </w:p>
        </w:tc>
      </w:tr>
      <w:tr w:rsidR="00001B0F" w:rsidRPr="009B33D0" w14:paraId="0C1DDE02" w14:textId="77777777" w:rsidTr="00AD020E">
        <w:tc>
          <w:tcPr>
            <w:tcW w:w="4819" w:type="dxa"/>
            <w:tcBorders>
              <w:right w:val="single" w:sz="4" w:space="0" w:color="2E74B5"/>
            </w:tcBorders>
            <w:shd w:val="clear" w:color="auto" w:fill="auto"/>
          </w:tcPr>
          <w:p w14:paraId="45670A08" w14:textId="77777777" w:rsidR="00001B0F" w:rsidRPr="009B33D0" w:rsidRDefault="00001B0F" w:rsidP="00AD020E">
            <w:pPr>
              <w:widowControl w:val="0"/>
              <w:spacing w:before="40" w:after="120"/>
              <w:rPr>
                <w:rFonts w:cs="Calibri"/>
                <w:szCs w:val="22"/>
              </w:rPr>
            </w:pPr>
            <w:r w:rsidRPr="009B33D0">
              <w:rPr>
                <w:rFonts w:cs="Calibri"/>
                <w:szCs w:val="22"/>
              </w:rPr>
              <w:t>IČO:</w:t>
            </w:r>
          </w:p>
        </w:tc>
        <w:tc>
          <w:tcPr>
            <w:tcW w:w="4820" w:type="dxa"/>
            <w:tcBorders>
              <w:top w:val="nil"/>
              <w:left w:val="single" w:sz="4" w:space="0" w:color="2E74B5"/>
              <w:bottom w:val="nil"/>
            </w:tcBorders>
            <w:shd w:val="clear" w:color="auto" w:fill="auto"/>
          </w:tcPr>
          <w:p w14:paraId="1CF8B3FE" w14:textId="77777777" w:rsidR="00001B0F" w:rsidRPr="009B33D0" w:rsidRDefault="00001B0F" w:rsidP="00AD020E">
            <w:pPr>
              <w:widowControl w:val="0"/>
              <w:spacing w:before="40" w:after="120"/>
              <w:rPr>
                <w:rFonts w:cs="Calibri"/>
                <w:szCs w:val="22"/>
              </w:rPr>
            </w:pPr>
            <w:r w:rsidRPr="009B33D0">
              <w:rPr>
                <w:rFonts w:cs="Calibri"/>
                <w:szCs w:val="22"/>
              </w:rPr>
              <w:t>IČO:</w:t>
            </w:r>
          </w:p>
        </w:tc>
      </w:tr>
      <w:tr w:rsidR="00001B0F" w:rsidRPr="009B33D0" w14:paraId="60B80B05" w14:textId="77777777" w:rsidTr="00AD020E">
        <w:trPr>
          <w:trHeight w:val="95"/>
        </w:trPr>
        <w:tc>
          <w:tcPr>
            <w:tcW w:w="4819" w:type="dxa"/>
            <w:tcBorders>
              <w:right w:val="single" w:sz="4" w:space="0" w:color="2E74B5"/>
            </w:tcBorders>
            <w:shd w:val="clear" w:color="auto" w:fill="auto"/>
          </w:tcPr>
          <w:p w14:paraId="70DAB82F" w14:textId="77777777" w:rsidR="00001B0F" w:rsidRPr="009B33D0" w:rsidRDefault="00001B0F" w:rsidP="00AD020E">
            <w:pPr>
              <w:widowControl w:val="0"/>
              <w:spacing w:before="40" w:after="40"/>
              <w:rPr>
                <w:rFonts w:cs="Calibri"/>
                <w:szCs w:val="22"/>
              </w:rPr>
            </w:pPr>
            <w:r w:rsidRPr="009B33D0">
              <w:rPr>
                <w:rFonts w:cs="Calibri"/>
                <w:szCs w:val="22"/>
              </w:rPr>
              <w:t>Zastoupena:</w:t>
            </w:r>
          </w:p>
        </w:tc>
        <w:tc>
          <w:tcPr>
            <w:tcW w:w="4820" w:type="dxa"/>
            <w:tcBorders>
              <w:top w:val="nil"/>
              <w:left w:val="single" w:sz="4" w:space="0" w:color="2E74B5"/>
              <w:bottom w:val="nil"/>
            </w:tcBorders>
            <w:shd w:val="clear" w:color="auto" w:fill="auto"/>
          </w:tcPr>
          <w:p w14:paraId="11D8CB87" w14:textId="77777777" w:rsidR="00001B0F" w:rsidRPr="009B33D0" w:rsidRDefault="00001B0F" w:rsidP="00AD020E">
            <w:pPr>
              <w:widowControl w:val="0"/>
              <w:spacing w:before="40" w:after="40"/>
              <w:rPr>
                <w:rFonts w:cs="Calibri"/>
                <w:szCs w:val="22"/>
              </w:rPr>
            </w:pPr>
            <w:r w:rsidRPr="009B33D0">
              <w:rPr>
                <w:rFonts w:cs="Calibri"/>
                <w:szCs w:val="22"/>
              </w:rPr>
              <w:t>Datum narození:</w:t>
            </w:r>
          </w:p>
          <w:p w14:paraId="4504B59C" w14:textId="77777777" w:rsidR="00001B0F" w:rsidRPr="009B33D0" w:rsidRDefault="00001B0F" w:rsidP="00AD020E">
            <w:pPr>
              <w:widowControl w:val="0"/>
              <w:spacing w:before="40" w:after="40"/>
              <w:rPr>
                <w:rFonts w:cs="Calibri"/>
                <w:szCs w:val="22"/>
              </w:rPr>
            </w:pPr>
          </w:p>
        </w:tc>
      </w:tr>
      <w:tr w:rsidR="00001B0F" w:rsidRPr="009B33D0" w14:paraId="1D41D20E" w14:textId="77777777" w:rsidTr="00AD020E">
        <w:trPr>
          <w:trHeight w:val="1058"/>
        </w:trPr>
        <w:tc>
          <w:tcPr>
            <w:tcW w:w="4819" w:type="dxa"/>
            <w:tcBorders>
              <w:right w:val="single" w:sz="4" w:space="0" w:color="2E74B5"/>
            </w:tcBorders>
            <w:shd w:val="clear" w:color="auto" w:fill="auto"/>
          </w:tcPr>
          <w:p w14:paraId="0F8BA77F" w14:textId="77777777" w:rsidR="00001B0F" w:rsidRPr="009B33D0" w:rsidRDefault="00001B0F" w:rsidP="00AD020E">
            <w:pPr>
              <w:widowControl w:val="0"/>
              <w:spacing w:before="40" w:after="40"/>
              <w:rPr>
                <w:rFonts w:cs="Calibri"/>
                <w:szCs w:val="22"/>
              </w:rPr>
            </w:pPr>
            <w:r w:rsidRPr="009B33D0">
              <w:rPr>
                <w:rFonts w:cs="Calibri"/>
                <w:szCs w:val="22"/>
              </w:rPr>
              <w:t>Sídlo:</w:t>
            </w:r>
          </w:p>
          <w:p w14:paraId="7BA55D18" w14:textId="77777777" w:rsidR="00001B0F" w:rsidRPr="009B33D0" w:rsidRDefault="00001B0F" w:rsidP="00AD020E">
            <w:pPr>
              <w:widowControl w:val="0"/>
              <w:spacing w:before="40" w:after="40"/>
              <w:rPr>
                <w:rFonts w:cs="Calibri"/>
                <w:szCs w:val="22"/>
              </w:rPr>
            </w:pPr>
          </w:p>
          <w:p w14:paraId="11F15722" w14:textId="77777777" w:rsidR="00001B0F" w:rsidRPr="009B33D0" w:rsidRDefault="00001B0F" w:rsidP="00AD020E">
            <w:pPr>
              <w:widowControl w:val="0"/>
              <w:spacing w:before="40" w:after="40"/>
              <w:rPr>
                <w:rFonts w:cs="Calibri"/>
                <w:szCs w:val="22"/>
              </w:rPr>
            </w:pPr>
          </w:p>
        </w:tc>
        <w:tc>
          <w:tcPr>
            <w:tcW w:w="4820" w:type="dxa"/>
            <w:tcBorders>
              <w:top w:val="nil"/>
              <w:left w:val="single" w:sz="4" w:space="0" w:color="2E74B5"/>
              <w:bottom w:val="single" w:sz="4" w:space="0" w:color="2E74B5"/>
            </w:tcBorders>
            <w:shd w:val="clear" w:color="auto" w:fill="auto"/>
          </w:tcPr>
          <w:p w14:paraId="72A87F1A" w14:textId="77777777" w:rsidR="00001B0F" w:rsidRPr="009B33D0" w:rsidRDefault="00001B0F" w:rsidP="00AD020E">
            <w:pPr>
              <w:widowControl w:val="0"/>
              <w:spacing w:before="40" w:after="40"/>
              <w:rPr>
                <w:rFonts w:cs="Calibri"/>
                <w:szCs w:val="22"/>
              </w:rPr>
            </w:pPr>
            <w:r w:rsidRPr="009B33D0">
              <w:rPr>
                <w:rFonts w:cs="Calibri"/>
                <w:szCs w:val="22"/>
              </w:rPr>
              <w:t>Sídlo:</w:t>
            </w:r>
          </w:p>
          <w:p w14:paraId="4520FAC9" w14:textId="77777777" w:rsidR="00001B0F" w:rsidRPr="009B33D0" w:rsidRDefault="00001B0F" w:rsidP="00AD020E">
            <w:pPr>
              <w:widowControl w:val="0"/>
              <w:spacing w:before="40" w:after="40"/>
              <w:rPr>
                <w:rFonts w:cs="Calibri"/>
                <w:szCs w:val="22"/>
              </w:rPr>
            </w:pPr>
          </w:p>
        </w:tc>
      </w:tr>
    </w:tbl>
    <w:p w14:paraId="01241F2F" w14:textId="77777777" w:rsidR="00001B0F" w:rsidRDefault="00001B0F" w:rsidP="00001B0F">
      <w:pPr>
        <w:pStyle w:val="PlohaNadp1"/>
        <w:numPr>
          <w:ilvl w:val="0"/>
          <w:numId w:val="0"/>
        </w:numPr>
        <w:ind w:left="357" w:hanging="357"/>
      </w:pPr>
    </w:p>
    <w:p w14:paraId="61CCF51C" w14:textId="77777777" w:rsidR="00025622" w:rsidRPr="001E2811" w:rsidRDefault="00025622" w:rsidP="00025622">
      <w:pPr>
        <w:jc w:val="both"/>
        <w:rPr>
          <w:rFonts w:cs="Calibri"/>
          <w:szCs w:val="22"/>
        </w:rPr>
      </w:pPr>
    </w:p>
    <w:p w14:paraId="0EE4255E" w14:textId="77777777" w:rsidR="00025622" w:rsidRPr="00025622" w:rsidRDefault="00025622" w:rsidP="00B22391">
      <w:pPr>
        <w:pStyle w:val="PlohaNadp1"/>
      </w:pPr>
      <w:r w:rsidRPr="00025622">
        <w:t>Prohlášení Nabyvatele</w:t>
      </w:r>
    </w:p>
    <w:p w14:paraId="617A3F31" w14:textId="77777777" w:rsidR="00025622" w:rsidRPr="00025622" w:rsidRDefault="00025622" w:rsidP="001B45C2">
      <w:pPr>
        <w:pStyle w:val="PlohaNadp2"/>
      </w:pPr>
      <w:r w:rsidRPr="00025622">
        <w:t>Nabyvatel podpisem a doručením této žádosti Poskytovatele žádá o aktivaci Aplikace RCZ v rámci oprávněně nabytého HELIOS Orange.</w:t>
      </w:r>
    </w:p>
    <w:p w14:paraId="29D735E9" w14:textId="366CD4DF" w:rsidR="00025622" w:rsidRPr="00025622" w:rsidRDefault="00025622" w:rsidP="001B45C2">
      <w:pPr>
        <w:pStyle w:val="PlohaNadp2"/>
      </w:pPr>
      <w:r w:rsidRPr="00025622">
        <w:t xml:space="preserve">Nabyvatel bere na vědomí, že práva a povinnosti Nabyvatele a Poskytovatele související s Aplikací RCZ jsou uvedeny a řídí se </w:t>
      </w:r>
      <w:r w:rsidR="00B15A4C">
        <w:t>příslušnou platnou s</w:t>
      </w:r>
      <w:r w:rsidR="00B15A4C" w:rsidRPr="00B15A4C">
        <w:t>mlouv</w:t>
      </w:r>
      <w:r w:rsidR="00B15A4C">
        <w:t>ou</w:t>
      </w:r>
      <w:r w:rsidR="00B15A4C" w:rsidRPr="00B15A4C">
        <w:t xml:space="preserve"> o poskytnutí podlicence a smlouv</w:t>
      </w:r>
      <w:r w:rsidR="00B15A4C">
        <w:t>ou</w:t>
      </w:r>
      <w:r w:rsidR="00B15A4C" w:rsidRPr="00B15A4C">
        <w:t xml:space="preserve"> o</w:t>
      </w:r>
      <w:r w:rsidR="00B15A4C">
        <w:t> </w:t>
      </w:r>
      <w:r w:rsidR="00B15A4C" w:rsidRPr="00B15A4C">
        <w:t>systémové podpoře</w:t>
      </w:r>
      <w:r w:rsidR="00B15A4C">
        <w:t xml:space="preserve"> uzavřenou mezi Nabyvatelem a</w:t>
      </w:r>
      <w:r w:rsidR="00146980">
        <w:t xml:space="preserve"> </w:t>
      </w:r>
      <w:r w:rsidR="001F0806">
        <w:t>Poskytovatelem</w:t>
      </w:r>
      <w:r w:rsidR="00B15A4C">
        <w:t xml:space="preserve"> (resp. přílohou dané smlouvy „</w:t>
      </w:r>
      <w:r w:rsidR="00B15A4C" w:rsidRPr="00B15A4C">
        <w:t>Doplňující obchodní podmínky pro službu Reporting.cz</w:t>
      </w:r>
      <w:r w:rsidR="00B15A4C">
        <w:t>“).</w:t>
      </w:r>
    </w:p>
    <w:p w14:paraId="403BEFD4" w14:textId="2C54B566" w:rsidR="00025622" w:rsidRPr="00025622" w:rsidRDefault="00025622" w:rsidP="001B45C2">
      <w:pPr>
        <w:pStyle w:val="PlohaNadp2"/>
      </w:pPr>
      <w:r w:rsidRPr="00025622">
        <w:t xml:space="preserve">Nabyvatel doručením této žádosti stvrzuje, že jsou mu známy podmínky, za kterých je Aplikace RCZ poskytována, tedy že se s přílohou č. </w:t>
      </w:r>
      <w:r w:rsidR="00146980">
        <w:t>7</w:t>
      </w:r>
      <w:r w:rsidRPr="00025622">
        <w:t xml:space="preserve"> této smlouvy seznámil a souhlasí s jejich zněním. </w:t>
      </w:r>
    </w:p>
    <w:p w14:paraId="566C7D18" w14:textId="77777777" w:rsidR="00025622" w:rsidRPr="00B15A4C" w:rsidRDefault="00025622" w:rsidP="00025622">
      <w:pPr>
        <w:rPr>
          <w:rFonts w:cs="Calibri"/>
          <w:sz w:val="24"/>
          <w:szCs w:val="24"/>
        </w:rPr>
      </w:pPr>
    </w:p>
    <w:tbl>
      <w:tblPr>
        <w:tblW w:w="9639" w:type="dxa"/>
        <w:tblInd w:w="-5" w:type="dxa"/>
        <w:tblLook w:val="04A0" w:firstRow="1" w:lastRow="0" w:firstColumn="1" w:lastColumn="0" w:noHBand="0" w:noVBand="1"/>
      </w:tblPr>
      <w:tblGrid>
        <w:gridCol w:w="2134"/>
        <w:gridCol w:w="7505"/>
      </w:tblGrid>
      <w:tr w:rsidR="00025622" w:rsidRPr="001E2811" w14:paraId="17AFAC6D" w14:textId="77777777" w:rsidTr="00001B0F">
        <w:tc>
          <w:tcPr>
            <w:tcW w:w="9639" w:type="dxa"/>
            <w:gridSpan w:val="2"/>
            <w:tcBorders>
              <w:top w:val="single" w:sz="4" w:space="0" w:color="2E74B5"/>
              <w:left w:val="single" w:sz="4" w:space="0" w:color="2E74B5"/>
              <w:right w:val="single" w:sz="4" w:space="0" w:color="2E74B5"/>
            </w:tcBorders>
            <w:shd w:val="clear" w:color="auto" w:fill="DEEAF6"/>
          </w:tcPr>
          <w:p w14:paraId="1B07DCD6" w14:textId="77777777" w:rsidR="00025622" w:rsidRPr="001E2811" w:rsidRDefault="00025622" w:rsidP="00272A32">
            <w:pPr>
              <w:widowControl w:val="0"/>
              <w:spacing w:before="120" w:after="120"/>
              <w:rPr>
                <w:rFonts w:cs="Calibri"/>
                <w:b/>
                <w:szCs w:val="22"/>
              </w:rPr>
            </w:pPr>
            <w:r w:rsidRPr="001E2811">
              <w:rPr>
                <w:rFonts w:cs="Calibri"/>
                <w:b/>
                <w:szCs w:val="22"/>
              </w:rPr>
              <w:t>Oprávněná osoba Nabyvatele</w:t>
            </w:r>
          </w:p>
        </w:tc>
      </w:tr>
      <w:tr w:rsidR="006862A5" w:rsidRPr="001E2811" w14:paraId="6D2364B7" w14:textId="77777777" w:rsidTr="00F91457">
        <w:tc>
          <w:tcPr>
            <w:tcW w:w="2134" w:type="dxa"/>
            <w:tcBorders>
              <w:left w:val="single" w:sz="4" w:space="0" w:color="2E74B5"/>
            </w:tcBorders>
            <w:shd w:val="clear" w:color="auto" w:fill="auto"/>
          </w:tcPr>
          <w:p w14:paraId="49768B4B" w14:textId="77777777" w:rsidR="006862A5" w:rsidRPr="001E2811" w:rsidRDefault="006862A5" w:rsidP="00272A32">
            <w:pPr>
              <w:widowControl w:val="0"/>
              <w:spacing w:before="240" w:after="120"/>
              <w:rPr>
                <w:rFonts w:cs="Calibri"/>
                <w:szCs w:val="22"/>
              </w:rPr>
            </w:pPr>
            <w:r w:rsidRPr="001E2811">
              <w:rPr>
                <w:rFonts w:cs="Calibri"/>
                <w:szCs w:val="22"/>
              </w:rPr>
              <w:t>Jméno a příjmení:</w:t>
            </w:r>
          </w:p>
        </w:tc>
        <w:tc>
          <w:tcPr>
            <w:tcW w:w="7505" w:type="dxa"/>
            <w:tcBorders>
              <w:right w:val="single" w:sz="4" w:space="0" w:color="2E74B5"/>
            </w:tcBorders>
            <w:shd w:val="clear" w:color="auto" w:fill="auto"/>
          </w:tcPr>
          <w:p w14:paraId="63CA90D7" w14:textId="77777777" w:rsidR="006862A5" w:rsidRPr="001E2811" w:rsidRDefault="006862A5" w:rsidP="00272A32">
            <w:pPr>
              <w:widowControl w:val="0"/>
              <w:spacing w:before="240" w:after="120"/>
              <w:rPr>
                <w:rFonts w:cs="Calibri"/>
                <w:szCs w:val="22"/>
              </w:rPr>
            </w:pPr>
          </w:p>
        </w:tc>
      </w:tr>
      <w:tr w:rsidR="006862A5" w:rsidRPr="001E2811" w14:paraId="28E3ACB4" w14:textId="77777777" w:rsidTr="003C7FDA">
        <w:tc>
          <w:tcPr>
            <w:tcW w:w="2134" w:type="dxa"/>
            <w:tcBorders>
              <w:left w:val="single" w:sz="4" w:space="0" w:color="2E74B5"/>
            </w:tcBorders>
            <w:shd w:val="clear" w:color="auto" w:fill="auto"/>
          </w:tcPr>
          <w:p w14:paraId="01DBADCE" w14:textId="77777777" w:rsidR="006862A5" w:rsidRPr="001E2811" w:rsidRDefault="006862A5" w:rsidP="00272A32">
            <w:pPr>
              <w:widowControl w:val="0"/>
              <w:spacing w:before="120" w:after="120"/>
              <w:rPr>
                <w:rFonts w:cs="Calibri"/>
                <w:szCs w:val="22"/>
              </w:rPr>
            </w:pPr>
            <w:r w:rsidRPr="001E2811">
              <w:rPr>
                <w:rFonts w:cs="Calibri"/>
                <w:szCs w:val="22"/>
              </w:rPr>
              <w:t>Funkce:</w:t>
            </w:r>
          </w:p>
        </w:tc>
        <w:tc>
          <w:tcPr>
            <w:tcW w:w="7505" w:type="dxa"/>
            <w:tcBorders>
              <w:right w:val="single" w:sz="4" w:space="0" w:color="2E74B5"/>
            </w:tcBorders>
            <w:shd w:val="clear" w:color="auto" w:fill="auto"/>
          </w:tcPr>
          <w:p w14:paraId="63A76BE9" w14:textId="77777777" w:rsidR="006862A5" w:rsidRPr="001E2811" w:rsidRDefault="006862A5" w:rsidP="00272A32">
            <w:pPr>
              <w:widowControl w:val="0"/>
              <w:spacing w:before="120" w:after="120"/>
              <w:rPr>
                <w:rFonts w:cs="Calibri"/>
                <w:szCs w:val="22"/>
              </w:rPr>
            </w:pPr>
          </w:p>
        </w:tc>
      </w:tr>
      <w:tr w:rsidR="006862A5" w:rsidRPr="001E2811" w14:paraId="5DA7D265" w14:textId="77777777" w:rsidTr="00A3743F">
        <w:tc>
          <w:tcPr>
            <w:tcW w:w="2134" w:type="dxa"/>
            <w:tcBorders>
              <w:left w:val="single" w:sz="4" w:space="0" w:color="2E74B5"/>
            </w:tcBorders>
            <w:shd w:val="clear" w:color="auto" w:fill="auto"/>
          </w:tcPr>
          <w:p w14:paraId="416544D1" w14:textId="77777777" w:rsidR="006862A5" w:rsidRPr="001E2811" w:rsidRDefault="006862A5" w:rsidP="00272A32">
            <w:pPr>
              <w:widowControl w:val="0"/>
              <w:spacing w:before="120" w:after="120"/>
              <w:rPr>
                <w:rFonts w:cs="Calibri"/>
                <w:szCs w:val="22"/>
              </w:rPr>
            </w:pPr>
            <w:r w:rsidRPr="001E2811">
              <w:rPr>
                <w:rFonts w:cs="Calibri"/>
                <w:szCs w:val="22"/>
              </w:rPr>
              <w:t>Datum podpisu:</w:t>
            </w:r>
          </w:p>
        </w:tc>
        <w:tc>
          <w:tcPr>
            <w:tcW w:w="7505" w:type="dxa"/>
            <w:tcBorders>
              <w:right w:val="single" w:sz="4" w:space="0" w:color="2E74B5"/>
            </w:tcBorders>
            <w:shd w:val="clear" w:color="auto" w:fill="auto"/>
          </w:tcPr>
          <w:p w14:paraId="650DCE14" w14:textId="77777777" w:rsidR="006862A5" w:rsidRPr="001E2811" w:rsidRDefault="006862A5" w:rsidP="00272A32">
            <w:pPr>
              <w:widowControl w:val="0"/>
              <w:spacing w:before="120" w:after="120"/>
              <w:rPr>
                <w:rFonts w:cs="Calibri"/>
                <w:szCs w:val="22"/>
              </w:rPr>
            </w:pPr>
          </w:p>
        </w:tc>
      </w:tr>
      <w:tr w:rsidR="006862A5" w:rsidRPr="001E2811" w14:paraId="53E94EA1" w14:textId="77777777" w:rsidTr="00747FF2">
        <w:tc>
          <w:tcPr>
            <w:tcW w:w="2134" w:type="dxa"/>
            <w:tcBorders>
              <w:left w:val="single" w:sz="4" w:space="0" w:color="2E74B5"/>
              <w:bottom w:val="single" w:sz="4" w:space="0" w:color="2E74B5"/>
            </w:tcBorders>
            <w:shd w:val="clear" w:color="auto" w:fill="auto"/>
          </w:tcPr>
          <w:p w14:paraId="0A3F5392" w14:textId="77777777" w:rsidR="006862A5" w:rsidRPr="001E2811" w:rsidRDefault="006862A5" w:rsidP="00272A32">
            <w:pPr>
              <w:widowControl w:val="0"/>
              <w:spacing w:before="120" w:after="360"/>
              <w:rPr>
                <w:rFonts w:cs="Calibri"/>
                <w:szCs w:val="22"/>
              </w:rPr>
            </w:pPr>
            <w:r w:rsidRPr="001E2811">
              <w:rPr>
                <w:rFonts w:cs="Calibri"/>
                <w:szCs w:val="22"/>
              </w:rPr>
              <w:t>Podpis:</w:t>
            </w:r>
          </w:p>
        </w:tc>
        <w:tc>
          <w:tcPr>
            <w:tcW w:w="7505" w:type="dxa"/>
            <w:tcBorders>
              <w:bottom w:val="single" w:sz="4" w:space="0" w:color="2E74B5"/>
              <w:right w:val="single" w:sz="4" w:space="0" w:color="2E74B5"/>
            </w:tcBorders>
            <w:shd w:val="clear" w:color="auto" w:fill="auto"/>
          </w:tcPr>
          <w:p w14:paraId="3A75CA93" w14:textId="77777777" w:rsidR="006862A5" w:rsidRPr="001E2811" w:rsidRDefault="006862A5" w:rsidP="00272A32">
            <w:pPr>
              <w:widowControl w:val="0"/>
              <w:spacing w:before="120" w:after="360"/>
              <w:rPr>
                <w:rFonts w:cs="Calibri"/>
                <w:szCs w:val="22"/>
              </w:rPr>
            </w:pPr>
          </w:p>
        </w:tc>
      </w:tr>
      <w:bookmarkEnd w:id="15"/>
    </w:tbl>
    <w:p w14:paraId="387A5F8A" w14:textId="77777777" w:rsidR="00C14D6E" w:rsidRPr="001E2811" w:rsidRDefault="00C14D6E" w:rsidP="00025622">
      <w:pPr>
        <w:tabs>
          <w:tab w:val="center" w:pos="1985"/>
        </w:tabs>
        <w:jc w:val="both"/>
        <w:rPr>
          <w:rFonts w:cs="Calibri"/>
          <w:szCs w:val="22"/>
        </w:rPr>
      </w:pPr>
    </w:p>
    <w:sectPr w:rsidR="00C14D6E" w:rsidRPr="001E2811" w:rsidSect="00B15A4C">
      <w:headerReference w:type="default" r:id="rId12"/>
      <w:pgSz w:w="11906" w:h="16838" w:code="9"/>
      <w:pgMar w:top="1135" w:right="1247" w:bottom="1247" w:left="1247" w:header="454"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3D2BC" w14:textId="77777777" w:rsidR="00004672" w:rsidRDefault="00004672" w:rsidP="00277F02">
      <w:r>
        <w:separator/>
      </w:r>
    </w:p>
  </w:endnote>
  <w:endnote w:type="continuationSeparator" w:id="0">
    <w:p w14:paraId="64321D7D" w14:textId="77777777" w:rsidR="00004672" w:rsidRDefault="00004672" w:rsidP="0027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54E2" w14:textId="77777777" w:rsidR="00EB3EFB" w:rsidRPr="00B21CD9" w:rsidRDefault="00C14D6E" w:rsidP="00B21CD9">
    <w:pPr>
      <w:pStyle w:val="Zpat"/>
    </w:pPr>
    <w:r w:rsidRPr="00B21CD9">
      <w:t xml:space="preserve">Strana: </w:t>
    </w:r>
    <w:r w:rsidRPr="00B21CD9">
      <w:fldChar w:fldCharType="begin"/>
    </w:r>
    <w:r w:rsidRPr="00B21CD9">
      <w:instrText xml:space="preserve"> PAGE  \* MERGEFORMAT </w:instrText>
    </w:r>
    <w:r w:rsidRPr="00B21CD9">
      <w:fldChar w:fldCharType="separate"/>
    </w:r>
    <w:r w:rsidR="00F35DB7" w:rsidRPr="00B21CD9">
      <w:rPr>
        <w:noProof/>
      </w:rPr>
      <w:t>18</w:t>
    </w:r>
    <w:r w:rsidRPr="00B21CD9">
      <w:fldChar w:fldCharType="end"/>
    </w:r>
    <w:r w:rsidRPr="00B21CD9">
      <w:t xml:space="preserve"> z </w:t>
    </w:r>
    <w:r w:rsidR="00004672">
      <w:fldChar w:fldCharType="begin"/>
    </w:r>
    <w:r w:rsidR="00004672">
      <w:instrText xml:space="preserve"> NUMPAGES  \* MERGEFORMAT </w:instrText>
    </w:r>
    <w:r w:rsidR="00004672">
      <w:fldChar w:fldCharType="separate"/>
    </w:r>
    <w:r w:rsidR="00F35DB7" w:rsidRPr="00B21CD9">
      <w:rPr>
        <w:noProof/>
      </w:rPr>
      <w:t>18</w:t>
    </w:r>
    <w:r w:rsidR="00004672">
      <w:rPr>
        <w:noProof/>
      </w:rPr>
      <w:fldChar w:fldCharType="end"/>
    </w:r>
  </w:p>
  <w:p w14:paraId="332309AA" w14:textId="77777777" w:rsidR="00C14D6E" w:rsidRDefault="00C14D6E" w:rsidP="00B21CD9">
    <w:pPr>
      <w:pStyle w:val="Zpat"/>
    </w:pPr>
  </w:p>
  <w:p w14:paraId="62369500" w14:textId="77777777" w:rsidR="00C14D6E" w:rsidRPr="00C14D6E" w:rsidRDefault="00C14D6E" w:rsidP="00B21C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1309" w14:textId="77777777" w:rsidR="00004672" w:rsidRDefault="00004672" w:rsidP="00277F02">
      <w:r>
        <w:separator/>
      </w:r>
    </w:p>
  </w:footnote>
  <w:footnote w:type="continuationSeparator" w:id="0">
    <w:p w14:paraId="71003BBC" w14:textId="77777777" w:rsidR="00004672" w:rsidRDefault="00004672" w:rsidP="0027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D51A" w14:textId="77777777" w:rsidR="00EB3EFB" w:rsidRPr="00B84D10" w:rsidRDefault="00EB3EFB" w:rsidP="00EB7276">
    <w:pPr>
      <w:pStyle w:val="Zhlav"/>
    </w:pPr>
  </w:p>
  <w:p w14:paraId="6FBA4DB0" w14:textId="265FE832" w:rsidR="00EB3EFB" w:rsidRPr="00EB7276" w:rsidRDefault="00FE6C51" w:rsidP="00EB7276">
    <w:pPr>
      <w:pStyle w:val="Zhlav"/>
    </w:pPr>
    <w:r>
      <w:rPr>
        <w:noProof/>
      </w:rPr>
      <mc:AlternateContent>
        <mc:Choice Requires="wps">
          <w:drawing>
            <wp:anchor distT="0" distB="0" distL="114300" distR="114300" simplePos="0" relativeHeight="251658240" behindDoc="0" locked="0" layoutInCell="1" allowOverlap="1" wp14:anchorId="7C117CA5" wp14:editId="6903E03B">
              <wp:simplePos x="0" y="0"/>
              <wp:positionH relativeFrom="column">
                <wp:posOffset>2908300</wp:posOffset>
              </wp:positionH>
              <wp:positionV relativeFrom="paragraph">
                <wp:posOffset>12700</wp:posOffset>
              </wp:positionV>
              <wp:extent cx="3491865" cy="631825"/>
              <wp:effectExtent l="0" t="3175" r="0" b="31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D241D" w14:textId="77777777" w:rsidR="00FE6C51" w:rsidRPr="00797AA5" w:rsidRDefault="00FE6C51" w:rsidP="00FE6C51">
                          <w:pPr>
                            <w:pStyle w:val="Zhlav"/>
                            <w:tabs>
                              <w:tab w:val="clear" w:pos="4536"/>
                              <w:tab w:val="center" w:pos="2268"/>
                            </w:tabs>
                            <w:jc w:val="right"/>
                            <w:rPr>
                              <w:rFonts w:cs="Calibri"/>
                              <w:b/>
                              <w:i/>
                              <w:sz w:val="20"/>
                            </w:rPr>
                          </w:pPr>
                          <w:r>
                            <w:rPr>
                              <w:rFonts w:cs="Calibri"/>
                              <w:b/>
                              <w:i/>
                              <w:sz w:val="20"/>
                            </w:rPr>
                            <w:t>HARPAGON Software s.r.o.</w:t>
                          </w:r>
                        </w:p>
                        <w:p w14:paraId="145AC7BC" w14:textId="77777777" w:rsidR="00C14D6E" w:rsidRDefault="00C14D6E" w:rsidP="00C14D6E">
                          <w:pPr>
                            <w:pStyle w:val="Zhlav"/>
                            <w:tabs>
                              <w:tab w:val="clear" w:pos="4536"/>
                              <w:tab w:val="center" w:pos="2268"/>
                            </w:tabs>
                            <w:jc w:val="right"/>
                            <w:rPr>
                              <w:i/>
                              <w:sz w:val="20"/>
                            </w:rPr>
                          </w:pPr>
                          <w:r>
                            <w:rPr>
                              <w:i/>
                              <w:sz w:val="20"/>
                            </w:rPr>
                            <w:t>Smlouva o poskytnutí podlicence a smlouva o systémové podpoře</w:t>
                          </w:r>
                        </w:p>
                        <w:p w14:paraId="79AD3A5B" w14:textId="77777777" w:rsidR="00B9341D" w:rsidRPr="00B9341D" w:rsidRDefault="00B9341D" w:rsidP="00C14D6E">
                          <w:pPr>
                            <w:pStyle w:val="Zhlav"/>
                            <w:tabs>
                              <w:tab w:val="clear" w:pos="4536"/>
                              <w:tab w:val="center" w:pos="2268"/>
                            </w:tabs>
                            <w:jc w:val="right"/>
                            <w:rPr>
                              <w:i/>
                              <w:iCs/>
                              <w:sz w:val="20"/>
                            </w:rPr>
                          </w:pPr>
                          <w:r w:rsidRPr="00B9341D">
                            <w:rPr>
                              <w:i/>
                              <w:iCs/>
                              <w:sz w:val="20"/>
                            </w:rPr>
                            <w:t>(migrační smlouva iNUVIO)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117CA5" id="_x0000_t202" coordsize="21600,21600" o:spt="202" path="m,l,21600r21600,l21600,xe">
              <v:stroke joinstyle="miter"/>
              <v:path gradientshapeok="t" o:connecttype="rect"/>
            </v:shapetype>
            <v:shape id="Text Box 24" o:spid="_x0000_s1026" type="#_x0000_t202" style="position:absolute;margin-left:229pt;margin-top:1pt;width:274.95pt;height: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" stroked="f">
              <v:textbox inset="0,0,0,0">
                <w:txbxContent>
                  <w:p w14:paraId="6DED241D" w14:textId="77777777" w:rsidR="00FE6C51" w:rsidRPr="00797AA5" w:rsidRDefault="00FE6C51" w:rsidP="00FE6C51">
                    <w:pPr>
                      <w:pStyle w:val="Zhlav"/>
                      <w:tabs>
                        <w:tab w:val="clear" w:pos="4536"/>
                        <w:tab w:val="center" w:pos="2268"/>
                      </w:tabs>
                      <w:jc w:val="right"/>
                      <w:rPr>
                        <w:rFonts w:cs="Calibri"/>
                        <w:b/>
                        <w:i/>
                        <w:sz w:val="20"/>
                      </w:rPr>
                    </w:pPr>
                    <w:r>
                      <w:rPr>
                        <w:rFonts w:cs="Calibri"/>
                        <w:b/>
                        <w:i/>
                        <w:sz w:val="20"/>
                      </w:rPr>
                      <w:t>HARPAGON Software s.r.o.</w:t>
                    </w:r>
                  </w:p>
                  <w:p w14:paraId="145AC7BC" w14:textId="77777777" w:rsidR="00C14D6E" w:rsidRDefault="00C14D6E" w:rsidP="00C14D6E">
                    <w:pPr>
                      <w:pStyle w:val="Zhlav"/>
                      <w:tabs>
                        <w:tab w:val="clear" w:pos="4536"/>
                        <w:tab w:val="center" w:pos="2268"/>
                      </w:tabs>
                      <w:jc w:val="right"/>
                      <w:rPr>
                        <w:i/>
                        <w:sz w:val="20"/>
                      </w:rPr>
                    </w:pPr>
                    <w:r>
                      <w:rPr>
                        <w:i/>
                        <w:sz w:val="20"/>
                      </w:rPr>
                      <w:t>Smlouva o poskytnutí podlicence a smlouva o systémové podpoře</w:t>
                    </w:r>
                  </w:p>
                  <w:p w14:paraId="79AD3A5B" w14:textId="77777777" w:rsidR="00B9341D" w:rsidRPr="00B9341D" w:rsidRDefault="00B9341D" w:rsidP="00C14D6E">
                    <w:pPr>
                      <w:pStyle w:val="Zhlav"/>
                      <w:tabs>
                        <w:tab w:val="clear" w:pos="4536"/>
                        <w:tab w:val="center" w:pos="2268"/>
                      </w:tabs>
                      <w:jc w:val="right"/>
                      <w:rPr>
                        <w:i/>
                        <w:iCs/>
                        <w:sz w:val="20"/>
                      </w:rPr>
                    </w:pPr>
                    <w:r w:rsidRPr="00B9341D">
                      <w:rPr>
                        <w:i/>
                        <w:iCs/>
                        <w:sz w:val="20"/>
                      </w:rPr>
                      <w:t xml:space="preserve">(migrační smlouva </w:t>
                    </w:r>
                    <w:proofErr w:type="spellStart"/>
                    <w:r w:rsidRPr="00B9341D">
                      <w:rPr>
                        <w:i/>
                        <w:iCs/>
                        <w:sz w:val="20"/>
                      </w:rPr>
                      <w:t>iNUVIO</w:t>
                    </w:r>
                    <w:proofErr w:type="spellEnd"/>
                    <w:r w:rsidRPr="00B9341D">
                      <w:rPr>
                        <w:i/>
                        <w:iCs/>
                        <w:sz w:val="20"/>
                      </w:rPr>
                      <w:t>)</w:t>
                    </w:r>
                  </w:p>
                </w:txbxContent>
              </v:textbox>
            </v:shape>
          </w:pict>
        </mc:Fallback>
      </mc:AlternateContent>
    </w:r>
    <w:r>
      <w:rPr>
        <w:noProof/>
      </w:rPr>
      <w:drawing>
        <wp:inline distT="0" distB="0" distL="0" distR="0" wp14:anchorId="2BC65D77" wp14:editId="4257FC3A">
          <wp:extent cx="2781300" cy="50482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7740" w14:textId="77777777" w:rsidR="00B15A4C" w:rsidRPr="00B84D10" w:rsidRDefault="00B15A4C" w:rsidP="00EB72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6A8D6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A76CD3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ABA45FA"/>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6FC331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A4C9D3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2516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44432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D0E8A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F4CD42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561DB3"/>
    <w:multiLevelType w:val="multilevel"/>
    <w:tmpl w:val="026E924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Smlouvaodstavec"/>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B9563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29E106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03404B28"/>
    <w:multiLevelType w:val="hybridMultilevel"/>
    <w:tmpl w:val="084EEF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DC40BB"/>
    <w:multiLevelType w:val="multilevel"/>
    <w:tmpl w:val="EBE09D5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2069B3"/>
    <w:multiLevelType w:val="hybridMultilevel"/>
    <w:tmpl w:val="8580108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10DC789C"/>
    <w:multiLevelType w:val="hybridMultilevel"/>
    <w:tmpl w:val="940C13B0"/>
    <w:lvl w:ilvl="0" w:tplc="543AA7D0">
      <w:start w:val="1"/>
      <w:numFmt w:val="bullet"/>
      <w:lvlText w:val="*"/>
      <w:lvlJc w:val="left"/>
      <w:pPr>
        <w:ind w:left="759" w:hanging="360"/>
      </w:pPr>
      <w:rPr>
        <w:rFonts w:ascii="Calibri" w:hAnsi="Calibri" w:hint="default"/>
      </w:rPr>
    </w:lvl>
    <w:lvl w:ilvl="1" w:tplc="04050003" w:tentative="1">
      <w:start w:val="1"/>
      <w:numFmt w:val="bullet"/>
      <w:lvlText w:val="o"/>
      <w:lvlJc w:val="left"/>
      <w:pPr>
        <w:ind w:left="1479" w:hanging="360"/>
      </w:pPr>
      <w:rPr>
        <w:rFonts w:ascii="Courier New" w:hAnsi="Courier New" w:cs="Courier New" w:hint="default"/>
      </w:rPr>
    </w:lvl>
    <w:lvl w:ilvl="2" w:tplc="04050005" w:tentative="1">
      <w:start w:val="1"/>
      <w:numFmt w:val="bullet"/>
      <w:lvlText w:val=""/>
      <w:lvlJc w:val="left"/>
      <w:pPr>
        <w:ind w:left="2199" w:hanging="360"/>
      </w:pPr>
      <w:rPr>
        <w:rFonts w:ascii="Wingdings" w:hAnsi="Wingdings" w:hint="default"/>
      </w:rPr>
    </w:lvl>
    <w:lvl w:ilvl="3" w:tplc="04050001" w:tentative="1">
      <w:start w:val="1"/>
      <w:numFmt w:val="bullet"/>
      <w:lvlText w:val=""/>
      <w:lvlJc w:val="left"/>
      <w:pPr>
        <w:ind w:left="2919" w:hanging="360"/>
      </w:pPr>
      <w:rPr>
        <w:rFonts w:ascii="Symbol" w:hAnsi="Symbol" w:hint="default"/>
      </w:rPr>
    </w:lvl>
    <w:lvl w:ilvl="4" w:tplc="04050003" w:tentative="1">
      <w:start w:val="1"/>
      <w:numFmt w:val="bullet"/>
      <w:lvlText w:val="o"/>
      <w:lvlJc w:val="left"/>
      <w:pPr>
        <w:ind w:left="3639" w:hanging="360"/>
      </w:pPr>
      <w:rPr>
        <w:rFonts w:ascii="Courier New" w:hAnsi="Courier New" w:cs="Courier New" w:hint="default"/>
      </w:rPr>
    </w:lvl>
    <w:lvl w:ilvl="5" w:tplc="04050005" w:tentative="1">
      <w:start w:val="1"/>
      <w:numFmt w:val="bullet"/>
      <w:lvlText w:val=""/>
      <w:lvlJc w:val="left"/>
      <w:pPr>
        <w:ind w:left="4359" w:hanging="360"/>
      </w:pPr>
      <w:rPr>
        <w:rFonts w:ascii="Wingdings" w:hAnsi="Wingdings" w:hint="default"/>
      </w:rPr>
    </w:lvl>
    <w:lvl w:ilvl="6" w:tplc="04050001" w:tentative="1">
      <w:start w:val="1"/>
      <w:numFmt w:val="bullet"/>
      <w:lvlText w:val=""/>
      <w:lvlJc w:val="left"/>
      <w:pPr>
        <w:ind w:left="5079" w:hanging="360"/>
      </w:pPr>
      <w:rPr>
        <w:rFonts w:ascii="Symbol" w:hAnsi="Symbol" w:hint="default"/>
      </w:rPr>
    </w:lvl>
    <w:lvl w:ilvl="7" w:tplc="04050003" w:tentative="1">
      <w:start w:val="1"/>
      <w:numFmt w:val="bullet"/>
      <w:lvlText w:val="o"/>
      <w:lvlJc w:val="left"/>
      <w:pPr>
        <w:ind w:left="5799" w:hanging="360"/>
      </w:pPr>
      <w:rPr>
        <w:rFonts w:ascii="Courier New" w:hAnsi="Courier New" w:cs="Courier New" w:hint="default"/>
      </w:rPr>
    </w:lvl>
    <w:lvl w:ilvl="8" w:tplc="04050005" w:tentative="1">
      <w:start w:val="1"/>
      <w:numFmt w:val="bullet"/>
      <w:lvlText w:val=""/>
      <w:lvlJc w:val="left"/>
      <w:pPr>
        <w:ind w:left="6519" w:hanging="360"/>
      </w:pPr>
      <w:rPr>
        <w:rFonts w:ascii="Wingdings" w:hAnsi="Wingdings" w:hint="default"/>
      </w:rPr>
    </w:lvl>
  </w:abstractNum>
  <w:abstractNum w:abstractNumId="17" w15:restartNumberingAfterBreak="0">
    <w:nsid w:val="22FA078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3FA544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FB8747B"/>
    <w:multiLevelType w:val="hybridMultilevel"/>
    <w:tmpl w:val="8A7AD16E"/>
    <w:lvl w:ilvl="0" w:tplc="A7F2662E">
      <w:start w:val="1"/>
      <w:numFmt w:val="low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1180626"/>
    <w:multiLevelType w:val="hybridMultilevel"/>
    <w:tmpl w:val="349C8BCC"/>
    <w:lvl w:ilvl="0" w:tplc="D894505E">
      <w:start w:val="1"/>
      <w:numFmt w:val="lowerLetter"/>
      <w:lvlText w:val="%1)"/>
      <w:lvlJc w:val="left"/>
      <w:pPr>
        <w:ind w:left="1287" w:hanging="360"/>
      </w:pPr>
      <w:rPr>
        <w:rFonts w:ascii="Calibri" w:hAnsi="Calibri"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2960CB9"/>
    <w:multiLevelType w:val="hybridMultilevel"/>
    <w:tmpl w:val="A7DAF76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2" w15:restartNumberingAfterBreak="0">
    <w:nsid w:val="55A9091D"/>
    <w:multiLevelType w:val="hybridMultilevel"/>
    <w:tmpl w:val="99FCE12E"/>
    <w:lvl w:ilvl="0" w:tplc="67F463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332E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C57D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F162BCB"/>
    <w:multiLevelType w:val="hybridMultilevel"/>
    <w:tmpl w:val="66822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67A6E"/>
    <w:multiLevelType w:val="multilevel"/>
    <w:tmpl w:val="51E2DCF6"/>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4706F5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53143A5"/>
    <w:multiLevelType w:val="hybridMultilevel"/>
    <w:tmpl w:val="A2B81A4C"/>
    <w:lvl w:ilvl="0" w:tplc="04050017">
      <w:start w:val="1"/>
      <w:numFmt w:val="lowerLetter"/>
      <w:lvlText w:val="%1)"/>
      <w:lvlJc w:val="left"/>
      <w:pPr>
        <w:tabs>
          <w:tab w:val="num" w:pos="1069"/>
        </w:tabs>
        <w:ind w:left="1069" w:hanging="360"/>
      </w:p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9" w15:restartNumberingAfterBreak="0">
    <w:nsid w:val="6DFF1BCF"/>
    <w:multiLevelType w:val="multilevel"/>
    <w:tmpl w:val="04050025"/>
    <w:styleLink w:val="Styl1"/>
    <w:lvl w:ilvl="0">
      <w:start w:val="1"/>
      <w:numFmt w:val="decimal"/>
      <w:lvlText w:val="%1"/>
      <w:lvlJc w:val="left"/>
      <w:pPr>
        <w:ind w:left="432" w:hanging="432"/>
      </w:pPr>
      <w:rPr>
        <w:rFonts w:ascii="Calibri" w:hAnsi="Calibri"/>
        <w:b/>
        <w:sz w:val="22"/>
      </w:rPr>
    </w:lvl>
    <w:lvl w:ilvl="1">
      <w:start w:val="1"/>
      <w:numFmt w:val="decimal"/>
      <w:lvlText w:val="%1.%2"/>
      <w:lvlJc w:val="left"/>
      <w:pPr>
        <w:ind w:left="576" w:hanging="576"/>
      </w:pPr>
      <w:rPr>
        <w:rFonts w:ascii="Calibri" w:hAnsi="Calibri"/>
        <w:b w:val="0"/>
        <w:sz w:val="22"/>
      </w:rPr>
    </w:lvl>
    <w:lvl w:ilvl="2">
      <w:start w:val="1"/>
      <w:numFmt w:val="decimal"/>
      <w:lvlText w:val="%1.%2.%3"/>
      <w:lvlJc w:val="left"/>
      <w:pPr>
        <w:ind w:left="1428" w:hanging="720"/>
      </w:pPr>
      <w:rPr>
        <w:rFonts w:ascii="Calibri" w:hAnsi="Calibri"/>
        <w:sz w:val="22"/>
      </w:rPr>
    </w:lvl>
    <w:lvl w:ilvl="3">
      <w:start w:val="1"/>
      <w:numFmt w:val="decimal"/>
      <w:lvlText w:val="%1.%2.%3.%4"/>
      <w:lvlJc w:val="left"/>
      <w:pPr>
        <w:ind w:left="2280" w:hanging="864"/>
      </w:pPr>
      <w:rPr>
        <w:rFonts w:ascii="Calibri" w:hAnsi="Calibri"/>
        <w:sz w:val="22"/>
      </w:rPr>
    </w:lvl>
    <w:lvl w:ilvl="4">
      <w:start w:val="1"/>
      <w:numFmt w:val="decimal"/>
      <w:lvlText w:val="%1.%2.%3.%4.%5"/>
      <w:lvlJc w:val="left"/>
      <w:pPr>
        <w:ind w:left="3132" w:hanging="1008"/>
      </w:pPr>
      <w:rPr>
        <w:rFonts w:ascii="Calibri" w:hAnsi="Calibri"/>
        <w:sz w:val="22"/>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F124447"/>
    <w:multiLevelType w:val="singleLevel"/>
    <w:tmpl w:val="17EACCE4"/>
    <w:lvl w:ilvl="0">
      <w:start w:val="1"/>
      <w:numFmt w:val="bullet"/>
      <w:lvlText w:val=""/>
      <w:lvlJc w:val="left"/>
      <w:pPr>
        <w:tabs>
          <w:tab w:val="num" w:pos="360"/>
        </w:tabs>
        <w:ind w:left="360" w:hanging="360"/>
      </w:pPr>
      <w:rPr>
        <w:rFonts w:ascii="Wingdings" w:hAnsi="Wingdings" w:hint="default"/>
        <w:color w:val="auto"/>
      </w:rPr>
    </w:lvl>
  </w:abstractNum>
  <w:abstractNum w:abstractNumId="31" w15:restartNumberingAfterBreak="0">
    <w:nsid w:val="743C6D12"/>
    <w:multiLevelType w:val="hybridMultilevel"/>
    <w:tmpl w:val="13AE39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2D1FC5"/>
    <w:multiLevelType w:val="hybridMultilevel"/>
    <w:tmpl w:val="8B64F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71042F"/>
    <w:multiLevelType w:val="multilevel"/>
    <w:tmpl w:val="0D862778"/>
    <w:lvl w:ilvl="0">
      <w:start w:val="1"/>
      <w:numFmt w:val="decimal"/>
      <w:pStyle w:val="PlohaNadp1"/>
      <w:lvlText w:val="%1."/>
      <w:lvlJc w:val="left"/>
      <w:pPr>
        <w:ind w:left="432" w:hanging="432"/>
      </w:pPr>
      <w:rPr>
        <w:rFonts w:hint="default"/>
        <w:b/>
        <w:sz w:val="22"/>
      </w:rPr>
    </w:lvl>
    <w:lvl w:ilvl="1">
      <w:start w:val="1"/>
      <w:numFmt w:val="decimal"/>
      <w:pStyle w:val="PlohaNadp2"/>
      <w:lvlText w:val="%1.%2."/>
      <w:lvlJc w:val="left"/>
      <w:pPr>
        <w:ind w:left="576" w:hanging="576"/>
      </w:pPr>
      <w:rPr>
        <w:rFonts w:hint="default"/>
        <w:b w:val="0"/>
        <w:sz w:val="22"/>
        <w:szCs w:val="20"/>
      </w:rPr>
    </w:lvl>
    <w:lvl w:ilvl="2">
      <w:start w:val="1"/>
      <w:numFmt w:val="decimal"/>
      <w:pStyle w:val="PlohaNadp3"/>
      <w:lvlText w:val="%1.%2.%3."/>
      <w:lvlJc w:val="left"/>
      <w:pPr>
        <w:ind w:left="1418" w:hanging="851"/>
      </w:pPr>
      <w:rPr>
        <w:rFonts w:hint="default"/>
        <w:sz w:val="22"/>
        <w:szCs w:val="20"/>
      </w:rPr>
    </w:lvl>
    <w:lvl w:ilvl="3">
      <w:start w:val="1"/>
      <w:numFmt w:val="decimal"/>
      <w:lvlText w:val="%1.%2.%3.%4."/>
      <w:lvlJc w:val="left"/>
      <w:pPr>
        <w:ind w:left="864" w:hanging="864"/>
      </w:pPr>
      <w:rPr>
        <w:rFonts w:hint="default"/>
        <w:sz w:val="22"/>
      </w:rPr>
    </w:lvl>
    <w:lvl w:ilvl="4">
      <w:start w:val="1"/>
      <w:numFmt w:val="decimal"/>
      <w:lvlText w:val="%1.%2.%3.%4.%5"/>
      <w:lvlJc w:val="left"/>
      <w:pPr>
        <w:ind w:left="1008" w:hanging="1008"/>
      </w:pPr>
      <w:rPr>
        <w:rFonts w:hint="default"/>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D8A58EB"/>
    <w:multiLevelType w:val="hybridMultilevel"/>
    <w:tmpl w:val="824E881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01">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31"/>
  </w:num>
  <w:num w:numId="19">
    <w:abstractNumId w:val="25"/>
  </w:num>
  <w:num w:numId="20">
    <w:abstractNumId w:val="34"/>
  </w:num>
  <w:num w:numId="21">
    <w:abstractNumId w:val="23"/>
  </w:num>
  <w:num w:numId="22">
    <w:abstractNumId w:val="32"/>
  </w:num>
  <w:num w:numId="23">
    <w:abstractNumId w:val="16"/>
  </w:num>
  <w:num w:numId="24">
    <w:abstractNumId w:val="15"/>
  </w:num>
  <w:num w:numId="25">
    <w:abstractNumId w:val="29"/>
  </w:num>
  <w:num w:numId="26">
    <w:abstractNumId w:val="14"/>
  </w:num>
  <w:num w:numId="27">
    <w:abstractNumId w:val="10"/>
  </w:num>
  <w:num w:numId="28">
    <w:abstractNumId w:val="30"/>
  </w:num>
  <w:num w:numId="29">
    <w:abstractNumId w:val="27"/>
  </w:num>
  <w:num w:numId="30">
    <w:abstractNumId w:val="17"/>
  </w:num>
  <w:num w:numId="31">
    <w:abstractNumId w:val="18"/>
  </w:num>
  <w:num w:numId="32">
    <w:abstractNumId w:val="24"/>
  </w:num>
  <w:num w:numId="33">
    <w:abstractNumId w:val="11"/>
  </w:num>
  <w:num w:numId="34">
    <w:abstractNumId w:val="12"/>
  </w:num>
  <w:num w:numId="35">
    <w:abstractNumId w:val="28"/>
  </w:num>
  <w:num w:numId="36">
    <w:abstractNumId w:val="3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cs-CZ" w:vendorID="7" w:dllVersion="513" w:checkStyle="1"/>
  <w:activeWritingStyle w:appName="MSWord" w:lang="cs-CZ" w:vendorID="7" w:dllVersion="514" w:checkStyle="1"/>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8A"/>
    <w:rsid w:val="00001B0F"/>
    <w:rsid w:val="0000257B"/>
    <w:rsid w:val="0000258C"/>
    <w:rsid w:val="00004672"/>
    <w:rsid w:val="00004D14"/>
    <w:rsid w:val="00007674"/>
    <w:rsid w:val="0001121E"/>
    <w:rsid w:val="000200CC"/>
    <w:rsid w:val="00023DA0"/>
    <w:rsid w:val="00025622"/>
    <w:rsid w:val="00025CF1"/>
    <w:rsid w:val="000263BE"/>
    <w:rsid w:val="00037F54"/>
    <w:rsid w:val="00040657"/>
    <w:rsid w:val="0004132A"/>
    <w:rsid w:val="000418E0"/>
    <w:rsid w:val="000431ED"/>
    <w:rsid w:val="0004331A"/>
    <w:rsid w:val="00051F63"/>
    <w:rsid w:val="00057736"/>
    <w:rsid w:val="000619F9"/>
    <w:rsid w:val="000623EB"/>
    <w:rsid w:val="00063B6A"/>
    <w:rsid w:val="0006594B"/>
    <w:rsid w:val="00072F9E"/>
    <w:rsid w:val="0007408F"/>
    <w:rsid w:val="00080933"/>
    <w:rsid w:val="00093D2F"/>
    <w:rsid w:val="000963D4"/>
    <w:rsid w:val="000B1398"/>
    <w:rsid w:val="000D42DB"/>
    <w:rsid w:val="000E592B"/>
    <w:rsid w:val="000E6658"/>
    <w:rsid w:val="000E7946"/>
    <w:rsid w:val="000F358D"/>
    <w:rsid w:val="000F77EB"/>
    <w:rsid w:val="0010297C"/>
    <w:rsid w:val="00104AED"/>
    <w:rsid w:val="00110A2A"/>
    <w:rsid w:val="00115491"/>
    <w:rsid w:val="0012039F"/>
    <w:rsid w:val="001235CB"/>
    <w:rsid w:val="00133A3F"/>
    <w:rsid w:val="001403C4"/>
    <w:rsid w:val="001422FF"/>
    <w:rsid w:val="00142763"/>
    <w:rsid w:val="00142F4B"/>
    <w:rsid w:val="00143DB1"/>
    <w:rsid w:val="00146980"/>
    <w:rsid w:val="00163BB6"/>
    <w:rsid w:val="0016662E"/>
    <w:rsid w:val="00167C1C"/>
    <w:rsid w:val="00174E8F"/>
    <w:rsid w:val="00176F82"/>
    <w:rsid w:val="001773B6"/>
    <w:rsid w:val="001804F0"/>
    <w:rsid w:val="00180C6D"/>
    <w:rsid w:val="00185935"/>
    <w:rsid w:val="0018652B"/>
    <w:rsid w:val="001924D6"/>
    <w:rsid w:val="001A57EF"/>
    <w:rsid w:val="001A6DB0"/>
    <w:rsid w:val="001B09A4"/>
    <w:rsid w:val="001B45C2"/>
    <w:rsid w:val="001B550C"/>
    <w:rsid w:val="001B7C1A"/>
    <w:rsid w:val="001C034C"/>
    <w:rsid w:val="001C1077"/>
    <w:rsid w:val="001C2169"/>
    <w:rsid w:val="001D4582"/>
    <w:rsid w:val="001D5B7D"/>
    <w:rsid w:val="001D7ED2"/>
    <w:rsid w:val="001E3710"/>
    <w:rsid w:val="001F0806"/>
    <w:rsid w:val="001F3CA3"/>
    <w:rsid w:val="001F7558"/>
    <w:rsid w:val="002023F9"/>
    <w:rsid w:val="00202B68"/>
    <w:rsid w:val="002055FE"/>
    <w:rsid w:val="002059BF"/>
    <w:rsid w:val="002069D0"/>
    <w:rsid w:val="002116E6"/>
    <w:rsid w:val="0021556C"/>
    <w:rsid w:val="00216D8A"/>
    <w:rsid w:val="002429F6"/>
    <w:rsid w:val="00242D9C"/>
    <w:rsid w:val="00246757"/>
    <w:rsid w:val="00247F1F"/>
    <w:rsid w:val="00255E09"/>
    <w:rsid w:val="00257B98"/>
    <w:rsid w:val="002622A3"/>
    <w:rsid w:val="0026651B"/>
    <w:rsid w:val="00266A21"/>
    <w:rsid w:val="00267C49"/>
    <w:rsid w:val="00272A32"/>
    <w:rsid w:val="0027345D"/>
    <w:rsid w:val="00277F02"/>
    <w:rsid w:val="002879FC"/>
    <w:rsid w:val="00291E50"/>
    <w:rsid w:val="002B0884"/>
    <w:rsid w:val="002B4493"/>
    <w:rsid w:val="002B6F5F"/>
    <w:rsid w:val="002C08B7"/>
    <w:rsid w:val="002C3578"/>
    <w:rsid w:val="002D3ED5"/>
    <w:rsid w:val="002E01F5"/>
    <w:rsid w:val="002E5098"/>
    <w:rsid w:val="002F0F05"/>
    <w:rsid w:val="002F0FEB"/>
    <w:rsid w:val="002F3065"/>
    <w:rsid w:val="002F63C4"/>
    <w:rsid w:val="00303701"/>
    <w:rsid w:val="003053DF"/>
    <w:rsid w:val="0031235C"/>
    <w:rsid w:val="00314261"/>
    <w:rsid w:val="00317759"/>
    <w:rsid w:val="00320499"/>
    <w:rsid w:val="00321CDD"/>
    <w:rsid w:val="00322B3C"/>
    <w:rsid w:val="003233A3"/>
    <w:rsid w:val="00340D60"/>
    <w:rsid w:val="00342D00"/>
    <w:rsid w:val="00343DAB"/>
    <w:rsid w:val="0034724B"/>
    <w:rsid w:val="00347BA4"/>
    <w:rsid w:val="003574C7"/>
    <w:rsid w:val="0036362D"/>
    <w:rsid w:val="003644AE"/>
    <w:rsid w:val="003705F6"/>
    <w:rsid w:val="003730F3"/>
    <w:rsid w:val="003731E5"/>
    <w:rsid w:val="00384F85"/>
    <w:rsid w:val="00386B28"/>
    <w:rsid w:val="00387DAF"/>
    <w:rsid w:val="00387DD9"/>
    <w:rsid w:val="00387F6F"/>
    <w:rsid w:val="00396FCF"/>
    <w:rsid w:val="003A3400"/>
    <w:rsid w:val="003A513E"/>
    <w:rsid w:val="003C0250"/>
    <w:rsid w:val="003C1DA2"/>
    <w:rsid w:val="003C3AEE"/>
    <w:rsid w:val="003D7DC5"/>
    <w:rsid w:val="003E5B7C"/>
    <w:rsid w:val="003E6F05"/>
    <w:rsid w:val="003F297A"/>
    <w:rsid w:val="003F406B"/>
    <w:rsid w:val="00400341"/>
    <w:rsid w:val="004004BD"/>
    <w:rsid w:val="00403873"/>
    <w:rsid w:val="00405CE6"/>
    <w:rsid w:val="0040672D"/>
    <w:rsid w:val="004149F6"/>
    <w:rsid w:val="00416DC5"/>
    <w:rsid w:val="00422C86"/>
    <w:rsid w:val="00423622"/>
    <w:rsid w:val="00423B1C"/>
    <w:rsid w:val="00424ECA"/>
    <w:rsid w:val="00426682"/>
    <w:rsid w:val="004352C9"/>
    <w:rsid w:val="00441406"/>
    <w:rsid w:val="004530C3"/>
    <w:rsid w:val="004611BA"/>
    <w:rsid w:val="00464D19"/>
    <w:rsid w:val="004715F9"/>
    <w:rsid w:val="00474AC4"/>
    <w:rsid w:val="00476176"/>
    <w:rsid w:val="00477357"/>
    <w:rsid w:val="00480C21"/>
    <w:rsid w:val="00491091"/>
    <w:rsid w:val="004A1BE4"/>
    <w:rsid w:val="004A29E2"/>
    <w:rsid w:val="004A38AB"/>
    <w:rsid w:val="004A5033"/>
    <w:rsid w:val="004B3047"/>
    <w:rsid w:val="004B33E1"/>
    <w:rsid w:val="004B472B"/>
    <w:rsid w:val="004C4261"/>
    <w:rsid w:val="004C650B"/>
    <w:rsid w:val="004D0E91"/>
    <w:rsid w:val="004D37D3"/>
    <w:rsid w:val="004D5063"/>
    <w:rsid w:val="004D62EA"/>
    <w:rsid w:val="004E5720"/>
    <w:rsid w:val="004E70F6"/>
    <w:rsid w:val="004F547E"/>
    <w:rsid w:val="00502E6B"/>
    <w:rsid w:val="005069F6"/>
    <w:rsid w:val="00512617"/>
    <w:rsid w:val="00514C1C"/>
    <w:rsid w:val="00523070"/>
    <w:rsid w:val="00524F42"/>
    <w:rsid w:val="0052514A"/>
    <w:rsid w:val="00525991"/>
    <w:rsid w:val="00527109"/>
    <w:rsid w:val="00527C3B"/>
    <w:rsid w:val="0053476C"/>
    <w:rsid w:val="00540383"/>
    <w:rsid w:val="005472F1"/>
    <w:rsid w:val="0055178D"/>
    <w:rsid w:val="00553084"/>
    <w:rsid w:val="005563C7"/>
    <w:rsid w:val="0055785F"/>
    <w:rsid w:val="00557AA5"/>
    <w:rsid w:val="0057252A"/>
    <w:rsid w:val="005727F3"/>
    <w:rsid w:val="00582464"/>
    <w:rsid w:val="00582558"/>
    <w:rsid w:val="005867E5"/>
    <w:rsid w:val="00587799"/>
    <w:rsid w:val="00587A2B"/>
    <w:rsid w:val="00593525"/>
    <w:rsid w:val="00596D8A"/>
    <w:rsid w:val="005A1335"/>
    <w:rsid w:val="005A3378"/>
    <w:rsid w:val="005A7CB3"/>
    <w:rsid w:val="005B117E"/>
    <w:rsid w:val="005B15EF"/>
    <w:rsid w:val="005B3FE4"/>
    <w:rsid w:val="005B5CE0"/>
    <w:rsid w:val="005C1FAB"/>
    <w:rsid w:val="005D250C"/>
    <w:rsid w:val="005D376C"/>
    <w:rsid w:val="005D3E7D"/>
    <w:rsid w:val="005D6B64"/>
    <w:rsid w:val="005D76E7"/>
    <w:rsid w:val="005E5044"/>
    <w:rsid w:val="005E6CFB"/>
    <w:rsid w:val="005F5524"/>
    <w:rsid w:val="00600B36"/>
    <w:rsid w:val="006010F2"/>
    <w:rsid w:val="00612A27"/>
    <w:rsid w:val="006147C4"/>
    <w:rsid w:val="00615C16"/>
    <w:rsid w:val="006212C5"/>
    <w:rsid w:val="00621D93"/>
    <w:rsid w:val="00623941"/>
    <w:rsid w:val="0064116C"/>
    <w:rsid w:val="00643320"/>
    <w:rsid w:val="006465A5"/>
    <w:rsid w:val="006544FD"/>
    <w:rsid w:val="006615FC"/>
    <w:rsid w:val="00671EB4"/>
    <w:rsid w:val="006741F8"/>
    <w:rsid w:val="00682582"/>
    <w:rsid w:val="00682DA3"/>
    <w:rsid w:val="006862A5"/>
    <w:rsid w:val="006862C6"/>
    <w:rsid w:val="006864F3"/>
    <w:rsid w:val="006905FA"/>
    <w:rsid w:val="00690CCC"/>
    <w:rsid w:val="00695E92"/>
    <w:rsid w:val="0069782B"/>
    <w:rsid w:val="006A07D6"/>
    <w:rsid w:val="006A46A2"/>
    <w:rsid w:val="006A477C"/>
    <w:rsid w:val="006A596D"/>
    <w:rsid w:val="006C2310"/>
    <w:rsid w:val="006C2B80"/>
    <w:rsid w:val="006C4886"/>
    <w:rsid w:val="006C5E80"/>
    <w:rsid w:val="006C64F8"/>
    <w:rsid w:val="006D177E"/>
    <w:rsid w:val="006D55D1"/>
    <w:rsid w:val="006E2D7E"/>
    <w:rsid w:val="006E6188"/>
    <w:rsid w:val="006F0973"/>
    <w:rsid w:val="006F7E27"/>
    <w:rsid w:val="0070381A"/>
    <w:rsid w:val="007049B4"/>
    <w:rsid w:val="00705E8E"/>
    <w:rsid w:val="007149F5"/>
    <w:rsid w:val="007153C0"/>
    <w:rsid w:val="00716604"/>
    <w:rsid w:val="00724904"/>
    <w:rsid w:val="0072697B"/>
    <w:rsid w:val="00731562"/>
    <w:rsid w:val="00734F88"/>
    <w:rsid w:val="00737853"/>
    <w:rsid w:val="00741E3B"/>
    <w:rsid w:val="00744C7A"/>
    <w:rsid w:val="00750442"/>
    <w:rsid w:val="00751035"/>
    <w:rsid w:val="00751E82"/>
    <w:rsid w:val="00752F20"/>
    <w:rsid w:val="007617ED"/>
    <w:rsid w:val="00761A41"/>
    <w:rsid w:val="00767F53"/>
    <w:rsid w:val="00770296"/>
    <w:rsid w:val="00774053"/>
    <w:rsid w:val="00780451"/>
    <w:rsid w:val="00786385"/>
    <w:rsid w:val="007870F2"/>
    <w:rsid w:val="00794E4F"/>
    <w:rsid w:val="0079715F"/>
    <w:rsid w:val="007A13CA"/>
    <w:rsid w:val="007A42E2"/>
    <w:rsid w:val="007B5E6B"/>
    <w:rsid w:val="007B65FF"/>
    <w:rsid w:val="007C132A"/>
    <w:rsid w:val="007C24B2"/>
    <w:rsid w:val="007C373E"/>
    <w:rsid w:val="007C52A8"/>
    <w:rsid w:val="007C660D"/>
    <w:rsid w:val="007D43D2"/>
    <w:rsid w:val="007D4559"/>
    <w:rsid w:val="007D6955"/>
    <w:rsid w:val="007E47EF"/>
    <w:rsid w:val="007F63D0"/>
    <w:rsid w:val="007F7DBC"/>
    <w:rsid w:val="008020A3"/>
    <w:rsid w:val="00807A9F"/>
    <w:rsid w:val="00811138"/>
    <w:rsid w:val="00816259"/>
    <w:rsid w:val="0081670B"/>
    <w:rsid w:val="00820A3A"/>
    <w:rsid w:val="00821DBB"/>
    <w:rsid w:val="00825DD3"/>
    <w:rsid w:val="008322A1"/>
    <w:rsid w:val="008344C8"/>
    <w:rsid w:val="00834964"/>
    <w:rsid w:val="0083533F"/>
    <w:rsid w:val="008370E0"/>
    <w:rsid w:val="0083724E"/>
    <w:rsid w:val="00841B20"/>
    <w:rsid w:val="008423FF"/>
    <w:rsid w:val="00844597"/>
    <w:rsid w:val="00847347"/>
    <w:rsid w:val="0084735F"/>
    <w:rsid w:val="00847783"/>
    <w:rsid w:val="00850079"/>
    <w:rsid w:val="00850E6E"/>
    <w:rsid w:val="00851534"/>
    <w:rsid w:val="008610F0"/>
    <w:rsid w:val="00861CEF"/>
    <w:rsid w:val="00864715"/>
    <w:rsid w:val="0087354B"/>
    <w:rsid w:val="00876E1D"/>
    <w:rsid w:val="00881B18"/>
    <w:rsid w:val="00881C20"/>
    <w:rsid w:val="00882E94"/>
    <w:rsid w:val="008958D8"/>
    <w:rsid w:val="00897D6F"/>
    <w:rsid w:val="008A2E5B"/>
    <w:rsid w:val="008A547E"/>
    <w:rsid w:val="008A7FD8"/>
    <w:rsid w:val="008B160B"/>
    <w:rsid w:val="008B1622"/>
    <w:rsid w:val="008B6E16"/>
    <w:rsid w:val="008C2360"/>
    <w:rsid w:val="008C486B"/>
    <w:rsid w:val="008C766A"/>
    <w:rsid w:val="008D49B8"/>
    <w:rsid w:val="008D52FD"/>
    <w:rsid w:val="008E7C36"/>
    <w:rsid w:val="008F6CE7"/>
    <w:rsid w:val="009011C1"/>
    <w:rsid w:val="00905022"/>
    <w:rsid w:val="009107BD"/>
    <w:rsid w:val="00910B59"/>
    <w:rsid w:val="0091186A"/>
    <w:rsid w:val="00912F0A"/>
    <w:rsid w:val="009226C0"/>
    <w:rsid w:val="0093272D"/>
    <w:rsid w:val="00933D91"/>
    <w:rsid w:val="00934999"/>
    <w:rsid w:val="00936526"/>
    <w:rsid w:val="00937156"/>
    <w:rsid w:val="00953C6C"/>
    <w:rsid w:val="0095537B"/>
    <w:rsid w:val="009629F1"/>
    <w:rsid w:val="00962BC2"/>
    <w:rsid w:val="0096769B"/>
    <w:rsid w:val="009677C5"/>
    <w:rsid w:val="00972FAB"/>
    <w:rsid w:val="0097418B"/>
    <w:rsid w:val="00975937"/>
    <w:rsid w:val="009825A0"/>
    <w:rsid w:val="00982AB7"/>
    <w:rsid w:val="0098790C"/>
    <w:rsid w:val="009A0F0E"/>
    <w:rsid w:val="009A775F"/>
    <w:rsid w:val="009B0437"/>
    <w:rsid w:val="009B3951"/>
    <w:rsid w:val="009B3994"/>
    <w:rsid w:val="009B41AE"/>
    <w:rsid w:val="009B6075"/>
    <w:rsid w:val="009C61B4"/>
    <w:rsid w:val="009C7C67"/>
    <w:rsid w:val="009D0281"/>
    <w:rsid w:val="009D0629"/>
    <w:rsid w:val="009D1627"/>
    <w:rsid w:val="009D1DA0"/>
    <w:rsid w:val="009D439A"/>
    <w:rsid w:val="009D74F5"/>
    <w:rsid w:val="009E5ED7"/>
    <w:rsid w:val="009E70A9"/>
    <w:rsid w:val="009F3490"/>
    <w:rsid w:val="009F752F"/>
    <w:rsid w:val="009F7F09"/>
    <w:rsid w:val="00A0491D"/>
    <w:rsid w:val="00A04DBC"/>
    <w:rsid w:val="00A0594E"/>
    <w:rsid w:val="00A05E0A"/>
    <w:rsid w:val="00A07DEB"/>
    <w:rsid w:val="00A07FF3"/>
    <w:rsid w:val="00A10C2C"/>
    <w:rsid w:val="00A13C08"/>
    <w:rsid w:val="00A27F83"/>
    <w:rsid w:val="00A336F5"/>
    <w:rsid w:val="00A33777"/>
    <w:rsid w:val="00A35721"/>
    <w:rsid w:val="00A35F1C"/>
    <w:rsid w:val="00A37977"/>
    <w:rsid w:val="00A56CE0"/>
    <w:rsid w:val="00A70D5F"/>
    <w:rsid w:val="00A71B6F"/>
    <w:rsid w:val="00A7203E"/>
    <w:rsid w:val="00A7330A"/>
    <w:rsid w:val="00A75A67"/>
    <w:rsid w:val="00A80043"/>
    <w:rsid w:val="00A80151"/>
    <w:rsid w:val="00A81D60"/>
    <w:rsid w:val="00A82981"/>
    <w:rsid w:val="00A8361B"/>
    <w:rsid w:val="00A83BB6"/>
    <w:rsid w:val="00A84824"/>
    <w:rsid w:val="00A84B36"/>
    <w:rsid w:val="00A92B12"/>
    <w:rsid w:val="00A94B16"/>
    <w:rsid w:val="00AA1A53"/>
    <w:rsid w:val="00AA28A6"/>
    <w:rsid w:val="00AA58A1"/>
    <w:rsid w:val="00AB1197"/>
    <w:rsid w:val="00AB3256"/>
    <w:rsid w:val="00AB4099"/>
    <w:rsid w:val="00AC1283"/>
    <w:rsid w:val="00AC146B"/>
    <w:rsid w:val="00AC3FC7"/>
    <w:rsid w:val="00AC662D"/>
    <w:rsid w:val="00AE22E2"/>
    <w:rsid w:val="00AE437F"/>
    <w:rsid w:val="00AE43C7"/>
    <w:rsid w:val="00AE728C"/>
    <w:rsid w:val="00AE750C"/>
    <w:rsid w:val="00AF1915"/>
    <w:rsid w:val="00AF3242"/>
    <w:rsid w:val="00AF3D49"/>
    <w:rsid w:val="00AF58E0"/>
    <w:rsid w:val="00B00855"/>
    <w:rsid w:val="00B05856"/>
    <w:rsid w:val="00B05DEC"/>
    <w:rsid w:val="00B06928"/>
    <w:rsid w:val="00B11E6E"/>
    <w:rsid w:val="00B15A4C"/>
    <w:rsid w:val="00B21CD9"/>
    <w:rsid w:val="00B22391"/>
    <w:rsid w:val="00B2246B"/>
    <w:rsid w:val="00B22485"/>
    <w:rsid w:val="00B231E8"/>
    <w:rsid w:val="00B267D1"/>
    <w:rsid w:val="00B27780"/>
    <w:rsid w:val="00B32A64"/>
    <w:rsid w:val="00B40C29"/>
    <w:rsid w:val="00B44B54"/>
    <w:rsid w:val="00B5192D"/>
    <w:rsid w:val="00B66DFF"/>
    <w:rsid w:val="00B72908"/>
    <w:rsid w:val="00B753E0"/>
    <w:rsid w:val="00B84897"/>
    <w:rsid w:val="00B84D10"/>
    <w:rsid w:val="00B8679F"/>
    <w:rsid w:val="00B92400"/>
    <w:rsid w:val="00B9341D"/>
    <w:rsid w:val="00B93D51"/>
    <w:rsid w:val="00BA0751"/>
    <w:rsid w:val="00BA1328"/>
    <w:rsid w:val="00BA21DE"/>
    <w:rsid w:val="00BB2866"/>
    <w:rsid w:val="00BB4352"/>
    <w:rsid w:val="00BC13CE"/>
    <w:rsid w:val="00BD32A3"/>
    <w:rsid w:val="00BD5821"/>
    <w:rsid w:val="00BD5F26"/>
    <w:rsid w:val="00BF0F38"/>
    <w:rsid w:val="00BF3DF7"/>
    <w:rsid w:val="00C002C3"/>
    <w:rsid w:val="00C060E0"/>
    <w:rsid w:val="00C1077A"/>
    <w:rsid w:val="00C111D9"/>
    <w:rsid w:val="00C14D6E"/>
    <w:rsid w:val="00C22BA3"/>
    <w:rsid w:val="00C23175"/>
    <w:rsid w:val="00C24FD0"/>
    <w:rsid w:val="00C32EBD"/>
    <w:rsid w:val="00C34042"/>
    <w:rsid w:val="00C3638D"/>
    <w:rsid w:val="00C37F15"/>
    <w:rsid w:val="00C40AF1"/>
    <w:rsid w:val="00C40DCD"/>
    <w:rsid w:val="00C473EA"/>
    <w:rsid w:val="00C47821"/>
    <w:rsid w:val="00C51244"/>
    <w:rsid w:val="00C530C0"/>
    <w:rsid w:val="00C662BD"/>
    <w:rsid w:val="00C71AFD"/>
    <w:rsid w:val="00C73A2B"/>
    <w:rsid w:val="00C73AC2"/>
    <w:rsid w:val="00C82852"/>
    <w:rsid w:val="00C87667"/>
    <w:rsid w:val="00C91E83"/>
    <w:rsid w:val="00CA3952"/>
    <w:rsid w:val="00CA481D"/>
    <w:rsid w:val="00CB28A6"/>
    <w:rsid w:val="00CB632C"/>
    <w:rsid w:val="00CB690D"/>
    <w:rsid w:val="00CC0C0F"/>
    <w:rsid w:val="00CC14F9"/>
    <w:rsid w:val="00CC1DB5"/>
    <w:rsid w:val="00CC5683"/>
    <w:rsid w:val="00CC7277"/>
    <w:rsid w:val="00CE4D0F"/>
    <w:rsid w:val="00CF3A69"/>
    <w:rsid w:val="00D011B5"/>
    <w:rsid w:val="00D01402"/>
    <w:rsid w:val="00D02C0F"/>
    <w:rsid w:val="00D1049F"/>
    <w:rsid w:val="00D10B63"/>
    <w:rsid w:val="00D11E00"/>
    <w:rsid w:val="00D14EEB"/>
    <w:rsid w:val="00D16192"/>
    <w:rsid w:val="00D20FFD"/>
    <w:rsid w:val="00D21163"/>
    <w:rsid w:val="00D25D08"/>
    <w:rsid w:val="00D326F8"/>
    <w:rsid w:val="00D367B5"/>
    <w:rsid w:val="00D40B9B"/>
    <w:rsid w:val="00D42CC8"/>
    <w:rsid w:val="00D432AE"/>
    <w:rsid w:val="00D438E0"/>
    <w:rsid w:val="00D52CD2"/>
    <w:rsid w:val="00D54B0A"/>
    <w:rsid w:val="00D605A9"/>
    <w:rsid w:val="00D60A78"/>
    <w:rsid w:val="00D648BF"/>
    <w:rsid w:val="00D71244"/>
    <w:rsid w:val="00D740D1"/>
    <w:rsid w:val="00D74165"/>
    <w:rsid w:val="00D752F2"/>
    <w:rsid w:val="00D806AC"/>
    <w:rsid w:val="00D812AF"/>
    <w:rsid w:val="00D856A8"/>
    <w:rsid w:val="00D92264"/>
    <w:rsid w:val="00DA3CEB"/>
    <w:rsid w:val="00DA48C2"/>
    <w:rsid w:val="00DA5101"/>
    <w:rsid w:val="00DA6301"/>
    <w:rsid w:val="00DB3B06"/>
    <w:rsid w:val="00DB6193"/>
    <w:rsid w:val="00DC52F7"/>
    <w:rsid w:val="00DC5DA5"/>
    <w:rsid w:val="00DE2267"/>
    <w:rsid w:val="00DF580B"/>
    <w:rsid w:val="00DF61F8"/>
    <w:rsid w:val="00DF6E39"/>
    <w:rsid w:val="00E00CFE"/>
    <w:rsid w:val="00E01298"/>
    <w:rsid w:val="00E0172A"/>
    <w:rsid w:val="00E0308E"/>
    <w:rsid w:val="00E10970"/>
    <w:rsid w:val="00E1140D"/>
    <w:rsid w:val="00E17E4E"/>
    <w:rsid w:val="00E21368"/>
    <w:rsid w:val="00E22A1E"/>
    <w:rsid w:val="00E40353"/>
    <w:rsid w:val="00E436CE"/>
    <w:rsid w:val="00E50BD6"/>
    <w:rsid w:val="00E609FB"/>
    <w:rsid w:val="00E65F85"/>
    <w:rsid w:val="00E66559"/>
    <w:rsid w:val="00E674C4"/>
    <w:rsid w:val="00E709F0"/>
    <w:rsid w:val="00E72796"/>
    <w:rsid w:val="00E7311B"/>
    <w:rsid w:val="00E747E5"/>
    <w:rsid w:val="00E74BA8"/>
    <w:rsid w:val="00E84622"/>
    <w:rsid w:val="00E92FAF"/>
    <w:rsid w:val="00E93A73"/>
    <w:rsid w:val="00E944A9"/>
    <w:rsid w:val="00E971A3"/>
    <w:rsid w:val="00EA0404"/>
    <w:rsid w:val="00EA423F"/>
    <w:rsid w:val="00EA4559"/>
    <w:rsid w:val="00EB0B53"/>
    <w:rsid w:val="00EB3B97"/>
    <w:rsid w:val="00EB3EFB"/>
    <w:rsid w:val="00EB7276"/>
    <w:rsid w:val="00EC178F"/>
    <w:rsid w:val="00EC1C89"/>
    <w:rsid w:val="00EC679E"/>
    <w:rsid w:val="00EC771A"/>
    <w:rsid w:val="00ED050D"/>
    <w:rsid w:val="00EE1B73"/>
    <w:rsid w:val="00EE1B8D"/>
    <w:rsid w:val="00EE44E9"/>
    <w:rsid w:val="00EF5D35"/>
    <w:rsid w:val="00F028C4"/>
    <w:rsid w:val="00F048F5"/>
    <w:rsid w:val="00F068F2"/>
    <w:rsid w:val="00F15F44"/>
    <w:rsid w:val="00F1791B"/>
    <w:rsid w:val="00F21731"/>
    <w:rsid w:val="00F22C61"/>
    <w:rsid w:val="00F35DB7"/>
    <w:rsid w:val="00F377FC"/>
    <w:rsid w:val="00F40111"/>
    <w:rsid w:val="00F41767"/>
    <w:rsid w:val="00F51A9E"/>
    <w:rsid w:val="00F55473"/>
    <w:rsid w:val="00F5757B"/>
    <w:rsid w:val="00F62283"/>
    <w:rsid w:val="00F66E0D"/>
    <w:rsid w:val="00F71A18"/>
    <w:rsid w:val="00F7503A"/>
    <w:rsid w:val="00F77508"/>
    <w:rsid w:val="00F82967"/>
    <w:rsid w:val="00F84407"/>
    <w:rsid w:val="00F904BE"/>
    <w:rsid w:val="00F933B2"/>
    <w:rsid w:val="00FA06CD"/>
    <w:rsid w:val="00FA565A"/>
    <w:rsid w:val="00FA6BB6"/>
    <w:rsid w:val="00FA7610"/>
    <w:rsid w:val="00FA7735"/>
    <w:rsid w:val="00FB59AC"/>
    <w:rsid w:val="00FC125B"/>
    <w:rsid w:val="00FC2D3A"/>
    <w:rsid w:val="00FC630E"/>
    <w:rsid w:val="00FC7021"/>
    <w:rsid w:val="00FD26B2"/>
    <w:rsid w:val="00FD2C13"/>
    <w:rsid w:val="00FD58A9"/>
    <w:rsid w:val="00FD6233"/>
    <w:rsid w:val="00FD6662"/>
    <w:rsid w:val="00FD789A"/>
    <w:rsid w:val="00FD7BDA"/>
    <w:rsid w:val="00FE0E89"/>
    <w:rsid w:val="00FE3C67"/>
    <w:rsid w:val="00FE4CC2"/>
    <w:rsid w:val="00FE6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5B4E1"/>
  <w15:chartTrackingRefBased/>
  <w15:docId w15:val="{8A5B47B2-CFCB-49FC-8F78-4D78F30C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uiPriority="3" w:qFormat="1"/>
    <w:lsdException w:name="heading 3" w:uiPriority="4" w:qFormat="1"/>
    <w:lsdException w:name="heading 4" w:uiPriority="9"/>
    <w:lsdException w:name="heading 5" w:uiPriority="0"/>
    <w:lsdException w:name="heading 6" w:uiPriority="0"/>
    <w:lsdException w:name="heading 7" w:uiPriority="0"/>
    <w:lsdException w:name="heading 8" w:uiPriority="0"/>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5098"/>
    <w:rPr>
      <w:rFonts w:ascii="Calibri" w:hAnsi="Calibri"/>
      <w:sz w:val="22"/>
    </w:rPr>
  </w:style>
  <w:style w:type="paragraph" w:styleId="Nadpis1">
    <w:name w:val="heading 1"/>
    <w:aliases w:val="Nadpis 1_Smlouvy"/>
    <w:basedOn w:val="Normln"/>
    <w:next w:val="Normln"/>
    <w:autoRedefine/>
    <w:uiPriority w:val="2"/>
    <w:qFormat/>
    <w:rsid w:val="002055FE"/>
    <w:pPr>
      <w:numPr>
        <w:numId w:val="6"/>
      </w:numPr>
      <w:spacing w:after="120"/>
      <w:jc w:val="center"/>
      <w:outlineLvl w:val="0"/>
    </w:pPr>
    <w:rPr>
      <w:rFonts w:cs="Arial"/>
      <w:b/>
      <w:szCs w:val="22"/>
    </w:rPr>
  </w:style>
  <w:style w:type="paragraph" w:styleId="Nadpis2">
    <w:name w:val="heading 2"/>
    <w:aliases w:val="Nadpis 2_Smlouvy"/>
    <w:basedOn w:val="Normln"/>
    <w:next w:val="Normln"/>
    <w:uiPriority w:val="3"/>
    <w:qFormat/>
    <w:rsid w:val="00E50BD6"/>
    <w:pPr>
      <w:numPr>
        <w:ilvl w:val="1"/>
        <w:numId w:val="6"/>
      </w:numPr>
      <w:spacing w:after="120"/>
      <w:jc w:val="both"/>
      <w:outlineLvl w:val="1"/>
    </w:pPr>
    <w:rPr>
      <w:rFonts w:cs="Arial"/>
      <w:szCs w:val="22"/>
    </w:rPr>
  </w:style>
  <w:style w:type="paragraph" w:styleId="Nadpis3">
    <w:name w:val="heading 3"/>
    <w:aliases w:val="sp_Nadpis 3,F3,Nadpis 3_Smlouvy"/>
    <w:basedOn w:val="Normln"/>
    <w:next w:val="Normln"/>
    <w:autoRedefine/>
    <w:uiPriority w:val="4"/>
    <w:qFormat/>
    <w:rsid w:val="000623EB"/>
    <w:pPr>
      <w:numPr>
        <w:ilvl w:val="2"/>
        <w:numId w:val="6"/>
      </w:numPr>
      <w:spacing w:after="120"/>
      <w:jc w:val="both"/>
      <w:outlineLvl w:val="2"/>
    </w:pPr>
    <w:rPr>
      <w:rFonts w:cs="Arial"/>
      <w:szCs w:val="22"/>
    </w:rPr>
  </w:style>
  <w:style w:type="paragraph" w:styleId="Nadpis4">
    <w:name w:val="heading 4"/>
    <w:basedOn w:val="Normln"/>
    <w:next w:val="Normln"/>
    <w:autoRedefine/>
    <w:rsid w:val="000623EB"/>
    <w:pPr>
      <w:keepNext/>
      <w:numPr>
        <w:ilvl w:val="3"/>
        <w:numId w:val="6"/>
      </w:numPr>
      <w:spacing w:after="120"/>
      <w:jc w:val="both"/>
      <w:outlineLvl w:val="3"/>
    </w:pPr>
    <w:rPr>
      <w:rFonts w:asciiTheme="minorHAnsi" w:hAnsiTheme="minorHAnsi" w:cstheme="minorHAnsi"/>
      <w:szCs w:val="22"/>
    </w:rPr>
  </w:style>
  <w:style w:type="paragraph" w:styleId="Nadpis5">
    <w:name w:val="heading 5"/>
    <w:basedOn w:val="Normln"/>
    <w:next w:val="Normln"/>
    <w:autoRedefine/>
    <w:pPr>
      <w:numPr>
        <w:ilvl w:val="4"/>
        <w:numId w:val="6"/>
      </w:numPr>
      <w:spacing w:before="240" w:after="60"/>
      <w:outlineLvl w:val="4"/>
    </w:pPr>
    <w:rPr>
      <w:rFonts w:ascii="Verdana" w:hAnsi="Verdana"/>
      <w:b/>
      <w:bCs/>
      <w:iCs/>
      <w:szCs w:val="26"/>
    </w:rPr>
  </w:style>
  <w:style w:type="paragraph" w:styleId="Nadpis6">
    <w:name w:val="heading 6"/>
    <w:basedOn w:val="Normln"/>
    <w:next w:val="Normln"/>
    <w:autoRedefine/>
    <w:pPr>
      <w:numPr>
        <w:ilvl w:val="5"/>
        <w:numId w:val="6"/>
      </w:numPr>
      <w:spacing w:before="240" w:after="60"/>
      <w:outlineLvl w:val="5"/>
    </w:pPr>
    <w:rPr>
      <w:rFonts w:ascii="Verdana" w:hAnsi="Verdana"/>
      <w:bCs/>
      <w:szCs w:val="22"/>
      <w:u w:val="single"/>
    </w:rPr>
  </w:style>
  <w:style w:type="paragraph" w:styleId="Nadpis7">
    <w:name w:val="heading 7"/>
    <w:basedOn w:val="Normln"/>
    <w:next w:val="Normln"/>
    <w:autoRedefine/>
    <w:pPr>
      <w:numPr>
        <w:ilvl w:val="6"/>
        <w:numId w:val="6"/>
      </w:numPr>
      <w:spacing w:before="240" w:after="60"/>
      <w:outlineLvl w:val="6"/>
    </w:pPr>
    <w:rPr>
      <w:rFonts w:ascii="Verdana" w:hAnsi="Verdana"/>
    </w:rPr>
  </w:style>
  <w:style w:type="paragraph" w:styleId="Nadpis8">
    <w:name w:val="heading 8"/>
    <w:basedOn w:val="Normln"/>
    <w:next w:val="Normln"/>
    <w:autoRedefine/>
    <w:pPr>
      <w:numPr>
        <w:ilvl w:val="7"/>
        <w:numId w:val="6"/>
      </w:numPr>
      <w:spacing w:before="240" w:after="60"/>
      <w:outlineLvl w:val="7"/>
    </w:pPr>
    <w:rPr>
      <w:rFonts w:ascii="Verdana" w:hAnsi="Verdana"/>
      <w:i/>
      <w:iCs/>
    </w:rPr>
  </w:style>
  <w:style w:type="paragraph" w:styleId="Nadpis9">
    <w:name w:val="heading 9"/>
    <w:basedOn w:val="Normln"/>
    <w:next w:val="Normln"/>
    <w:autoRedefine/>
    <w:pPr>
      <w:tabs>
        <w:tab w:val="num" w:pos="1584"/>
      </w:tabs>
      <w:spacing w:before="240" w:after="60"/>
      <w:ind w:left="1584" w:hanging="1584"/>
      <w:outlineLvl w:val="8"/>
    </w:pPr>
    <w:rPr>
      <w:rFonts w:ascii="Verdana" w:hAnsi="Verdana"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HTML">
    <w:name w:val="HTML Address"/>
    <w:basedOn w:val="Normln"/>
    <w:autoRedefine/>
    <w:semiHidden/>
    <w:rPr>
      <w:rFonts w:ascii="Verdana" w:hAnsi="Verdana"/>
      <w:iCs/>
    </w:rPr>
  </w:style>
  <w:style w:type="character" w:styleId="AkronymHTML">
    <w:name w:val="HTML Acronym"/>
    <w:semiHidden/>
    <w:rPr>
      <w:rFonts w:ascii="Verdana" w:hAnsi="Verdana"/>
    </w:rPr>
  </w:style>
  <w:style w:type="paragraph" w:customStyle="1" w:styleId="Cena">
    <w:name w:val="Cena"/>
    <w:basedOn w:val="Normln"/>
    <w:autoRedefine/>
    <w:uiPriority w:val="99"/>
    <w:semiHidden/>
    <w:pPr>
      <w:tabs>
        <w:tab w:val="right" w:pos="8789"/>
      </w:tabs>
    </w:pPr>
    <w:rPr>
      <w:rFonts w:ascii="Verdana" w:hAnsi="Verdana"/>
    </w:rPr>
  </w:style>
  <w:style w:type="character" w:styleId="CittHTML">
    <w:name w:val="HTML Cite"/>
    <w:semiHidden/>
    <w:rPr>
      <w:rFonts w:ascii="Verdana" w:hAnsi="Verdana"/>
      <w:iCs/>
    </w:rPr>
  </w:style>
  <w:style w:type="character" w:styleId="slodku">
    <w:name w:val="line number"/>
    <w:semiHidden/>
    <w:rPr>
      <w:rFonts w:ascii="Verdana" w:hAnsi="Verdana"/>
    </w:rPr>
  </w:style>
  <w:style w:type="character" w:styleId="slostrnky">
    <w:name w:val="page number"/>
    <w:semiHidden/>
    <w:rPr>
      <w:rFonts w:ascii="Verdana" w:hAnsi="Verdana"/>
    </w:rPr>
  </w:style>
  <w:style w:type="paragraph" w:styleId="slovanseznam">
    <w:name w:val="List Number"/>
    <w:aliases w:val="abc) seznam"/>
    <w:basedOn w:val="Normln"/>
    <w:autoRedefine/>
    <w:uiPriority w:val="1"/>
    <w:pPr>
      <w:numPr>
        <w:numId w:val="1"/>
      </w:numPr>
    </w:pPr>
    <w:rPr>
      <w:rFonts w:ascii="Verdana" w:hAnsi="Verdana"/>
    </w:rPr>
  </w:style>
  <w:style w:type="paragraph" w:styleId="slovanseznam2">
    <w:name w:val="List Number 2"/>
    <w:basedOn w:val="Normln"/>
    <w:autoRedefine/>
    <w:semiHidden/>
    <w:pPr>
      <w:numPr>
        <w:numId w:val="2"/>
      </w:numPr>
    </w:pPr>
    <w:rPr>
      <w:rFonts w:ascii="Verdana" w:hAnsi="Verdana"/>
    </w:rPr>
  </w:style>
  <w:style w:type="paragraph" w:styleId="slovanseznam3">
    <w:name w:val="List Number 3"/>
    <w:basedOn w:val="Normln"/>
    <w:autoRedefine/>
    <w:semiHidden/>
    <w:pPr>
      <w:numPr>
        <w:numId w:val="3"/>
      </w:numPr>
    </w:pPr>
    <w:rPr>
      <w:rFonts w:ascii="Verdana" w:hAnsi="Verdana"/>
    </w:rPr>
  </w:style>
  <w:style w:type="paragraph" w:styleId="slovanseznam4">
    <w:name w:val="List Number 4"/>
    <w:basedOn w:val="Normln"/>
    <w:autoRedefine/>
    <w:semiHidden/>
    <w:pPr>
      <w:numPr>
        <w:numId w:val="4"/>
      </w:numPr>
    </w:pPr>
    <w:rPr>
      <w:rFonts w:ascii="Verdana" w:hAnsi="Verdana"/>
    </w:rPr>
  </w:style>
  <w:style w:type="paragraph" w:styleId="slovanseznam5">
    <w:name w:val="List Number 5"/>
    <w:basedOn w:val="Normln"/>
    <w:autoRedefine/>
    <w:semiHidden/>
    <w:pPr>
      <w:numPr>
        <w:numId w:val="5"/>
      </w:numPr>
    </w:pPr>
    <w:rPr>
      <w:rFonts w:ascii="Verdana" w:hAnsi="Verdana"/>
    </w:rPr>
  </w:style>
  <w:style w:type="paragraph" w:styleId="Datum">
    <w:name w:val="Date"/>
    <w:basedOn w:val="Normln"/>
    <w:next w:val="Normln"/>
    <w:autoRedefine/>
    <w:semiHidden/>
    <w:rPr>
      <w:rFonts w:ascii="Verdana" w:hAnsi="Verdana"/>
    </w:rPr>
  </w:style>
  <w:style w:type="character" w:styleId="DefiniceHTML">
    <w:name w:val="HTML Definition"/>
    <w:semiHidden/>
    <w:rPr>
      <w:rFonts w:ascii="Verdana" w:hAnsi="Verdana"/>
      <w:iCs/>
    </w:rPr>
  </w:style>
  <w:style w:type="paragraph" w:styleId="FormtovanvHTML">
    <w:name w:val="HTML Preformatted"/>
    <w:basedOn w:val="Normln"/>
    <w:semiHidden/>
    <w:rPr>
      <w:rFonts w:ascii="Courier New" w:hAnsi="Courier New" w:cs="Courier New"/>
      <w:sz w:val="20"/>
    </w:rPr>
  </w:style>
  <w:style w:type="character" w:styleId="Hypertextovodkaz">
    <w:name w:val="Hyperlink"/>
    <w:semiHidden/>
    <w:rPr>
      <w:rFonts w:ascii="Verdana" w:hAnsi="Verdana"/>
      <w:color w:val="0000FF"/>
      <w:u w:val="none"/>
    </w:rPr>
  </w:style>
  <w:style w:type="character" w:styleId="KlvesniceHTML">
    <w:name w:val="HTML Keyboard"/>
    <w:semiHidden/>
    <w:rPr>
      <w:rFonts w:ascii="Courier New" w:hAnsi="Courier New" w:cs="Courier New"/>
      <w:sz w:val="20"/>
      <w:szCs w:val="20"/>
    </w:rPr>
  </w:style>
  <w:style w:type="character" w:styleId="KdHTML">
    <w:name w:val="HTML Code"/>
    <w:semiHidden/>
    <w:rPr>
      <w:rFonts w:ascii="Courier New" w:hAnsi="Courier New" w:cs="Courier New"/>
      <w:sz w:val="20"/>
      <w:szCs w:val="20"/>
    </w:rPr>
  </w:style>
  <w:style w:type="paragraph" w:styleId="Nadpispoznmky">
    <w:name w:val="Note Heading"/>
    <w:basedOn w:val="Normln"/>
    <w:next w:val="Normln"/>
    <w:autoRedefine/>
    <w:semiHidden/>
    <w:rPr>
      <w:rFonts w:ascii="Verdana" w:hAnsi="Verdana"/>
    </w:rPr>
  </w:style>
  <w:style w:type="paragraph" w:styleId="Nzev">
    <w:name w:val="Title"/>
    <w:basedOn w:val="Normln"/>
    <w:pPr>
      <w:spacing w:before="240" w:after="60"/>
      <w:jc w:val="center"/>
      <w:outlineLvl w:val="0"/>
    </w:pPr>
    <w:rPr>
      <w:rFonts w:ascii="Verdana" w:hAnsi="Verdana" w:cs="Arial"/>
      <w:b/>
      <w:bCs/>
      <w:kern w:val="28"/>
      <w:sz w:val="32"/>
      <w:szCs w:val="32"/>
    </w:rPr>
  </w:style>
  <w:style w:type="paragraph" w:styleId="Normlnweb">
    <w:name w:val="Normal (Web)"/>
    <w:basedOn w:val="Normln"/>
    <w:semiHidden/>
  </w:style>
  <w:style w:type="paragraph" w:styleId="Normlnodsazen">
    <w:name w:val="Normal Indent"/>
    <w:basedOn w:val="Normln"/>
    <w:semiHidden/>
    <w:pPr>
      <w:ind w:left="454"/>
    </w:pPr>
  </w:style>
  <w:style w:type="paragraph" w:styleId="Obsah1">
    <w:name w:val="toc 1"/>
    <w:basedOn w:val="Normln"/>
    <w:next w:val="Normln"/>
    <w:autoRedefine/>
    <w:semiHidden/>
  </w:style>
  <w:style w:type="paragraph" w:styleId="Obsah2">
    <w:name w:val="toc 2"/>
    <w:basedOn w:val="Normln"/>
    <w:next w:val="Normln"/>
    <w:autoRedefine/>
    <w:rsid w:val="00A94B16"/>
    <w:pPr>
      <w:ind w:left="200"/>
    </w:pPr>
    <w:rPr>
      <w:rFonts w:ascii="Verdana" w:hAnsi="Verdana"/>
      <w:sz w:val="14"/>
      <w:szCs w:val="14"/>
    </w:rPr>
  </w:style>
  <w:style w:type="paragraph" w:styleId="Obsah3">
    <w:name w:val="toc 3"/>
    <w:basedOn w:val="Normln"/>
    <w:next w:val="Normln"/>
    <w:autoRedefine/>
    <w:semiHidden/>
    <w:pPr>
      <w:ind w:left="400"/>
    </w:pPr>
  </w:style>
  <w:style w:type="paragraph" w:styleId="Obsah4">
    <w:name w:val="toc 4"/>
    <w:basedOn w:val="Normln"/>
    <w:next w:val="Normln"/>
    <w:autoRedefine/>
    <w:semiHidden/>
    <w:pPr>
      <w:ind w:left="600"/>
    </w:pPr>
  </w:style>
  <w:style w:type="paragraph" w:styleId="Obsah5">
    <w:name w:val="toc 5"/>
    <w:basedOn w:val="Normln"/>
    <w:next w:val="Normln"/>
    <w:autoRedefine/>
    <w:semiHidden/>
    <w:pPr>
      <w:ind w:left="800"/>
    </w:pPr>
  </w:style>
  <w:style w:type="paragraph" w:styleId="Obsah6">
    <w:name w:val="toc 6"/>
    <w:basedOn w:val="Normln"/>
    <w:next w:val="Normln"/>
    <w:autoRedefine/>
    <w:semiHidden/>
    <w:pPr>
      <w:tabs>
        <w:tab w:val="right" w:leader="dot" w:pos="8789"/>
      </w:tabs>
      <w:ind w:left="1000"/>
    </w:pPr>
  </w:style>
  <w:style w:type="paragraph" w:styleId="Obsah7">
    <w:name w:val="toc 7"/>
    <w:basedOn w:val="Normln"/>
    <w:next w:val="Normln"/>
    <w:autoRedefine/>
    <w:semiHidden/>
    <w:pPr>
      <w:tabs>
        <w:tab w:val="right" w:leader="dot" w:pos="8789"/>
      </w:tabs>
      <w:ind w:left="1200"/>
    </w:pPr>
  </w:style>
  <w:style w:type="paragraph" w:styleId="Obsah8">
    <w:name w:val="toc 8"/>
    <w:basedOn w:val="Normln"/>
    <w:next w:val="Normln"/>
    <w:autoRedefine/>
    <w:semiHidden/>
    <w:pPr>
      <w:tabs>
        <w:tab w:val="right" w:leader="dot" w:pos="8789"/>
      </w:tabs>
      <w:ind w:left="1400"/>
    </w:pPr>
  </w:style>
  <w:style w:type="paragraph" w:styleId="Obsah9">
    <w:name w:val="toc 9"/>
    <w:basedOn w:val="Normln"/>
    <w:next w:val="Normln"/>
    <w:autoRedefine/>
    <w:semiHidden/>
    <w:pPr>
      <w:tabs>
        <w:tab w:val="right" w:leader="dot" w:pos="8789"/>
      </w:tabs>
      <w:ind w:left="1600"/>
    </w:pPr>
  </w:style>
  <w:style w:type="paragraph" w:styleId="Osloven">
    <w:name w:val="Salutation"/>
    <w:basedOn w:val="Normln"/>
    <w:next w:val="Normln"/>
    <w:semiHidden/>
  </w:style>
  <w:style w:type="paragraph" w:styleId="Podpis">
    <w:name w:val="Signature"/>
    <w:basedOn w:val="Normln"/>
    <w:semiHidden/>
    <w:pPr>
      <w:tabs>
        <w:tab w:val="left" w:pos="5954"/>
      </w:tabs>
      <w:ind w:left="5954"/>
    </w:pPr>
    <w:rPr>
      <w:b/>
    </w:rPr>
  </w:style>
  <w:style w:type="paragraph" w:customStyle="1" w:styleId="Podpodpisem">
    <w:name w:val="Pod_podpisem"/>
    <w:basedOn w:val="Podpis"/>
    <w:autoRedefine/>
    <w:semiHidden/>
    <w:rPr>
      <w:b w:val="0"/>
      <w:sz w:val="18"/>
    </w:rPr>
  </w:style>
  <w:style w:type="paragraph" w:styleId="Podpise-mailu">
    <w:name w:val="E-mail Signature"/>
    <w:basedOn w:val="Normln"/>
    <w:semiHidden/>
  </w:style>
  <w:style w:type="paragraph" w:customStyle="1" w:styleId="Podtitul">
    <w:name w:val="Podtitul"/>
    <w:basedOn w:val="Normln"/>
    <w:pPr>
      <w:spacing w:after="60"/>
      <w:outlineLvl w:val="1"/>
    </w:pPr>
    <w:rPr>
      <w:rFonts w:cs="Arial"/>
      <w:u w:val="single"/>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character" w:styleId="PromnnHTML">
    <w:name w:val="HTML Variable"/>
    <w:semiHidden/>
    <w:rPr>
      <w:rFonts w:ascii="Verdana" w:hAnsi="Verdana"/>
      <w:iCs/>
    </w:rPr>
  </w:style>
  <w:style w:type="paragraph" w:styleId="Prosttext">
    <w:name w:val="Plain Text"/>
    <w:basedOn w:val="Normln"/>
    <w:semiHidden/>
    <w:rPr>
      <w:rFonts w:cs="Courier New"/>
    </w:rPr>
  </w:style>
  <w:style w:type="character" w:styleId="PsacstrojHTML">
    <w:name w:val="HTML Typewriter"/>
    <w:semiHidden/>
    <w:rPr>
      <w:rFonts w:ascii="Courier New" w:hAnsi="Courier New" w:cs="Courier New"/>
      <w:sz w:val="20"/>
      <w:szCs w:val="20"/>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
    <w:name w:val="List Bullet"/>
    <w:basedOn w:val="Normln"/>
    <w:autoRedefine/>
    <w:semiHidden/>
    <w:pPr>
      <w:numPr>
        <w:numId w:val="12"/>
      </w:numPr>
    </w:pPr>
  </w:style>
  <w:style w:type="paragraph" w:styleId="Seznamsodrkami2">
    <w:name w:val="List Bullet 2"/>
    <w:basedOn w:val="Normln"/>
    <w:autoRedefine/>
    <w:semiHidden/>
    <w:pPr>
      <w:numPr>
        <w:numId w:val="13"/>
      </w:numPr>
    </w:pPr>
  </w:style>
  <w:style w:type="paragraph" w:styleId="Seznamsodrkami3">
    <w:name w:val="List Bullet 3"/>
    <w:basedOn w:val="Normln"/>
    <w:autoRedefine/>
    <w:semiHidden/>
    <w:pPr>
      <w:numPr>
        <w:numId w:val="14"/>
      </w:numPr>
    </w:pPr>
  </w:style>
  <w:style w:type="paragraph" w:styleId="Seznamsodrkami4">
    <w:name w:val="List Bullet 4"/>
    <w:basedOn w:val="Normln"/>
    <w:autoRedefine/>
    <w:semiHidden/>
    <w:pPr>
      <w:numPr>
        <w:numId w:val="15"/>
      </w:numPr>
    </w:pPr>
  </w:style>
  <w:style w:type="paragraph" w:styleId="Seznamsodrkami5">
    <w:name w:val="List Bullet 5"/>
    <w:basedOn w:val="Normln"/>
    <w:autoRedefine/>
    <w:semiHidden/>
    <w:pPr>
      <w:numPr>
        <w:numId w:val="16"/>
      </w:numPr>
    </w:pPr>
  </w:style>
  <w:style w:type="character" w:styleId="Siln">
    <w:name w:val="Strong"/>
    <w:rPr>
      <w:rFonts w:ascii="Verdana" w:hAnsi="Verdana"/>
      <w:b/>
      <w:bCs/>
    </w:rPr>
  </w:style>
  <w:style w:type="character" w:styleId="Sledovanodkaz">
    <w:name w:val="FollowedHyperlink"/>
    <w:semiHidden/>
    <w:rPr>
      <w:rFonts w:ascii="Verdana" w:hAnsi="Verdana"/>
      <w:color w:val="800080"/>
      <w:u w:val="none"/>
    </w:rPr>
  </w:style>
  <w:style w:type="paragraph" w:customStyle="1" w:styleId="Smlouvalnek">
    <w:name w:val="Smlouva_článek"/>
    <w:basedOn w:val="Normln"/>
    <w:next w:val="Normln"/>
    <w:pPr>
      <w:spacing w:after="180"/>
      <w:jc w:val="center"/>
    </w:pPr>
    <w:rPr>
      <w:b/>
    </w:rPr>
  </w:style>
  <w:style w:type="paragraph" w:customStyle="1" w:styleId="Smlouvaodstavec">
    <w:name w:val="Smlouva_odstavec"/>
    <w:basedOn w:val="Normln"/>
    <w:link w:val="SmlouvaodstavecChar"/>
    <w:qFormat/>
    <w:rsid w:val="001B45C2"/>
    <w:pPr>
      <w:numPr>
        <w:ilvl w:val="2"/>
        <w:numId w:val="27"/>
      </w:numPr>
      <w:spacing w:after="120"/>
      <w:ind w:left="1225" w:hanging="505"/>
      <w:jc w:val="both"/>
    </w:pPr>
    <w:rPr>
      <w:rFonts w:cs="Arial"/>
      <w:szCs w:val="22"/>
    </w:rPr>
  </w:style>
  <w:style w:type="paragraph" w:customStyle="1" w:styleId="Text">
    <w:name w:val="Text"/>
    <w:basedOn w:val="Normln"/>
    <w:pPr>
      <w:ind w:left="-181" w:right="-113"/>
    </w:pPr>
  </w:style>
  <w:style w:type="paragraph" w:styleId="Textvbloku">
    <w:name w:val="Block Text"/>
    <w:basedOn w:val="Normln"/>
    <w:pPr>
      <w:spacing w:after="120"/>
      <w:ind w:left="900" w:right="1440" w:hanging="360"/>
    </w:pPr>
  </w:style>
  <w:style w:type="character" w:styleId="UkzkaHTML">
    <w:name w:val="HTML Sample"/>
    <w:rPr>
      <w:rFonts w:ascii="Courier New" w:hAnsi="Courier New" w:cs="Courier New"/>
    </w:rPr>
  </w:style>
  <w:style w:type="paragraph" w:styleId="Zhlav">
    <w:name w:val="header"/>
    <w:basedOn w:val="Normln"/>
    <w:link w:val="ZhlavChar"/>
    <w:pPr>
      <w:tabs>
        <w:tab w:val="center" w:pos="4536"/>
        <w:tab w:val="right" w:pos="9072"/>
      </w:tabs>
    </w:pPr>
    <w:rPr>
      <w:sz w:val="14"/>
    </w:rPr>
  </w:style>
  <w:style w:type="paragraph" w:styleId="Zhlavzprvy">
    <w:name w:val="Message Header"/>
    <w:basedOn w:val="Normln"/>
    <w:autoRedefine/>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Zkladntext">
    <w:name w:val="Body Text"/>
    <w:basedOn w:val="Normln"/>
    <w:pPr>
      <w:spacing w:after="120"/>
    </w:pPr>
  </w:style>
  <w:style w:type="paragraph" w:styleId="Zkladntext-prvnodsazen">
    <w:name w:val="Body Text First Indent"/>
    <w:basedOn w:val="Zkladntext"/>
    <w:semiHidden/>
    <w:pPr>
      <w:ind w:firstLine="210"/>
    </w:p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Zkladntext2">
    <w:name w:val="Body Text 2"/>
    <w:basedOn w:val="Normln"/>
    <w:pPr>
      <w:spacing w:after="120" w:line="480" w:lineRule="auto"/>
    </w:pPr>
  </w:style>
  <w:style w:type="paragraph" w:styleId="Zkladntext3">
    <w:name w:val="Body Text 3"/>
    <w:basedOn w:val="Normln"/>
    <w:semiHidden/>
    <w:pPr>
      <w:spacing w:after="120"/>
    </w:pPr>
    <w:rPr>
      <w:sz w:val="16"/>
      <w:szCs w:val="16"/>
    </w:rPr>
  </w:style>
  <w:style w:type="paragraph" w:styleId="Zkladntextodsazen2">
    <w:name w:val="Body Text Indent 2"/>
    <w:basedOn w:val="Normln"/>
    <w:semiHidden/>
    <w:pPr>
      <w:spacing w:after="120" w:line="480" w:lineRule="auto"/>
      <w:ind w:left="283"/>
    </w:pPr>
  </w:style>
  <w:style w:type="paragraph" w:styleId="Zkladntextodsazen3">
    <w:name w:val="Body Text Indent 3"/>
    <w:basedOn w:val="Normln"/>
    <w:semiHidden/>
    <w:pPr>
      <w:spacing w:after="120"/>
      <w:ind w:left="283"/>
    </w:pPr>
    <w:rPr>
      <w:sz w:val="16"/>
      <w:szCs w:val="16"/>
    </w:rPr>
  </w:style>
  <w:style w:type="paragraph" w:styleId="Zpat">
    <w:name w:val="footer"/>
    <w:basedOn w:val="Normln"/>
    <w:link w:val="ZpatChar"/>
    <w:autoRedefine/>
    <w:uiPriority w:val="99"/>
    <w:rsid w:val="00B21CD9"/>
    <w:pPr>
      <w:tabs>
        <w:tab w:val="left" w:pos="2438"/>
        <w:tab w:val="left" w:pos="5216"/>
      </w:tabs>
      <w:jc w:val="center"/>
    </w:pPr>
    <w:rPr>
      <w:rFonts w:cs="Calibri"/>
      <w:sz w:val="16"/>
      <w:szCs w:val="16"/>
    </w:rPr>
  </w:style>
  <w:style w:type="paragraph" w:styleId="Zvr">
    <w:name w:val="Closing"/>
    <w:basedOn w:val="Normln"/>
    <w:semiHidden/>
    <w:pPr>
      <w:ind w:left="4252"/>
    </w:pPr>
  </w:style>
  <w:style w:type="character" w:styleId="Znakapoznpodarou">
    <w:name w:val="footnote reference"/>
    <w:semiHidden/>
    <w:rPr>
      <w:rFonts w:ascii="Verdana" w:hAnsi="Verdana"/>
      <w:vertAlign w:val="superscript"/>
    </w:rPr>
  </w:style>
  <w:style w:type="character" w:styleId="Odkaznakoment">
    <w:name w:val="annotation reference"/>
    <w:uiPriority w:val="99"/>
    <w:semiHidden/>
    <w:rPr>
      <w:rFonts w:ascii="Verdana" w:hAnsi="Verdana"/>
      <w:sz w:val="16"/>
      <w:szCs w:val="16"/>
    </w:rPr>
  </w:style>
  <w:style w:type="character" w:styleId="Odkaznavysvtlivky">
    <w:name w:val="endnote reference"/>
    <w:semiHidden/>
    <w:rPr>
      <w:rFonts w:ascii="Verdana" w:hAnsi="Verdana"/>
      <w:vertAlign w:val="superscript"/>
    </w:rPr>
  </w:style>
  <w:style w:type="paragraph" w:styleId="Zptenadresanaoblku">
    <w:name w:val="envelope return"/>
    <w:basedOn w:val="Normln"/>
    <w:semiHidden/>
    <w:rPr>
      <w:rFonts w:cs="Arial"/>
    </w:rPr>
  </w:style>
  <w:style w:type="character" w:styleId="Zdraznn">
    <w:name w:val="Emphasis"/>
    <w:aliases w:val="Zvýraznění"/>
    <w:rPr>
      <w:rFonts w:ascii="Verdana" w:hAnsi="Verdana"/>
      <w:b/>
      <w:iCs/>
      <w:u w:val="none"/>
    </w:rPr>
  </w:style>
  <w:style w:type="character" w:customStyle="1" w:styleId="ZpatChar">
    <w:name w:val="Zápatí Char"/>
    <w:link w:val="Zpat"/>
    <w:uiPriority w:val="99"/>
    <w:rsid w:val="00B21CD9"/>
    <w:rPr>
      <w:rFonts w:ascii="Calibri" w:hAnsi="Calibri" w:cs="Calibri"/>
      <w:sz w:val="16"/>
      <w:szCs w:val="16"/>
    </w:rPr>
  </w:style>
  <w:style w:type="paragraph" w:styleId="Textbubliny">
    <w:name w:val="Balloon Text"/>
    <w:basedOn w:val="Normln"/>
    <w:link w:val="TextbublinyChar"/>
    <w:uiPriority w:val="99"/>
    <w:semiHidden/>
    <w:unhideWhenUsed/>
    <w:rsid w:val="00BD5F26"/>
    <w:rPr>
      <w:rFonts w:ascii="Tahoma" w:hAnsi="Tahoma" w:cs="Tahoma"/>
      <w:sz w:val="16"/>
      <w:szCs w:val="16"/>
    </w:rPr>
  </w:style>
  <w:style w:type="character" w:customStyle="1" w:styleId="TextbublinyChar">
    <w:name w:val="Text bubliny Char"/>
    <w:link w:val="Textbubliny"/>
    <w:uiPriority w:val="99"/>
    <w:semiHidden/>
    <w:rsid w:val="00BD5F26"/>
    <w:rPr>
      <w:rFonts w:ascii="Tahoma" w:hAnsi="Tahoma" w:cs="Tahoma"/>
      <w:sz w:val="16"/>
      <w:szCs w:val="16"/>
    </w:rPr>
  </w:style>
  <w:style w:type="paragraph" w:customStyle="1" w:styleId="NormalParagraphStyle">
    <w:name w:val="NormalParagraphStyle"/>
    <w:basedOn w:val="Normln"/>
    <w:uiPriority w:val="99"/>
    <w:rsid w:val="00BD5F26"/>
    <w:pPr>
      <w:autoSpaceDE w:val="0"/>
      <w:autoSpaceDN w:val="0"/>
      <w:adjustRightInd w:val="0"/>
      <w:spacing w:line="288" w:lineRule="auto"/>
      <w:textAlignment w:val="center"/>
    </w:pPr>
    <w:rPr>
      <w:rFonts w:ascii="Times New Roman" w:hAnsi="Times New Roman"/>
      <w:color w:val="000000"/>
      <w:sz w:val="24"/>
    </w:rPr>
  </w:style>
  <w:style w:type="table" w:styleId="Jednoduchtabulka2">
    <w:name w:val="Table Simple 2"/>
    <w:basedOn w:val="Normlntabulka"/>
    <w:rsid w:val="00BD5F2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Nadpis">
    <w:name w:val="Nadpis"/>
    <w:basedOn w:val="Normln"/>
    <w:rsid w:val="00A35721"/>
    <w:pPr>
      <w:jc w:val="center"/>
    </w:pPr>
    <w:rPr>
      <w:rFonts w:ascii="Trebuchet MS" w:hAnsi="Trebuchet MS" w:cs="Arial"/>
      <w:b/>
      <w:bCs/>
      <w:sz w:val="28"/>
    </w:rPr>
  </w:style>
  <w:style w:type="paragraph" w:customStyle="1" w:styleId="Adresa">
    <w:name w:val="Adresa"/>
    <w:basedOn w:val="Normln"/>
    <w:rsid w:val="00C3638D"/>
    <w:rPr>
      <w:noProof/>
      <w:sz w:val="16"/>
      <w:szCs w:val="14"/>
    </w:rPr>
  </w:style>
  <w:style w:type="paragraph" w:customStyle="1" w:styleId="Identifikace">
    <w:name w:val="Identifikace"/>
    <w:basedOn w:val="Normln"/>
    <w:rsid w:val="00E0172A"/>
    <w:pPr>
      <w:jc w:val="both"/>
    </w:pPr>
  </w:style>
  <w:style w:type="paragraph" w:customStyle="1" w:styleId="Odstavec2">
    <w:name w:val="Odstavec 2"/>
    <w:basedOn w:val="Normln"/>
    <w:link w:val="Odstavec2Char"/>
    <w:rsid w:val="008610F0"/>
    <w:pPr>
      <w:spacing w:line="312" w:lineRule="auto"/>
      <w:ind w:left="567"/>
    </w:pPr>
    <w:rPr>
      <w:rFonts w:ascii="Verdana" w:hAnsi="Verdana"/>
      <w:szCs w:val="24"/>
      <w:lang w:eastAsia="en-US"/>
    </w:rPr>
  </w:style>
  <w:style w:type="character" w:customStyle="1" w:styleId="Odstavec2Char">
    <w:name w:val="Odstavec 2 Char"/>
    <w:link w:val="Odstavec2"/>
    <w:rsid w:val="008610F0"/>
    <w:rPr>
      <w:rFonts w:ascii="Verdana" w:hAnsi="Verdana"/>
      <w:szCs w:val="24"/>
      <w:lang w:eastAsia="en-US"/>
    </w:rPr>
  </w:style>
  <w:style w:type="paragraph" w:customStyle="1" w:styleId="Odstavec2sodrkami">
    <w:name w:val="Odstavec 2 s odrážkami"/>
    <w:basedOn w:val="Normln"/>
    <w:rsid w:val="008610F0"/>
    <w:pPr>
      <w:spacing w:after="160" w:line="312" w:lineRule="auto"/>
      <w:contextualSpacing/>
    </w:pPr>
    <w:rPr>
      <w:rFonts w:ascii="Verdana" w:hAnsi="Verdana"/>
      <w:szCs w:val="24"/>
      <w:lang w:eastAsia="en-US"/>
    </w:rPr>
  </w:style>
  <w:style w:type="character" w:customStyle="1" w:styleId="ZhlavChar">
    <w:name w:val="Záhlaví Char"/>
    <w:link w:val="Zhlav"/>
    <w:rsid w:val="00480C21"/>
    <w:rPr>
      <w:rFonts w:ascii="Arial" w:hAnsi="Arial"/>
      <w:sz w:val="14"/>
    </w:rPr>
  </w:style>
  <w:style w:type="paragraph" w:styleId="Textkomente">
    <w:name w:val="annotation text"/>
    <w:basedOn w:val="Normln"/>
    <w:link w:val="TextkomenteChar"/>
    <w:uiPriority w:val="99"/>
    <w:semiHidden/>
    <w:rsid w:val="00933D91"/>
  </w:style>
  <w:style w:type="paragraph" w:styleId="Pedmtkomente">
    <w:name w:val="annotation subject"/>
    <w:basedOn w:val="Textkomente"/>
    <w:next w:val="Textkomente"/>
    <w:semiHidden/>
    <w:rsid w:val="00933D91"/>
    <w:rPr>
      <w:b/>
      <w:bCs/>
    </w:rPr>
  </w:style>
  <w:style w:type="character" w:customStyle="1" w:styleId="SmlouvaodstavecChar">
    <w:name w:val="Smlouva_odstavec Char"/>
    <w:link w:val="Smlouvaodstavec"/>
    <w:rsid w:val="001B45C2"/>
    <w:rPr>
      <w:rFonts w:ascii="Calibri" w:hAnsi="Calibri" w:cs="Arial"/>
      <w:sz w:val="22"/>
      <w:szCs w:val="22"/>
    </w:rPr>
  </w:style>
  <w:style w:type="table" w:styleId="Mkatabulky">
    <w:name w:val="Table Grid"/>
    <w:basedOn w:val="Normlntabulka"/>
    <w:uiPriority w:val="39"/>
    <w:rsid w:val="009B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879FC"/>
    <w:pPr>
      <w:ind w:left="720"/>
      <w:contextualSpacing/>
    </w:pPr>
  </w:style>
  <w:style w:type="table" w:customStyle="1" w:styleId="Mkatabulky1">
    <w:name w:val="Mřížka tabulky1"/>
    <w:basedOn w:val="Normlntabulka"/>
    <w:next w:val="Mkatabulky"/>
    <w:uiPriority w:val="39"/>
    <w:rsid w:val="005230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semiHidden/>
    <w:rsid w:val="00D74165"/>
    <w:rPr>
      <w:rFonts w:ascii="Arial" w:hAnsi="Arial"/>
    </w:rPr>
  </w:style>
  <w:style w:type="numbering" w:customStyle="1" w:styleId="Styl1">
    <w:name w:val="Styl1"/>
    <w:uiPriority w:val="99"/>
    <w:rsid w:val="00EB3EFB"/>
    <w:pPr>
      <w:numPr>
        <w:numId w:val="25"/>
      </w:numPr>
    </w:pPr>
  </w:style>
  <w:style w:type="character" w:styleId="Nevyeenzmnka">
    <w:name w:val="Unresolved Mention"/>
    <w:uiPriority w:val="99"/>
    <w:semiHidden/>
    <w:unhideWhenUsed/>
    <w:rsid w:val="00F35DB7"/>
    <w:rPr>
      <w:color w:val="808080"/>
      <w:shd w:val="clear" w:color="auto" w:fill="E6E6E6"/>
    </w:rPr>
  </w:style>
  <w:style w:type="paragraph" w:customStyle="1" w:styleId="PlohaNadp1">
    <w:name w:val="Příloha_Nadp1"/>
    <w:basedOn w:val="Smlouvalnek"/>
    <w:qFormat/>
    <w:rsid w:val="00A80043"/>
    <w:pPr>
      <w:numPr>
        <w:numId w:val="36"/>
      </w:numPr>
      <w:spacing w:after="120"/>
      <w:ind w:left="357" w:hanging="357"/>
    </w:pPr>
    <w:rPr>
      <w:rFonts w:cs="Arial"/>
      <w:szCs w:val="22"/>
    </w:rPr>
  </w:style>
  <w:style w:type="paragraph" w:customStyle="1" w:styleId="PlohaNadp2">
    <w:name w:val="Příloha_Nadp2"/>
    <w:basedOn w:val="Smlouvaodstavec"/>
    <w:qFormat/>
    <w:rsid w:val="00A80043"/>
    <w:pPr>
      <w:numPr>
        <w:ilvl w:val="1"/>
        <w:numId w:val="36"/>
      </w:numPr>
      <w:ind w:left="567" w:hanging="567"/>
    </w:pPr>
  </w:style>
  <w:style w:type="paragraph" w:customStyle="1" w:styleId="PlohaNadp3">
    <w:name w:val="Příloha_Nadp3"/>
    <w:basedOn w:val="Smlouvaodstavec"/>
    <w:qFormat/>
    <w:rsid w:val="00A80043"/>
    <w:pPr>
      <w:numPr>
        <w:numId w:val="36"/>
      </w:numPr>
      <w:ind w:left="1276" w:hanging="709"/>
    </w:pPr>
  </w:style>
  <w:style w:type="character" w:styleId="Zdraznnintenzivn">
    <w:name w:val="Intense Emphasis"/>
    <w:uiPriority w:val="21"/>
    <w:rsid w:val="005D6B64"/>
    <w:rPr>
      <w:b/>
      <w:color w:val="FF0000"/>
    </w:rPr>
  </w:style>
  <w:style w:type="paragraph" w:customStyle="1" w:styleId="NormalText">
    <w:name w:val="NormalText"/>
    <w:rsid w:val="00C47821"/>
    <w:pPr>
      <w:spacing w:after="200" w:line="276" w:lineRule="auto"/>
    </w:pPr>
    <w:rPr>
      <w:rFonts w:ascii="Calibri" w:eastAsia="Calibri" w:hAnsi="Calibri"/>
      <w:color w:val="000000"/>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50835">
      <w:bodyDiv w:val="1"/>
      <w:marLeft w:val="0"/>
      <w:marRight w:val="0"/>
      <w:marTop w:val="0"/>
      <w:marBottom w:val="0"/>
      <w:divBdr>
        <w:top w:val="none" w:sz="0" w:space="0" w:color="auto"/>
        <w:left w:val="none" w:sz="0" w:space="0" w:color="auto"/>
        <w:bottom w:val="none" w:sz="0" w:space="0" w:color="auto"/>
        <w:right w:val="none" w:sz="0" w:space="0" w:color="auto"/>
      </w:divBdr>
    </w:div>
    <w:div w:id="1714697047">
      <w:bodyDiv w:val="1"/>
      <w:marLeft w:val="0"/>
      <w:marRight w:val="0"/>
      <w:marTop w:val="0"/>
      <w:marBottom w:val="0"/>
      <w:divBdr>
        <w:top w:val="none" w:sz="0" w:space="0" w:color="auto"/>
        <w:left w:val="none" w:sz="0" w:space="0" w:color="auto"/>
        <w:bottom w:val="none" w:sz="0" w:space="0" w:color="auto"/>
        <w:right w:val="none" w:sz="0" w:space="0" w:color="auto"/>
      </w:divBdr>
    </w:div>
    <w:div w:id="1768960958">
      <w:bodyDiv w:val="1"/>
      <w:marLeft w:val="0"/>
      <w:marRight w:val="0"/>
      <w:marTop w:val="0"/>
      <w:marBottom w:val="0"/>
      <w:divBdr>
        <w:top w:val="none" w:sz="0" w:space="0" w:color="auto"/>
        <w:left w:val="none" w:sz="0" w:space="0" w:color="auto"/>
        <w:bottom w:val="none" w:sz="0" w:space="0" w:color="auto"/>
        <w:right w:val="none" w:sz="0" w:space="0" w:color="auto"/>
      </w:divBdr>
    </w:div>
    <w:div w:id="20913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um.helios.eu/orange/doc/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lios.eu/podpora/podpora-pro-produkty-helios/helios-orange/technicke-pozadav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u\AppData\Local\Microsoft\Windows\Temporary%20Internet%20Files\Content.Outlook\9ZEYSYV0\&#352;ABLONA%20PARTNERSK&#193;%20SMLOUVA_men&#353;&#237;%20logo%20(2).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0D1B-A5A2-4E44-A806-1624E9CC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PARTNERSKÁ SMLOUVA_menší logo (2)</Template>
  <TotalTime>867</TotalTime>
  <Pages>15</Pages>
  <Words>5198</Words>
  <Characters>30671</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vt:lpstr>
    </vt:vector>
  </TitlesOfParts>
  <Company>LCS International, a.s.</Company>
  <LinksUpToDate>false</LinksUpToDate>
  <CharactersWithSpaces>35798</CharactersWithSpaces>
  <SharedDoc>false</SharedDoc>
  <HLinks>
    <vt:vector size="12" baseType="variant">
      <vt:variant>
        <vt:i4>6881383</vt:i4>
      </vt:variant>
      <vt:variant>
        <vt:i4>3</vt:i4>
      </vt:variant>
      <vt:variant>
        <vt:i4>0</vt:i4>
      </vt:variant>
      <vt:variant>
        <vt:i4>5</vt:i4>
      </vt:variant>
      <vt:variant>
        <vt:lpwstr>http://www.helios.eu/podpora/podpora-pro-produkty-helios/helios-orange/technicke-pozadavky/</vt:lpwstr>
      </vt:variant>
      <vt:variant>
        <vt:lpwstr/>
      </vt:variant>
      <vt:variant>
        <vt:i4>3866720</vt:i4>
      </vt:variant>
      <vt:variant>
        <vt:i4>0</vt:i4>
      </vt:variant>
      <vt:variant>
        <vt:i4>0</vt:i4>
      </vt:variant>
      <vt:variant>
        <vt:i4>5</vt:i4>
      </vt:variant>
      <vt:variant>
        <vt:lpwstr>https://www.helios.eu/skoleni/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Ing. Jaromír Zajíček</dc:creator>
  <cp:keywords>migrace, iNUVIO</cp:keywords>
  <dc:description/>
  <cp:lastModifiedBy>Škaroupka Michal</cp:lastModifiedBy>
  <cp:revision>25</cp:revision>
  <cp:lastPrinted>2021-09-08T11:16:00Z</cp:lastPrinted>
  <dcterms:created xsi:type="dcterms:W3CDTF">2021-04-19T07:12:00Z</dcterms:created>
  <dcterms:modified xsi:type="dcterms:W3CDTF">2021-09-17T05:14:00Z</dcterms:modified>
</cp:coreProperties>
</file>