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3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2" w:name="bookmark2"/>
      <w:r>
        <w:rPr>
          <w:rStyle w:val="CharStyle34"/>
        </w:rPr>
        <w:t>lllllllllllllll ll« mm</w:t>
      </w:r>
      <w:bookmarkEnd w:id="2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30"/>
          <w:color w:val="000000"/>
          <w:sz w:val="16"/>
          <w:szCs w:val="16"/>
        </w:rPr>
        <w:t>2021005718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4" w:name="bookmark4"/>
      <w:r>
        <w:rPr>
          <w:rStyle w:val="CharStyle41"/>
          <w:b/>
          <w:bCs/>
        </w:rPr>
        <w:t>KUPNÍ SMLOUVA</w:t>
      </w:r>
      <w:bookmarkEnd w:id="4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60" w:line="269" w:lineRule="auto"/>
        <w:ind w:left="0" w:right="0" w:firstLine="0"/>
        <w:jc w:val="center"/>
      </w:pPr>
      <w:bookmarkStart w:id="6" w:name="bookmark6"/>
      <w:r>
        <w:rPr>
          <w:rStyle w:val="CharStyle7"/>
        </w:rPr>
        <w:t>podle ustanovení § 2079 a násl. zákona č. 89/2012 Sb., občanský zákoník,</w:t>
        <w:br/>
        <w:t>uzavřená mezi</w:t>
      </w:r>
      <w:bookmarkEnd w:id="6"/>
    </w:p>
    <w:tbl>
      <w:tblPr>
        <w:tblOverlap w:val="never"/>
        <w:jc w:val="left"/>
        <w:tblLayout w:type="fixed"/>
      </w:tblPr>
      <w:tblGrid>
        <w:gridCol w:w="2736"/>
        <w:gridCol w:w="5621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4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spacing w:val="2"/>
                <w:shd w:val="clear" w:color="auto" w:fill="000000"/>
              </w:rPr>
              <w:t>............</w:t>
            </w:r>
            <w:r>
              <w:rPr>
                <w:rStyle w:val="CharStyle46"/>
                <w:spacing w:val="3"/>
                <w:shd w:val="clear" w:color="auto" w:fill="000000"/>
              </w:rPr>
              <w:t>..</w:t>
            </w:r>
            <w:r>
              <w:rPr>
                <w:rStyle w:val="CharStyle46"/>
                <w:shd w:val="clear" w:color="auto" w:fill="000000"/>
              </w:rPr>
              <w:t>​</w:t>
            </w:r>
            <w:r>
              <w:rPr>
                <w:rStyle w:val="CharStyle46"/>
                <w:spacing w:val="2"/>
                <w:shd w:val="clear" w:color="auto" w:fill="000000"/>
              </w:rPr>
              <w:t>..</w:t>
            </w:r>
            <w:r>
              <w:rPr>
                <w:rStyle w:val="CharStyle46"/>
                <w:spacing w:val="3"/>
                <w:shd w:val="clear" w:color="auto" w:fill="000000"/>
              </w:rPr>
              <w:t>............</w:t>
            </w:r>
            <w:r>
              <w:rPr>
                <w:rStyle w:val="CharStyle46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4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CharStyle46"/>
                <w:spacing w:val="2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46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46"/>
                <w:shd w:val="clear" w:color="auto" w:fill="000000"/>
              </w:rPr>
              <w:t>​</w:t>
            </w:r>
            <w:r>
              <w:rPr>
                <w:rStyle w:val="CharStyle46"/>
                <w:spacing w:val="8"/>
                <w:shd w:val="clear" w:color="auto" w:fill="000000"/>
              </w:rPr>
              <w:t>...</w:t>
            </w:r>
            <w:r>
              <w:rPr>
                <w:rStyle w:val="CharStyle46"/>
                <w:spacing w:val="9"/>
                <w:shd w:val="clear" w:color="auto" w:fill="000000"/>
              </w:rPr>
              <w:t>..</w:t>
            </w:r>
            <w:r>
              <w:rPr>
                <w:rStyle w:val="CharStyle46"/>
                <w:shd w:val="clear" w:color="auto" w:fill="000000"/>
              </w:rPr>
              <w:t>​....</w:t>
            </w:r>
            <w:r>
              <w:rPr>
                <w:rStyle w:val="CharStyle46"/>
                <w:spacing w:val="1"/>
                <w:shd w:val="clear" w:color="auto" w:fill="000000"/>
              </w:rPr>
              <w:t>.....</w:t>
            </w:r>
            <w:r>
              <w:rPr>
                <w:rStyle w:val="CharStyle46"/>
                <w:shd w:val="clear" w:color="auto" w:fill="000000"/>
              </w:rPr>
              <w:t>​.......​</w:t>
            </w:r>
            <w:r>
              <w:rPr>
                <w:rStyle w:val="CharStyle46"/>
                <w:spacing w:val="6"/>
                <w:shd w:val="clear" w:color="auto" w:fill="000000"/>
              </w:rPr>
              <w:t>...</w:t>
            </w:r>
            <w:r>
              <w:rPr>
                <w:rStyle w:val="CharStyle46"/>
                <w:spacing w:val="7"/>
                <w:shd w:val="clear" w:color="auto" w:fill="000000"/>
              </w:rPr>
              <w:t>...</w:t>
            </w:r>
            <w:r>
              <w:rPr>
                <w:rStyle w:val="CharStyle46"/>
                <w:shd w:val="clear" w:color="auto" w:fill="000000"/>
              </w:rPr>
              <w:t>​......</w:t>
            </w:r>
          </w:p>
        </w:tc>
      </w:tr>
      <w:tr>
        <w:trPr>
          <w:trHeight w:val="79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IČO: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DIČ: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00346292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CZ00346292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Krajský soud v Brně sp. zn. Pr 1245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MONETA Money Bank, a.s., č. ú.</w:t>
            </w:r>
            <w:r>
              <w:rPr>
                <w:rStyle w:val="CharStyle46"/>
                <w:shd w:val="clear" w:color="auto" w:fill="000000"/>
              </w:rPr>
              <w:t>.​</w:t>
            </w:r>
            <w:r>
              <w:rPr>
                <w:rStyle w:val="CharStyle46"/>
                <w:spacing w:val="1"/>
                <w:shd w:val="clear" w:color="auto" w:fill="000000"/>
              </w:rPr>
              <w:t>.............</w:t>
            </w:r>
            <w:r>
              <w:rPr>
                <w:rStyle w:val="CharStyle46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3"/>
        </w:rPr>
        <w:t xml:space="preserve">(dále jen </w:t>
      </w:r>
      <w:r>
        <w:rPr>
          <w:rStyle w:val="CharStyle43"/>
          <w:i/>
          <w:iCs/>
        </w:rPr>
        <w:t>„kupující“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36"/>
        <w:gridCol w:w="5616"/>
      </w:tblGrid>
      <w:tr>
        <w:trPr>
          <w:trHeight w:val="62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a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b/>
                <w:bCs/>
              </w:rPr>
              <w:t>Medsol s.r.o.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Lužná 591/4, 160 00 Praha 6 - Vokovice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Michal Baroš, jednatel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spacing w:val="7"/>
                <w:shd w:val="clear" w:color="auto" w:fill="000000"/>
              </w:rPr>
              <w:t>......</w:t>
            </w:r>
            <w:r>
              <w:rPr>
                <w:rStyle w:val="CharStyle46"/>
                <w:shd w:val="clear" w:color="auto" w:fill="000000"/>
              </w:rPr>
              <w:t>​</w:t>
            </w:r>
            <w:r>
              <w:rPr>
                <w:rStyle w:val="CharStyle46"/>
                <w:spacing w:val="3"/>
                <w:shd w:val="clear" w:color="auto" w:fill="000000"/>
              </w:rPr>
              <w:t>............</w:t>
            </w:r>
            <w:r>
              <w:rPr>
                <w:rStyle w:val="CharStyle46"/>
                <w:spacing w:val="4"/>
                <w:shd w:val="clear" w:color="auto" w:fill="000000"/>
              </w:rPr>
              <w:t>.</w:t>
            </w:r>
            <w:r>
              <w:rPr>
                <w:rStyle w:val="CharStyle46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46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46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46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46"/>
                <w:shd w:val="clear" w:color="auto" w:fill="000000"/>
              </w:rPr>
              <w:t>​</w:t>
            </w:r>
            <w:r>
              <w:rPr>
                <w:rStyle w:val="CharStyle46"/>
                <w:spacing w:val="8"/>
                <w:shd w:val="clear" w:color="auto" w:fill="000000"/>
              </w:rPr>
              <w:t>...</w:t>
            </w:r>
            <w:r>
              <w:rPr>
                <w:rStyle w:val="CharStyle46"/>
                <w:spacing w:val="9"/>
                <w:shd w:val="clear" w:color="auto" w:fill="000000"/>
              </w:rPr>
              <w:t>..</w:t>
            </w:r>
            <w:r>
              <w:rPr>
                <w:rStyle w:val="CharStyle46"/>
                <w:shd w:val="clear" w:color="auto" w:fill="000000"/>
              </w:rPr>
              <w:t>​....</w:t>
            </w:r>
            <w:r>
              <w:rPr>
                <w:rStyle w:val="CharStyle46"/>
                <w:spacing w:val="1"/>
                <w:shd w:val="clear" w:color="auto" w:fill="000000"/>
              </w:rPr>
              <w:t>.....</w:t>
            </w:r>
            <w:r>
              <w:rPr>
                <w:rStyle w:val="CharStyle46"/>
                <w:shd w:val="clear" w:color="auto" w:fill="000000"/>
              </w:rPr>
              <w:t>​.......​.......​......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IČO: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46"/>
              </w:rPr>
              <w:t>DIČ: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242 01 596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CZ24201596</w:t>
            </w:r>
          </w:p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vedeném Městským soudem v Praze, oddíl C, vložka 188143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</w:rPr>
              <w:t xml:space="preserve">ČSOB, a.s., č.ú. </w:t>
            </w:r>
            <w:r>
              <w:rPr>
                <w:rStyle w:val="CharStyle46"/>
                <w:shd w:val="clear" w:color="auto" w:fill="000000"/>
              </w:rPr>
              <w:t>...........................</w:t>
            </w:r>
          </w:p>
        </w:tc>
      </w:tr>
    </w:tbl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3"/>
        </w:rPr>
        <w:t xml:space="preserve">(dále jen </w:t>
      </w:r>
      <w:r>
        <w:rPr>
          <w:rStyle w:val="CharStyle43"/>
          <w:i/>
          <w:iCs/>
        </w:rPr>
        <w:t>„prodávající )</w:t>
      </w:r>
    </w:p>
    <w:p>
      <w:pPr>
        <w:widowControl w:val="0"/>
        <w:spacing w:after="6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0" w:lineRule="auto"/>
        <w:ind w:left="460" w:right="0" w:hanging="460"/>
        <w:jc w:val="both"/>
      </w:pPr>
      <w:r>
        <w:rPr>
          <w:rStyle w:val="CharStyle3"/>
        </w:rPr>
        <w:t xml:space="preserve">Prodávající prohlašuje, že dodávka podle této smlouvy je v souladu se zadávacími podmínkami kupujícího a nabídkou prodávajícího podanou ve výběrovém řízení veřejné zakázky s názvem </w:t>
      </w:r>
      <w:r>
        <w:rPr>
          <w:rStyle w:val="CharStyle3"/>
          <w:b/>
          <w:bCs/>
        </w:rPr>
        <w:t>„Přístroj pro nepřímou srdeční masáž“ a „ZZS Jihomoravského kraje - přístroj pro nepřímou srdeční masáž“.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60"/>
        <w:ind w:left="0" w:right="0" w:firstLine="0"/>
        <w:jc w:val="both"/>
      </w:pPr>
      <w:r>
        <w:rPr>
          <w:rStyle w:val="CharStyle3"/>
        </w:rPr>
        <w:t>Prodávající je oprávněn na základě svého vlastnického práva nakládat s tímto zbožím: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Style w:val="CharStyle3"/>
        </w:rPr>
        <w:t xml:space="preserve">1 </w:t>
      </w:r>
      <w:r>
        <w:rPr>
          <w:rStyle w:val="CharStyle3"/>
          <w:b/>
          <w:bCs/>
        </w:rPr>
        <w:t>ks přístroje pro nepřímou srdeční masáž.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460"/>
        <w:jc w:val="both"/>
      </w:pPr>
      <w:r>
        <w:rPr>
          <w:rStyle w:val="CharStyle3"/>
        </w:rPr>
        <w:t>Bližší specifikace tohoto zboží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60" w:right="0" w:hanging="460"/>
        <w:jc w:val="both"/>
      </w:pPr>
      <w:r>
        <w:rPr>
          <w:rStyle w:val="CharStyle3"/>
        </w:rPr>
        <w:t>Prodávající prodává zboží podle čl. 2 této smlouvy se všemi jeho součástmi a příslušenstvím kupujícímu, a kupující kupuje toto zboží do vlastnictví Jihomoravského kraje jako svého zřizovatele za kupní cenu podle čl. 7 této smlouvy. Součástí závazku prodávajícího k dodání zboží podle čl. 2 této smlouvy je instalace zboží, jeho uvedení do provozu a zaškolení obsluhy v místě splnění tohoto závazku, kterým je sídlo kupujícího podle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340" w:line="283" w:lineRule="auto"/>
        <w:ind w:left="460" w:right="0" w:hanging="460"/>
        <w:jc w:val="both"/>
      </w:pPr>
      <w:r>
        <w:rPr>
          <w:rStyle w:val="CharStyle3"/>
        </w:rPr>
        <w:t>Součástí dodávky zboží dle čl. 2 této smlouvy je také dodání veškerých návodů k obsluze, odpovídající technická dokumentace v tištěné a datové podobě, dodání dokladů prokazujících kvalitu a schválení pro užívání v České republice, zejm. dodání příslušných atestů, certifikátů a prohlášení o shodě, to vše v českém jazyce. Součástí dodávky zboží podle čl. 2 této smlouvy je rovněž provádění bezpečnostně technických kontrol po dobu záruční lhůty dle čl. 9 této smlouvy.</w:t>
      </w: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61"/>
          <w:b/>
          <w:bCs/>
          <w:i/>
          <w:iCs/>
        </w:rPr>
        <w:t>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3"/>
        </w:rPr>
        <w:t xml:space="preserve">Prodávající se zavazuje splnit svůj závazek k dodání zboží podle čl. 2 této smlouvy nejpozději do </w:t>
      </w:r>
      <w:r>
        <w:rPr>
          <w:rStyle w:val="CharStyle3"/>
          <w:b/>
          <w:bCs/>
        </w:rPr>
        <w:t xml:space="preserve">15. 11. 2021. </w:t>
      </w:r>
      <w:r>
        <w:rPr>
          <w:rStyle w:val="CharStyle3"/>
        </w:rPr>
        <w:t>Závazek prodávajícího k dodání zboží podle čl. 2 této smlouvy se pak považuje za splněný po instalaci zboží, jeho uvedení do provozu a zaškolení obsluhy dnem předání a převzetí tohoto zboží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40" w:line="290" w:lineRule="auto"/>
        <w:ind w:left="420" w:right="0" w:hanging="420"/>
        <w:jc w:val="both"/>
      </w:pPr>
      <w:r>
        <w:rPr>
          <w:rStyle w:val="CharStyle3"/>
        </w:rPr>
        <w:t>Kupující se zavazuje zaplatit prodávajícímu za předmět koupě a prodeje podle čl. 2 této smlouvy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3"/>
          <w:b/>
          <w:bCs/>
        </w:rPr>
        <w:t xml:space="preserve">322 000,00 Kč </w:t>
      </w:r>
      <w:r>
        <w:rPr>
          <w:rStyle w:val="CharStyle3"/>
        </w:rPr>
        <w:t xml:space="preserve">bez DPH, tj. </w:t>
      </w:r>
      <w:r>
        <w:rPr>
          <w:rStyle w:val="CharStyle3"/>
          <w:b/>
          <w:bCs/>
        </w:rPr>
        <w:t xml:space="preserve">389 620,00 Kč </w:t>
      </w:r>
      <w:r>
        <w:rPr>
          <w:rStyle w:val="CharStyle3"/>
        </w:rPr>
        <w:t>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420" w:right="0" w:firstLine="4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3"/>
        </w:rPr>
        <w:t xml:space="preserve">Kupní cena podle čl. 7 této smlouvy je splatná na účet prodávajícího po řádném splnění závazku prodávajícího k dodání zboží podle čl. 2 této smlouvy způsobem podle čl. 5 této smlouvy ve lhůtě do 30 dnů ode dne doručení jejího písemného vyúčtování (daňového dokladu/faktury). Faktura bude doručena elektronicky na email: </w:t>
      </w:r>
      <w:r>
        <w:rPr>
          <w:rStyle w:val="CharStyle3"/>
          <w:spacing w:val="2"/>
          <w:u w:val="single"/>
          <w:shd w:val="clear" w:color="auto" w:fill="000000"/>
        </w:rPr>
        <w:t>...</w:t>
      </w:r>
      <w:r>
        <w:rPr>
          <w:rStyle w:val="CharStyle3"/>
          <w:spacing w:val="3"/>
          <w:u w:val="single"/>
          <w:shd w:val="clear" w:color="auto" w:fill="000000"/>
        </w:rPr>
        <w:t>............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shd w:val="clear" w:color="auto" w:fill="000000"/>
        </w:rPr>
        <w:t>.​...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2"/>
          <w:u w:val="single"/>
          <w:shd w:val="clear" w:color="auto" w:fill="000000"/>
        </w:rPr>
        <w:t>..........</w:t>
      </w:r>
      <w:r>
        <w:rPr>
          <w:rStyle w:val="CharStyle3"/>
          <w:spacing w:val="3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shd w:val="clear" w:color="auto" w:fill="000000"/>
        </w:rPr>
        <w:t>..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P21V00001940.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3" w:lineRule="auto"/>
        <w:ind w:left="420" w:right="0" w:hanging="420"/>
        <w:jc w:val="both"/>
      </w:pPr>
      <w:r>
        <w:rPr>
          <w:rStyle w:val="CharStyle3"/>
        </w:rPr>
        <w:t xml:space="preserve">S převodem zboží podle čl. 2 této smlouvy je spojena záruka za jeho jakost v trvání nejméně </w:t>
      </w:r>
      <w:r>
        <w:rPr>
          <w:rStyle w:val="CharStyle3"/>
          <w:b/>
          <w:bCs/>
        </w:rPr>
        <w:t xml:space="preserve">24 měsíců. </w:t>
      </w:r>
      <w:r>
        <w:rPr>
          <w:rStyle w:val="CharStyle3"/>
        </w:rPr>
        <w:t>V rámci této záruky se prodávající zavazuje odstraňovat vady na zboží podle čl. 2 této smlouvy ve lhůtě do 48 hodin od doručení příslušné písemné nebo e-mailové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3"/>
        </w:rPr>
        <w:t>Neprovede-li prodávající odstranění vady ve lhůtě podle čl. 9 této smlouvy,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prodávající se splněním jeho závazku k dodání zboží ve lhůtě podle čl. 5 této smlouvy se prodávající zavazuje zaplatit kupujícímu smluvní pokutu ve výši 0,1 % z kupní ceny podle čl. 7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prodávajícího s odstraněním vady ve lhůtě podle čl. 9 této smlouvy se prodávající zavazuje zaplatit kupujícímu smluvní pokutu ve výši 0,1 % z kupní ceny podle čl. 7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120" w:line="283" w:lineRule="auto"/>
        <w:ind w:left="420" w:right="0" w:hanging="420"/>
        <w:jc w:val="both"/>
      </w:pPr>
      <w:r>
        <w:rPr>
          <w:rStyle w:val="CharStyle3"/>
        </w:rPr>
        <w:t>Pro případ prodlení se splněním jeho závazku k dodání zboží ve lhůtě podle čl. 5 této smlouvy o více, než 2 týdny je kupující oprávněn odstoupit od této smlouvy s účinky ex tunc s tím, že nárok kupujícího na zaplacení smluvní pokuty dle čl. 12 této smlouvy, vzniklý do tohoto odstoupení, nezaniká. Stejné právo má kupující, vyskytne-li se v době záruky za jakost podle čl. 9 této smlouvy na zboží podle čl. 2 této smlouvy neodstranitelná vada nebo tři a více vad, a i to postupně.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center"/>
      </w:pPr>
      <w:bookmarkStart w:id="8" w:name="bookmark8"/>
      <w:r>
        <w:rPr>
          <w:rStyle w:val="CharStyle7"/>
          <w:rFonts w:ascii="Times New Roman" w:eastAsia="Times New Roman" w:hAnsi="Times New Roman" w:cs="Times New Roman"/>
          <w:sz w:val="22"/>
          <w:szCs w:val="22"/>
        </w:rPr>
        <w:t>2</w:t>
      </w:r>
      <w:bookmarkEnd w:id="8"/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3"/>
        </w:rPr>
        <w:t>Pro případ prodlení kupujícího se zaplacením kupní ceny nebo její části ve lhůtě podle ČI.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3"/>
        </w:rPr>
        <w:t>Tato smlouva se uzavírá na základě návrhu na její uzavření ze strany prodávajícího. Předpokladem uzavření této smlouvy je její písemná forma a dohoda o jejích podstatných náležitostech, čímž se rozumí celý obsah této smlouvy, jak je uveden v čl. 1 až 22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5" w:lineRule="auto"/>
        <w:ind w:left="420" w:right="0" w:hanging="420"/>
        <w:jc w:val="both"/>
      </w:pPr>
      <w:r>
        <w:rPr>
          <w:rStyle w:val="CharStyle3"/>
        </w:rPr>
        <w:t>Jakékoliv pohledávky vzniklé z této smlouvy smí být postoupeny třetí straně jen s písemným souhlasem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300" w:lineRule="auto"/>
        <w:ind w:left="420" w:right="0" w:hanging="420"/>
        <w:jc w:val="both"/>
      </w:pPr>
      <w:r>
        <w:rPr>
          <w:rStyle w:val="CharStyle3"/>
        </w:rPr>
        <w:t>Tuto smlouvu lze změnit nebo zrušit pouze písemnými číslovanými dodatky podepsanými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Tato smlouva nabývá platnosti okamžikem jejího podpisu oběma smluvními stranami a účinnosti dnem jejího uveřejnění v registru smluv dle čl. 20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 w:line="295" w:lineRule="auto"/>
        <w:ind w:left="420" w:right="0" w:hanging="42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02590" distB="33655" distL="0" distR="0" simplePos="0" relativeHeight="12582937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402590</wp:posOffset>
                </wp:positionV>
                <wp:extent cx="658495" cy="14922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25pt;margin-top:31.699999999999999pt;width:51.850000000000001pt;height:11.75pt;z-index:-125829375;mso-wrap-distance-left:0;mso-wrap-distance-top:31.699999999999999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8900" distB="0" distL="0" distR="0" simplePos="0" relativeHeight="125829380" behindDoc="0" locked="0" layoutInCell="1" allowOverlap="1">
            <wp:simplePos x="0" y="0"/>
            <wp:positionH relativeFrom="page">
              <wp:posOffset>1957705</wp:posOffset>
            </wp:positionH>
            <wp:positionV relativeFrom="paragraph">
              <wp:posOffset>88900</wp:posOffset>
            </wp:positionV>
            <wp:extent cx="762000" cy="49974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200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02590" distB="33655" distL="0" distR="0" simplePos="0" relativeHeight="125829381" behindDoc="0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402590</wp:posOffset>
                </wp:positionV>
                <wp:extent cx="72517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7.94999999999999pt;margin-top:31.699999999999999pt;width:57.100000000000001pt;height:11.75pt;z-index:-125829372;mso-wrap-distance-left:0;mso-wrap-distance-top:31.699999999999999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551180" distB="594360" distL="765175" distR="0" simplePos="0" relativeHeight="125829383" behindDoc="0" locked="0" layoutInCell="1" allowOverlap="1">
            <wp:simplePos x="0" y="0"/>
            <wp:positionH relativeFrom="page">
              <wp:posOffset>1631950</wp:posOffset>
            </wp:positionH>
            <wp:positionV relativeFrom="paragraph">
              <wp:posOffset>551180</wp:posOffset>
            </wp:positionV>
            <wp:extent cx="1463040" cy="71945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63040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1139190</wp:posOffset>
                </wp:positionV>
                <wp:extent cx="1426210" cy="14922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25pt;margin-top:89.700000000000003pt;width:112.3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68300" distB="963295" distL="0" distR="0" simplePos="0" relativeHeight="125829384" behindDoc="0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368300</wp:posOffset>
                </wp:positionV>
                <wp:extent cx="1316990" cy="5334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  <w:shd w:val="clear" w:color="auto" w:fill="000000"/>
                              </w:rPr>
                              <w:t>................</w:t>
                            </w:r>
                            <w:bookmarkStart w:id="0" w:name="bookmark0"/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pacing w:val="4"/>
                                <w:sz w:val="22"/>
                                <w:szCs w:val="2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pacing w:val="5"/>
                                <w:sz w:val="22"/>
                                <w:szCs w:val="2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7"/>
                                <w:sz w:val="15"/>
                                <w:szCs w:val="1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7"/>
                                <w:spacing w:val="3"/>
                                <w:sz w:val="15"/>
                                <w:szCs w:val="1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7"/>
                                <w:color w:val="6FA1D5"/>
                                <w:sz w:val="15"/>
                                <w:szCs w:val="15"/>
                              </w:rPr>
                              <w:t>)</w:t>
                            </w:r>
                            <w:bookmarkEnd w:id="0"/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380"/>
                              <w:jc w:val="left"/>
                            </w:pPr>
                            <w:r>
                              <w:rPr>
                                <w:rStyle w:val="CharStyle17"/>
                                <w:color w:val="000000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right="0" w:hanging="900"/>
                              <w:jc w:val="left"/>
                            </w:pP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2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7"/>
                              </w:rPr>
                              <w:t xml:space="preserve">e </w:t>
                            </w:r>
                            <w:r>
                              <w:rPr>
                                <w:rStyle w:val="CharStyle1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7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7"/>
                              </w:rPr>
                              <w:t>01596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2.5pt;margin-top:29.pt;width:103.7pt;height:42.pt;z-index:-125829369;mso-wrap-distance-left:0;mso-wrap-distance-top:29.pt;mso-wrap-distance-right:0;mso-wrap-distance-bottom:75.85000000000000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z w:val="22"/>
                          <w:szCs w:val="2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  <w:shd w:val="clear" w:color="auto" w:fill="000000"/>
                        </w:rPr>
                        <w:t>................</w:t>
                      </w:r>
                      <w:bookmarkStart w:id="0" w:name="bookmark0"/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z w:val="22"/>
                          <w:szCs w:val="2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pacing w:val="4"/>
                          <w:sz w:val="22"/>
                          <w:szCs w:val="2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pacing w:val="5"/>
                          <w:sz w:val="22"/>
                          <w:szCs w:val="2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7"/>
                          <w:sz w:val="15"/>
                          <w:szCs w:val="1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"/>
                          <w:spacing w:val="3"/>
                          <w:sz w:val="15"/>
                          <w:szCs w:val="1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7"/>
                          <w:color w:val="6FA1D5"/>
                          <w:sz w:val="15"/>
                          <w:szCs w:val="15"/>
                        </w:rPr>
                        <w:t>)</w:t>
                      </w:r>
                      <w:bookmarkEnd w:id="0"/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80"/>
                        <w:jc w:val="left"/>
                      </w:pPr>
                      <w:r>
                        <w:rPr>
                          <w:rStyle w:val="CharStyle17"/>
                          <w:color w:val="000000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color w:val="000000"/>
                          <w:spacing w:val="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color w:val="000000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color w:val="000000"/>
                          <w:spacing w:val="5"/>
                          <w:shd w:val="clear" w:color="auto" w:fill="000000"/>
                        </w:rPr>
                        <w:t>......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 w:hanging="900"/>
                        <w:jc w:val="left"/>
                      </w:pP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7"/>
                          <w:color w:val="000000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color w:val="000000"/>
                          <w:spacing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color w:val="000000"/>
                          <w:spacing w:val="2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color w:val="000000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color w:val="000000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7"/>
                        </w:rPr>
                        <w:t xml:space="preserve">e </w:t>
                      </w:r>
                      <w:r>
                        <w:rPr>
                          <w:rStyle w:val="CharStyle1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7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7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7"/>
                        </w:rPr>
                        <w:t>01596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44830" distB="835660" distL="0" distR="0" simplePos="0" relativeHeight="125829386" behindDoc="0" locked="0" layoutInCell="1" allowOverlap="1">
            <wp:simplePos x="0" y="0"/>
            <wp:positionH relativeFrom="page">
              <wp:posOffset>4314190</wp:posOffset>
            </wp:positionH>
            <wp:positionV relativeFrom="paragraph">
              <wp:posOffset>544830</wp:posOffset>
            </wp:positionV>
            <wp:extent cx="1828800" cy="48768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2880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42365" distB="573405" distL="0" distR="0" simplePos="0" relativeHeight="125829387" behindDoc="0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1142365</wp:posOffset>
                </wp:positionV>
                <wp:extent cx="753110" cy="1492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Michal Baroš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8.15000000000003pt;margin-top:89.950000000000003pt;width:59.300000000000004pt;height:11.75pt;z-index:-125829366;mso-wrap-distance-left:0;mso-wrap-distance-top:89.950000000000003pt;mso-wrap-distance-right:0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Michal Baroš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97940" distB="0" distL="0" distR="0" simplePos="0" relativeHeight="125829389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1297940</wp:posOffset>
                </wp:positionV>
                <wp:extent cx="2536190" cy="5670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36190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ředitelka </w:t>
                            </w:r>
                            <w:r>
                              <w:rPr>
                                <w:rStyle w:val="CharStyle3"/>
                                <w:color w:val="6FA1D5"/>
                              </w:rPr>
                              <w:t>Zdravotnická záchranná služba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0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Kupující </w:t>
                            </w:r>
                            <w:r>
                              <w:rPr>
                                <w:rStyle w:val="CharStyle30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0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580" w:right="0" w:firstLine="0"/>
                              <w:jc w:val="left"/>
                            </w:pPr>
                            <w:r>
                              <w:rPr>
                                <w:rStyle w:val="CharStyle30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8.25pt;margin-top:102.2pt;width:199.70000000000002pt;height:44.649999999999999pt;z-index:-125829364;mso-wrap-distance-left:0;mso-wrap-distance-top:102.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ředitelka </w:t>
                      </w:r>
                      <w:r>
                        <w:rPr>
                          <w:rStyle w:val="CharStyle3"/>
                          <w:color w:val="6FA1D5"/>
                        </w:rPr>
                        <w:t>Zdravotnická záchranná služba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0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Kupující </w:t>
                      </w:r>
                      <w:r>
                        <w:rPr>
                          <w:rStyle w:val="CharStyle30"/>
                        </w:rPr>
                        <w:t>Jihomoravského kraje, p.o.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0"/>
                        </w:rPr>
                        <w:t>Kamenice 798/1 d, 625 00 Brno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580" w:right="0" w:firstLine="0"/>
                        <w:jc w:val="left"/>
                      </w:pPr>
                      <w:r>
                        <w:rPr>
                          <w:rStyle w:val="CharStyle30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10005" distB="231775" distL="0" distR="0" simplePos="0" relativeHeight="125829391" behindDoc="0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1310005</wp:posOffset>
                </wp:positionV>
                <wp:extent cx="716280" cy="32321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26.94999999999999pt;margin-top:103.15000000000001pt;width:56.399999999999999pt;height:25.449999999999999pt;z-index:-125829362;mso-wrap-distance-left:0;mso-wrap-distance-top:103.15000000000001pt;mso-wrap-distance-right:0;mso-wrap-distance-bottom:1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43" w:right="1434" w:bottom="1444" w:left="1336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09600" distB="6350" distL="0" distR="0" simplePos="0" relativeHeight="125829393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609600</wp:posOffset>
                </wp:positionV>
                <wp:extent cx="682625" cy="14922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7.799999999999997pt;margin-top:48.pt;width:53.75pt;height:11.75pt;z-index:-125829360;mso-wrap-distance-left:0;mso-wrap-distance-top:48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2775" distB="0" distL="0" distR="0" simplePos="0" relativeHeight="125829395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612775</wp:posOffset>
                </wp:positionV>
                <wp:extent cx="1371600" cy="15240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Technická specifikace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37.65000000000001pt;margin-top:48.25pt;width:108.pt;height:12.pt;z-index:-125829358;mso-wrap-distance-left:0;mso-wrap-distance-top:48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Technická specifikace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2" w:right="0" w:bottom="14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2" w:right="1273" w:bottom="1406" w:left="1100" w:header="0" w:footer="3" w:gutter="0"/>
          <w:cols w:space="720"/>
          <w:noEndnote/>
          <w:rtlGutter w:val="0"/>
          <w:docGrid w:linePitch="360"/>
        </w:sectPr>
      </w:pPr>
      <w:r>
        <w:rPr>
          <w:rStyle w:val="CharStyle61"/>
          <w:b/>
          <w:bCs/>
          <w:i/>
          <w:iCs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80" w:line="240" w:lineRule="auto"/>
        <w:ind w:left="0" w:right="0" w:firstLine="260"/>
        <w:jc w:val="left"/>
      </w:pPr>
      <w:r>
        <w:rPr>
          <w:rStyle w:val="CharStyle3"/>
          <w:b/>
          <w:bCs/>
        </w:rPr>
        <w:t>Příloha č. 1</w:t>
      </w: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10" w:name="bookmark10"/>
      <w:r>
        <w:rPr>
          <w:rStyle w:val="CharStyle41"/>
          <w:b/>
          <w:bCs/>
        </w:rPr>
        <w:t>TECHNICKÁ SPECIFIKACE</w:t>
      </w:r>
      <w:bookmarkEnd w:id="10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12" w:name="bookmark12"/>
      <w:r>
        <w:rPr>
          <w:rStyle w:val="CharStyle7"/>
        </w:rPr>
        <w:t>Přístroj pro nepřímou srdeční masáž vhodný pro sanitní vozidla RLP, RZP a LZS.</w:t>
      </w:r>
      <w:bookmarkEnd w:id="12"/>
    </w:p>
    <w:tbl>
      <w:tblPr>
        <w:tblOverlap w:val="never"/>
        <w:jc w:val="center"/>
        <w:tblLayout w:type="fixed"/>
      </w:tblPr>
      <w:tblGrid>
        <w:gridCol w:w="5016"/>
        <w:gridCol w:w="4512"/>
      </w:tblGrid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b/>
                <w:bCs/>
              </w:rPr>
              <w:t>| Model - typové/výrobní označení: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LUCAS 3 verze 3.1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b/>
                <w:bCs/>
              </w:rPr>
              <w:t>| 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Jolife AB (Švédsko)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6"/>
                <w:b/>
                <w:bCs/>
              </w:rPr>
              <w:t>| 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tabs>
                <w:tab w:pos="226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64"/>
                <w:szCs w:val="64"/>
              </w:rPr>
            </w:pPr>
            <w:r>
              <w:rPr>
                <w:rStyle w:val="CharStyle46"/>
                <w:rFonts w:ascii="Courier New" w:eastAsia="Courier New" w:hAnsi="Courier New" w:cs="Courier New"/>
                <w:sz w:val="64"/>
                <w:szCs w:val="64"/>
              </w:rPr>
              <w:t>’</w:t>
              <w:tab/>
              <w:t>I</w:t>
            </w:r>
          </w:p>
        </w:tc>
      </w:tr>
    </w:tbl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470"/>
        <w:gridCol w:w="4526"/>
        <w:gridCol w:w="4517"/>
      </w:tblGrid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Účastníkem nabízená hodnota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Snadná přenositelnost přístroje - hmotnost přístroje s baterií max. 8 kg.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8,0 Kg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Rozměry složeného přístroje včetně přepravního obalu: výška 55 - 70cm, šířka 32 - 34 cm, hloubka 24 - 26 cm z důvodů specifických požadavků na uložení přístroje v sanitním voze ZZS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58 * 33 x 26 cm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přenosu dat po zákroku do software počítače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použití přístroje při transportu pacienta v sanitním voze i vrtulníku.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Zádová deska pouze pod hrudník pacienta.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uchycení paží pacienta k přístroji pro snažší manipulaci a transport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Terapeutické funkce přístroje v souladu s doporučením AHA/ERC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Frekvence kompresí ve dvou volitelných režimech - 100 kompresí za minutu nebo v poměru 30 kompresí s krátkou pauzou na dva vdechy po předchozí zvukové signalizaci.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Ano;100 kompresí za minutu nebo v poměru 30 kompresí s krátkou pauzou na dva vdechy po předchozí zvukové signalizaci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Píst s přísavkou -přístroj provádí jak kompresi, tak i aktivní dekompresi hrudníku.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Pracovní cyklus komprese/dekomprese v cyklu 50 %.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50%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b/>
                <w:bCs/>
                <w:sz w:val="18"/>
                <w:szCs w:val="18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souběžného použití 12svodového EKG.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souběžného použití jednorázových elektrod pro defibrilaci.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souběžné ventilace pacienta.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Možnost uživatelského přednastavení frekvencí kompresí a hloubky kompresí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Schopnost přístroje ukládat data v paměti a možnost další práce s uloženými daty - to je schopnost přenesení pacientských dat z nabízeného přístroje do softwarové databáze záznamů v PC.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b/>
                <w:bCs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Variabilita zdrojů energie - napájení z dobíječi výměnné baterie i ze sítí 230V a 12V včetně kompletního příslušenství k provozu.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napájení z dobíječi výměnné baterie i ze sítí 230V a 12V včetně kompletního příslušenství k provozu.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Varovná signalizace příliš malého pacienta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</w:t>
            </w:r>
          </w:p>
        </w:tc>
      </w:tr>
      <w:tr>
        <w:trPr>
          <w:trHeight w:val="41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b/>
                <w:bCs/>
                <w:sz w:val="18"/>
                <w:szCs w:val="18"/>
              </w:rPr>
              <w:t>Požadované příslušenství k přístroji: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 ks dobíječi baterie (1 ks v přístroji + 1 ks náhradní)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součást dodávky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Napájecí kabel (adaptér) umožňující dobíjení baterie v přístroji ze zdroje 230V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součást dodávky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Napájecí kabel (adaptér) umožňující napájení v automobilu ze sítě 12 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Ano;součást dodávky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Stabilizační popruh k zajištění polohy přístroje na pacientovi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Ano;součást dodávky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61"/>
          <w:b/>
          <w:bCs/>
          <w:i/>
          <w:iCs/>
        </w:rPr>
        <w:t>4</w:t>
      </w:r>
      <w:r>
        <w:br w:type="page"/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" w:right="0" w:firstLine="0"/>
        <w:jc w:val="left"/>
      </w:pPr>
      <w:r>
        <w:rPr>
          <w:rStyle w:val="CharStyle43"/>
          <w:b/>
          <w:bCs/>
        </w:rPr>
        <w:t>Příloha č. 1</w:t>
      </w:r>
    </w:p>
    <w:tbl>
      <w:tblPr>
        <w:tblOverlap w:val="never"/>
        <w:jc w:val="center"/>
        <w:tblLayout w:type="fixed"/>
      </w:tblPr>
      <w:tblGrid>
        <w:gridCol w:w="466"/>
        <w:gridCol w:w="4522"/>
        <w:gridCol w:w="4522"/>
      </w:tblGrid>
      <w:tr>
        <w:trPr>
          <w:trHeight w:val="9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Přenosná brašna (batoh) s nastavitelnými popruhy na záda pro snazší transport přístroje i příslušenství, průhledné okénko umožňující viditelnost na indikátor baterií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 součást dodávky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Náhradní přísavky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Ano;součást dodávky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46"/>
                <w:sz w:val="18"/>
                <w:szCs w:val="18"/>
              </w:rPr>
              <w:t>Pásky pro ruce pacienta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6"/>
                <w:b/>
                <w:bCs/>
              </w:rPr>
              <w:t>Ano;součást dodávky</w:t>
            </w:r>
          </w:p>
        </w:tc>
      </w:tr>
    </w:tbl>
    <w:p>
      <w:pPr>
        <w:widowControl w:val="0"/>
        <w:spacing w:after="12639" w:line="1" w:lineRule="exact"/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7"/>
          <w:rFonts w:ascii="Times New Roman" w:eastAsia="Times New Roman" w:hAnsi="Times New Roman" w:cs="Times New Roman"/>
          <w:sz w:val="22"/>
          <w:szCs w:val="22"/>
        </w:rPr>
        <w:t>5</w:t>
      </w:r>
      <w:bookmarkEnd w:id="14"/>
    </w:p>
    <w:sectPr>
      <w:footnotePr>
        <w:pos w:val="pageBottom"/>
        <w:numFmt w:val="decimal"/>
        <w:numRestart w:val="continuous"/>
      </w:footnotePr>
      <w:pgSz w:w="11900" w:h="16840"/>
      <w:pgMar w:top="625" w:right="1282" w:bottom="1241" w:left="10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9968865</wp:posOffset>
              </wp:positionV>
              <wp:extent cx="5690870" cy="4083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0870" cy="4083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6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</w:t>
                          </w:r>
                          <w:r>
                            <w:rPr>
                              <w:rStyle w:val="CharStyle3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24-21 „Přístroj pro nepřímou srdeční masáž“ a „ZZS Jihomoravského kraje - přístroj pro nepřímou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srdeční masáž“</w:t>
                          </w:r>
                        </w:p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Část „A“ - Přístroj pro nepřímou srdeční masáž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69.700000000000003pt;margin-top:784.95000000000005pt;width:448.10000000000002pt;height:32.1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6"/>
                        <w:rFonts w:ascii="Arial" w:eastAsia="Arial" w:hAnsi="Arial" w:cs="Arial"/>
                        <w:sz w:val="19"/>
                        <w:szCs w:val="19"/>
                      </w:rPr>
                      <w:t xml:space="preserve">\/Z </w:t>
                    </w:r>
                    <w:r>
                      <w:rPr>
                        <w:rStyle w:val="CharStyle3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24-21 „Přístroj pro nepřímou srdeční masáž“ a „ZZS Jihomoravského kraje - přístroj pro nepřímou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srdeční masáž“</w:t>
                    </w:r>
                  </w:p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Část „A“ - Přístroj pro nepřímou srdeční masáž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Nadpis #3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6FA1D5"/>
      <w:sz w:val="15"/>
      <w:szCs w:val="15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6FA1D5"/>
      <w:sz w:val="17"/>
      <w:szCs w:val="17"/>
      <w:u w:val="none"/>
    </w:rPr>
  </w:style>
  <w:style w:type="character" w:customStyle="1" w:styleId="CharStyle34">
    <w:name w:val="Nadpis #1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36">
    <w:name w:val="Záhlaví nebo zápatí (2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Nadpis #2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3">
    <w:name w:val="Titulek tabulky_"/>
    <w:basedOn w:val="DefaultParagraphFont"/>
    <w:link w:val="Style4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6">
    <w:name w:val="Jiné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1">
    <w:name w:val="Základní text (4)_"/>
    <w:basedOn w:val="DefaultParagraphFont"/>
    <w:link w:val="Style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auto"/>
      <w:spacing w:after="15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auto"/>
      <w:spacing w:line="266" w:lineRule="auto"/>
      <w:ind w:left="1300" w:hanging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FA1D5"/>
      <w:sz w:val="15"/>
      <w:szCs w:val="15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FA1D5"/>
      <w:sz w:val="17"/>
      <w:szCs w:val="17"/>
      <w:u w:val="none"/>
    </w:rPr>
  </w:style>
  <w:style w:type="paragraph" w:customStyle="1" w:styleId="Style33">
    <w:name w:val="Nadpis #1"/>
    <w:basedOn w:val="Normal"/>
    <w:link w:val="CharStyle34"/>
    <w:pPr>
      <w:widowControl w:val="0"/>
      <w:shd w:val="clear" w:color="auto" w:fill="auto"/>
      <w:spacing w:after="100"/>
      <w:ind w:right="8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35">
    <w:name w:val="Záhlaví nebo zápatí (2)"/>
    <w:basedOn w:val="Normal"/>
    <w:link w:val="CharStyle3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0">
    <w:name w:val="Nadpis #2"/>
    <w:basedOn w:val="Normal"/>
    <w:link w:val="CharStyle41"/>
    <w:pPr>
      <w:widowControl w:val="0"/>
      <w:shd w:val="clear" w:color="auto" w:fill="auto"/>
      <w:spacing w:after="1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2">
    <w:name w:val="Titulek tabulky"/>
    <w:basedOn w:val="Normal"/>
    <w:link w:val="CharStyle4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45">
    <w:name w:val="Jiné"/>
    <w:basedOn w:val="Normal"/>
    <w:link w:val="CharStyle46"/>
    <w:pPr>
      <w:widowControl w:val="0"/>
      <w:shd w:val="clear" w:color="auto" w:fill="auto"/>
      <w:spacing w:after="22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0">
    <w:name w:val="Základní text (4)"/>
    <w:basedOn w:val="Normal"/>
    <w:link w:val="CharStyle61"/>
    <w:pPr>
      <w:widowControl w:val="0"/>
      <w:shd w:val="clear" w:color="auto" w:fill="auto"/>
      <w:spacing w:after="18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/Relationships>
</file>