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1BD52619" w14:textId="276051C4" w:rsidR="00451237" w:rsidRPr="00451237" w:rsidRDefault="00451237" w:rsidP="00451237">
      <w:pPr>
        <w:pStyle w:val="Bezmezer"/>
        <w:tabs>
          <w:tab w:val="left" w:pos="2977"/>
        </w:tabs>
        <w:jc w:val="center"/>
        <w:rPr>
          <w:rFonts w:asciiTheme="minorHAnsi" w:hAnsiTheme="minorHAnsi" w:cstheme="minorHAnsi"/>
        </w:rPr>
      </w:pPr>
      <w:r w:rsidRPr="00451237">
        <w:rPr>
          <w:rFonts w:asciiTheme="minorHAnsi" w:hAnsiTheme="minorHAnsi" w:cstheme="minorHAnsi"/>
        </w:rPr>
        <w:t xml:space="preserve">Smlouva č.: </w:t>
      </w:r>
      <w:r w:rsidR="001774C2" w:rsidRPr="001774C2">
        <w:rPr>
          <w:rFonts w:asciiTheme="minorHAnsi" w:hAnsiTheme="minorHAnsi" w:cstheme="minorHAnsi"/>
        </w:rPr>
        <w:t>104510</w:t>
      </w:r>
      <w:r w:rsidRPr="00451237">
        <w:rPr>
          <w:rFonts w:asciiTheme="minorHAnsi" w:hAnsiTheme="minorHAnsi" w:cstheme="minorHAnsi"/>
        </w:rPr>
        <w:t xml:space="preserve"> - </w:t>
      </w:r>
      <w:r w:rsidR="001774C2">
        <w:rPr>
          <w:rFonts w:asciiTheme="minorHAnsi" w:hAnsiTheme="minorHAnsi" w:cstheme="minorHAnsi"/>
        </w:rPr>
        <w:t>Ondřej</w:t>
      </w:r>
      <w:r w:rsidRPr="00451237">
        <w:rPr>
          <w:rFonts w:asciiTheme="minorHAnsi" w:hAnsiTheme="minorHAnsi" w:cstheme="minorHAnsi"/>
        </w:rPr>
        <w:t xml:space="preserve"> </w:t>
      </w:r>
      <w:r w:rsidR="001774C2">
        <w:rPr>
          <w:rFonts w:asciiTheme="minorHAnsi" w:hAnsiTheme="minorHAnsi" w:cstheme="minorHAnsi"/>
        </w:rPr>
        <w:t>Surý</w:t>
      </w:r>
    </w:p>
    <w:p w14:paraId="30252330" w14:textId="77777777" w:rsidR="00B16EAF" w:rsidRPr="00451237" w:rsidRDefault="00B16EAF">
      <w:pPr>
        <w:tabs>
          <w:tab w:val="left" w:pos="2835"/>
        </w:tabs>
        <w:spacing w:after="0" w:line="240" w:lineRule="auto"/>
        <w:jc w:val="both"/>
        <w:rPr>
          <w:rFonts w:asciiTheme="minorHAnsi" w:hAnsiTheme="minorHAnsi" w:cstheme="minorHAnsi"/>
          <w:sz w:val="22"/>
          <w:szCs w:val="22"/>
        </w:rPr>
      </w:pP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proofErr w:type="spellStart"/>
      <w:r w:rsidR="006F17E0" w:rsidRPr="00451237">
        <w:rPr>
          <w:rFonts w:asciiTheme="minorHAnsi" w:eastAsia="Arial" w:hAnsiTheme="minorHAnsi" w:cstheme="minorHAnsi"/>
          <w:b/>
          <w:sz w:val="22"/>
          <w:szCs w:val="22"/>
        </w:rPr>
        <w:t>Monitora</w:t>
      </w:r>
      <w:proofErr w:type="spellEnd"/>
      <w:r w:rsidR="006F17E0" w:rsidRPr="00451237">
        <w:rPr>
          <w:rFonts w:asciiTheme="minorHAnsi" w:eastAsia="Arial" w:hAnsiTheme="minorHAnsi" w:cstheme="minorHAnsi"/>
          <w:b/>
          <w:sz w:val="22"/>
          <w:szCs w:val="22"/>
        </w:rPr>
        <w:t xml:space="preserve">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369971B5"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Nádražní 762/32, Praha 5, PSČ: 150 00</w:t>
      </w:r>
    </w:p>
    <w:p w14:paraId="30D4A71C" w14:textId="59E550A9"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IČ:</w:t>
      </w:r>
      <w:r w:rsidR="001774C2">
        <w:rPr>
          <w:rFonts w:asciiTheme="minorHAnsi" w:eastAsia="Arial" w:hAnsiTheme="minorHAnsi" w:cstheme="minorHAnsi"/>
          <w:sz w:val="22"/>
          <w:szCs w:val="22"/>
        </w:rPr>
        <w:tab/>
      </w:r>
      <w:r w:rsidRPr="00451237">
        <w:rPr>
          <w:rFonts w:asciiTheme="minorHAnsi" w:eastAsia="Arial" w:hAnsiTheme="minorHAnsi" w:cstheme="minorHAnsi"/>
          <w:sz w:val="22"/>
          <w:szCs w:val="22"/>
        </w:rPr>
        <w:t>03980481</w:t>
      </w:r>
    </w:p>
    <w:p w14:paraId="691B9CB5"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6357CD27" w14:textId="16827CD2" w:rsidR="00B16EAF" w:rsidRDefault="006F17E0">
      <w:pPr>
        <w:tabs>
          <w:tab w:val="left" w:pos="2835"/>
        </w:tabs>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Zastoupená:</w:t>
      </w:r>
      <w:r w:rsidR="001774C2">
        <w:rPr>
          <w:rFonts w:asciiTheme="minorHAnsi" w:eastAsia="Arial" w:hAnsiTheme="minorHAnsi" w:cstheme="minorHAnsi"/>
          <w:sz w:val="22"/>
          <w:szCs w:val="22"/>
        </w:rPr>
        <w:tab/>
      </w:r>
      <w:r w:rsidRPr="00451237">
        <w:rPr>
          <w:rFonts w:asciiTheme="minorHAnsi" w:eastAsia="Arial" w:hAnsiTheme="minorHAnsi" w:cstheme="minorHAnsi"/>
          <w:sz w:val="22"/>
          <w:szCs w:val="22"/>
        </w:rPr>
        <w:t>Tomáš Berger, jednatel</w:t>
      </w:r>
    </w:p>
    <w:p w14:paraId="26FB4135" w14:textId="286B5D97" w:rsidR="004754E7" w:rsidRDefault="00A83E07">
      <w:pPr>
        <w:tabs>
          <w:tab w:val="left" w:pos="2835"/>
        </w:tabs>
        <w:spacing w:after="0" w:line="240" w:lineRule="auto"/>
        <w:jc w:val="both"/>
      </w:pPr>
      <w:r>
        <w:t>B</w:t>
      </w:r>
      <w:r w:rsidR="004754E7" w:rsidRPr="00512AB9">
        <w:t>ankovní spojení:</w:t>
      </w:r>
      <w:r w:rsidR="000D07BC">
        <w:t xml:space="preserve">                     </w:t>
      </w:r>
      <w:r w:rsidR="005E149E">
        <w:t>Československá obchodní banka, a.s.</w:t>
      </w:r>
    </w:p>
    <w:p w14:paraId="0B71E16D" w14:textId="79E3CB22" w:rsidR="004754E7" w:rsidRDefault="00A83E07">
      <w:pPr>
        <w:tabs>
          <w:tab w:val="left" w:pos="2835"/>
        </w:tabs>
        <w:spacing w:after="0" w:line="240" w:lineRule="auto"/>
        <w:jc w:val="both"/>
      </w:pPr>
      <w:r>
        <w:t>Č</w:t>
      </w:r>
      <w:r w:rsidR="004754E7" w:rsidRPr="00512AB9">
        <w:t>íslo účtu:</w:t>
      </w:r>
      <w:r w:rsidR="000D07BC">
        <w:t xml:space="preserve">   </w:t>
      </w:r>
      <w:r w:rsidR="005E149E">
        <w:t xml:space="preserve">                               </w:t>
      </w:r>
      <w:r w:rsidR="005E149E" w:rsidRPr="005E149E">
        <w:t>269786587/0300</w:t>
      </w:r>
    </w:p>
    <w:p w14:paraId="52ACB4BE" w14:textId="602F5CC6" w:rsidR="00EC704B" w:rsidRPr="00EC704B" w:rsidRDefault="00EC704B" w:rsidP="00EC704B">
      <w:r>
        <w:t>Zapsána v obchodním rejstříku vedeném Městským soudem v Praze, oddíl C, vložka 240838,</w:t>
      </w:r>
    </w:p>
    <w:p w14:paraId="3A66459B" w14:textId="092F8DE7" w:rsidR="00B16EAF" w:rsidRDefault="006F17E0">
      <w:pPr>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639DCE" w14:textId="77777777" w:rsidR="000D07BC" w:rsidRPr="00451237" w:rsidRDefault="000D07BC">
      <w:pPr>
        <w:spacing w:after="0" w:line="240" w:lineRule="auto"/>
        <w:jc w:val="both"/>
        <w:rPr>
          <w:rFonts w:asciiTheme="minorHAnsi" w:hAnsiTheme="minorHAnsi" w:cstheme="minorHAnsi"/>
          <w:sz w:val="22"/>
          <w:szCs w:val="22"/>
        </w:rPr>
      </w:pPr>
    </w:p>
    <w:p w14:paraId="00892F7E" w14:textId="59850C1A" w:rsidR="00B16EAF" w:rsidRDefault="00447A30" w:rsidP="009D539B">
      <w:pPr>
        <w:spacing w:before="140" w:after="140" w:line="240" w:lineRule="auto"/>
        <w:jc w:val="both"/>
        <w:rPr>
          <w:rFonts w:asciiTheme="minorHAnsi" w:eastAsia="Arial" w:hAnsiTheme="minorHAnsi" w:cstheme="minorHAnsi"/>
          <w:sz w:val="22"/>
          <w:szCs w:val="22"/>
        </w:rPr>
      </w:pPr>
      <w:r>
        <w:rPr>
          <w:rFonts w:asciiTheme="minorHAnsi" w:eastAsia="Arial" w:hAnsiTheme="minorHAnsi" w:cstheme="minorHAnsi"/>
          <w:sz w:val="22"/>
          <w:szCs w:val="22"/>
        </w:rPr>
        <w:t>a</w:t>
      </w:r>
    </w:p>
    <w:p w14:paraId="44CDC26B" w14:textId="77777777" w:rsidR="00447A30" w:rsidRPr="00451237" w:rsidRDefault="00447A30" w:rsidP="009D539B">
      <w:pPr>
        <w:spacing w:before="140" w:after="140" w:line="240" w:lineRule="auto"/>
        <w:jc w:val="both"/>
        <w:rPr>
          <w:rFonts w:asciiTheme="minorHAnsi" w:hAnsiTheme="minorHAnsi" w:cstheme="minorHAnsi"/>
          <w:sz w:val="22"/>
          <w:szCs w:val="22"/>
        </w:rPr>
      </w:pPr>
    </w:p>
    <w:p w14:paraId="5987C8A5" w14:textId="77777777" w:rsidR="00451237" w:rsidRPr="00451237" w:rsidRDefault="00451237" w:rsidP="00451237">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Fakultní nemocnice Brno</w:t>
      </w:r>
    </w:p>
    <w:p w14:paraId="4929504F" w14:textId="30C53833"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   </w:t>
      </w:r>
    </w:p>
    <w:p w14:paraId="50FAD5E4" w14:textId="2F1DDCCF"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Jihlavská 340/20, Brno, PSČ</w:t>
      </w:r>
      <w:r w:rsidR="008603B8">
        <w:rPr>
          <w:rFonts w:asciiTheme="minorHAnsi" w:hAnsiTheme="minorHAnsi" w:cstheme="minorHAnsi"/>
        </w:rPr>
        <w:t>:</w:t>
      </w:r>
      <w:r w:rsidRPr="00451237">
        <w:rPr>
          <w:rFonts w:asciiTheme="minorHAnsi" w:hAnsiTheme="minorHAnsi" w:cstheme="minorHAnsi"/>
        </w:rPr>
        <w:t xml:space="preserve"> 625</w:t>
      </w:r>
      <w:r w:rsidR="008603B8">
        <w:rPr>
          <w:rFonts w:asciiTheme="minorHAnsi" w:hAnsiTheme="minorHAnsi" w:cstheme="minorHAnsi"/>
        </w:rPr>
        <w:t xml:space="preserve"> </w:t>
      </w:r>
      <w:r w:rsidRPr="00451237">
        <w:rPr>
          <w:rFonts w:asciiTheme="minorHAnsi" w:hAnsiTheme="minorHAnsi" w:cstheme="minorHAnsi"/>
        </w:rPr>
        <w:t>00</w:t>
      </w:r>
    </w:p>
    <w:p w14:paraId="41EC7AF2" w14:textId="7777777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t>65269705</w:t>
      </w:r>
    </w:p>
    <w:p w14:paraId="28357E11" w14:textId="1F44C5B2" w:rsid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CZ65269705</w:t>
      </w:r>
    </w:p>
    <w:p w14:paraId="2C610E4A" w14:textId="2270B866" w:rsidR="000E340F" w:rsidRDefault="000E340F" w:rsidP="00451237">
      <w:pPr>
        <w:pStyle w:val="Bezmezer"/>
        <w:tabs>
          <w:tab w:val="left" w:pos="2835"/>
        </w:tabs>
        <w:jc w:val="both"/>
      </w:pPr>
      <w:r w:rsidRPr="00451237">
        <w:rPr>
          <w:rFonts w:asciiTheme="minorHAnsi" w:eastAsia="Arial" w:hAnsiTheme="minorHAnsi" w:cstheme="minorHAnsi"/>
        </w:rPr>
        <w:t>Zastoupená:</w:t>
      </w:r>
      <w:r w:rsidR="004754E7">
        <w:rPr>
          <w:rFonts w:asciiTheme="minorHAnsi" w:eastAsia="Arial" w:hAnsiTheme="minorHAnsi" w:cstheme="minorHAnsi"/>
        </w:rPr>
        <w:t xml:space="preserve">                                   </w:t>
      </w:r>
      <w:r w:rsidR="004754E7">
        <w:t xml:space="preserve">Prof. </w:t>
      </w:r>
      <w:r w:rsidR="004754E7" w:rsidRPr="002B77A6">
        <w:t xml:space="preserve">MUDr. </w:t>
      </w:r>
      <w:r w:rsidR="004754E7">
        <w:t>Jaroslav Štěrba</w:t>
      </w:r>
      <w:r w:rsidR="004754E7" w:rsidRPr="002B77A6">
        <w:t xml:space="preserve">, </w:t>
      </w:r>
      <w:r w:rsidR="004754E7">
        <w:t>Ph.D.</w:t>
      </w:r>
      <w:r w:rsidR="004754E7" w:rsidRPr="002B77A6">
        <w:t>, ředitel</w:t>
      </w:r>
      <w:r w:rsidR="004754E7">
        <w:t>em</w:t>
      </w:r>
    </w:p>
    <w:p w14:paraId="595EF7D2" w14:textId="2C2A5CF3" w:rsidR="004754E7" w:rsidRDefault="00A83E07" w:rsidP="00451237">
      <w:pPr>
        <w:pStyle w:val="Bezmezer"/>
        <w:tabs>
          <w:tab w:val="left" w:pos="2835"/>
        </w:tabs>
        <w:jc w:val="both"/>
      </w:pPr>
      <w:r>
        <w:t>B</w:t>
      </w:r>
      <w:r w:rsidR="004754E7" w:rsidRPr="002B77A6">
        <w:t>ankovní spo</w:t>
      </w:r>
      <w:r w:rsidR="004754E7">
        <w:t>jení:                          Česká národní banka</w:t>
      </w:r>
    </w:p>
    <w:p w14:paraId="2C9566F8" w14:textId="70D3763D" w:rsidR="004754E7" w:rsidRDefault="00A83E07" w:rsidP="00451237">
      <w:pPr>
        <w:pStyle w:val="Bezmezer"/>
        <w:tabs>
          <w:tab w:val="left" w:pos="2835"/>
        </w:tabs>
        <w:jc w:val="both"/>
      </w:pPr>
      <w:r>
        <w:t>Č</w:t>
      </w:r>
      <w:r w:rsidR="004754E7" w:rsidRPr="002B77A6">
        <w:t>íslo ban</w:t>
      </w:r>
      <w:r w:rsidR="004754E7">
        <w:t>kovního účtu:                 71234621/0710</w:t>
      </w:r>
    </w:p>
    <w:p w14:paraId="0FAFE8C9" w14:textId="28731363" w:rsidR="004754E7" w:rsidRDefault="004754E7" w:rsidP="00451237">
      <w:pPr>
        <w:pStyle w:val="Bezmezer"/>
        <w:tabs>
          <w:tab w:val="left" w:pos="2835"/>
        </w:tabs>
        <w:jc w:val="both"/>
      </w:pPr>
    </w:p>
    <w:p w14:paraId="61BB821F" w14:textId="12D9C671" w:rsidR="004754E7" w:rsidRDefault="004754E7" w:rsidP="00451237">
      <w:pPr>
        <w:pStyle w:val="Bezmezer"/>
        <w:tabs>
          <w:tab w:val="left" w:pos="2835"/>
        </w:tabs>
        <w:jc w:val="both"/>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79E88BC" w14:textId="77777777" w:rsidR="004754E7" w:rsidRPr="00451237" w:rsidRDefault="004754E7" w:rsidP="00451237">
      <w:pPr>
        <w:pStyle w:val="Bezmezer"/>
        <w:tabs>
          <w:tab w:val="left" w:pos="2835"/>
        </w:tabs>
        <w:jc w:val="both"/>
        <w:rPr>
          <w:rFonts w:asciiTheme="minorHAnsi" w:hAnsiTheme="minorHAnsi" w:cstheme="minorHAnsi"/>
        </w:rPr>
      </w:pP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proofErr w:type="gramStart"/>
      <w:r w:rsidRPr="00451237">
        <w:rPr>
          <w:rFonts w:asciiTheme="minorHAnsi" w:eastAsia="Arial" w:hAnsiTheme="minorHAnsi" w:cstheme="minorHAnsi"/>
          <w:sz w:val="22"/>
          <w:szCs w:val="22"/>
        </w:rPr>
        <w:t>se dohodli</w:t>
      </w:r>
      <w:proofErr w:type="gramEnd"/>
      <w:r w:rsidRPr="00451237">
        <w:rPr>
          <w:rFonts w:asciiTheme="minorHAnsi" w:eastAsia="Arial" w:hAnsiTheme="minorHAnsi" w:cstheme="minorHAnsi"/>
          <w:sz w:val="22"/>
          <w:szCs w:val="22"/>
        </w:rPr>
        <w:t xml:space="preserve">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7B1BAE">
        <w:rPr>
          <w:rFonts w:asciiTheme="minorHAnsi" w:eastAsia="Arial" w:hAnsiTheme="minorHAnsi" w:cstheme="minorHAnsi"/>
          <w:b/>
          <w:sz w:val="22"/>
          <w:szCs w:val="22"/>
        </w:rPr>
        <w:t>Aplikace</w:t>
      </w:r>
      <w:r w:rsidRPr="007B1BAE">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7B1BAE">
        <w:rPr>
          <w:rFonts w:asciiTheme="minorHAnsi" w:eastAsia="Arial" w:hAnsiTheme="minorHAnsi" w:cstheme="minorHAnsi"/>
          <w:b/>
          <w:sz w:val="22"/>
          <w:szCs w:val="22"/>
        </w:rPr>
        <w:t>Licence</w:t>
      </w:r>
      <w:r w:rsidRPr="007B1BAE">
        <w:rPr>
          <w:rFonts w:asciiTheme="minorHAnsi" w:eastAsia="Arial" w:hAnsiTheme="minorHAnsi" w:cstheme="minorHAnsi"/>
          <w:sz w:val="22"/>
          <w:szCs w:val="22"/>
        </w:rPr>
        <w:t>“).</w:t>
      </w:r>
    </w:p>
    <w:p w14:paraId="59C9F9E2"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lastRenderedPageBreak/>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1CC6779A" w14:textId="40B3BD14" w:rsidR="00C31C4A" w:rsidRPr="007B1BAE" w:rsidRDefault="006F17E0" w:rsidP="00227D01">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Počet licencí: </w:t>
      </w:r>
      <w:r w:rsidR="00451237" w:rsidRPr="007B1BAE">
        <w:rPr>
          <w:rFonts w:asciiTheme="minorHAnsi" w:eastAsia="Arial" w:hAnsiTheme="minorHAnsi" w:cstheme="minorHAnsi"/>
          <w:b/>
          <w:sz w:val="22"/>
          <w:szCs w:val="22"/>
        </w:rPr>
        <w:t>1</w:t>
      </w:r>
    </w:p>
    <w:p w14:paraId="04E71A7B" w14:textId="77777777" w:rsidR="00C31C4A" w:rsidRPr="007B1BAE" w:rsidRDefault="00C31C4A" w:rsidP="00C31C4A">
      <w:pPr>
        <w:numPr>
          <w:ilvl w:val="1"/>
          <w:numId w:val="1"/>
        </w:numPr>
        <w:spacing w:before="60" w:after="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Monitoring médií dle rozsahu služeb v Příloze </w:t>
      </w:r>
      <w:proofErr w:type="gramStart"/>
      <w:r w:rsidRPr="007B1BAE">
        <w:rPr>
          <w:rFonts w:asciiTheme="minorHAnsi" w:eastAsia="Arial" w:hAnsiTheme="minorHAnsi" w:cstheme="minorHAnsi"/>
          <w:sz w:val="22"/>
          <w:szCs w:val="22"/>
        </w:rPr>
        <w:t>č.1</w:t>
      </w:r>
      <w:proofErr w:type="gramEnd"/>
    </w:p>
    <w:p w14:paraId="5445D276" w14:textId="30EF8866" w:rsidR="009D539B" w:rsidRPr="00451237" w:rsidRDefault="009D539B" w:rsidP="00C31C4A">
      <w:pPr>
        <w:spacing w:before="60" w:after="0" w:line="240" w:lineRule="auto"/>
        <w:ind w:left="720"/>
        <w:jc w:val="both"/>
        <w:rPr>
          <w:rFonts w:asciiTheme="minorHAnsi" w:eastAsia="Arial" w:hAnsiTheme="minorHAnsi" w:cstheme="minorHAnsi"/>
          <w:sz w:val="22"/>
          <w:szCs w:val="22"/>
        </w:rPr>
      </w:pPr>
    </w:p>
    <w:p w14:paraId="15A7EDFC" w14:textId="77777777" w:rsidR="009D539B" w:rsidRPr="00451237" w:rsidRDefault="009D539B" w:rsidP="00E00204">
      <w:pPr>
        <w:spacing w:before="60" w:after="0" w:line="240" w:lineRule="auto"/>
        <w:ind w:left="11910"/>
        <w:jc w:val="both"/>
        <w:rPr>
          <w:rFonts w:asciiTheme="minorHAnsi" w:eastAsia="Arial"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t>Aplikace MONITORA</w:t>
      </w:r>
    </w:p>
    <w:p w14:paraId="47522E30"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sz w:val="22"/>
          <w:szCs w:val="22"/>
        </w:rPr>
        <w:t xml:space="preserve">Seznam aktuálně sledovaných zdrojů je uveden na webových stránkách </w:t>
      </w:r>
      <w:hyperlink r:id="rId8">
        <w:r w:rsidRPr="007B1BAE">
          <w:rPr>
            <w:rFonts w:asciiTheme="minorHAnsi" w:eastAsia="Arial" w:hAnsiTheme="minorHAnsi" w:cstheme="minorHAnsi"/>
            <w:color w:val="4BACC6"/>
            <w:sz w:val="22"/>
            <w:szCs w:val="22"/>
            <w:u w:val="single"/>
          </w:rPr>
          <w:t>www.monitora.cz</w:t>
        </w:r>
      </w:hyperlink>
      <w:r w:rsidRPr="007B1BAE">
        <w:rPr>
          <w:rFonts w:asciiTheme="minorHAnsi" w:eastAsia="Arial" w:hAnsiTheme="minorHAnsi" w:cstheme="minorHAnsi"/>
          <w:sz w:val="22"/>
          <w:szCs w:val="22"/>
        </w:rPr>
        <w:t xml:space="preserve">.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w:t>
      </w:r>
      <w:r w:rsidRPr="007B1BAE">
        <w:rPr>
          <w:rFonts w:asciiTheme="minorHAnsi" w:eastAsia="Arial" w:hAnsiTheme="minorHAnsi" w:cstheme="minorHAnsi"/>
          <w:color w:val="auto"/>
          <w:sz w:val="22"/>
          <w:szCs w:val="22"/>
        </w:rPr>
        <w:t>informací. Změny podle tohoto odstavce nemají vliv na sjednanou odměnu za užívání Aplikace.</w:t>
      </w:r>
    </w:p>
    <w:p w14:paraId="69F061C8" w14:textId="77777777" w:rsidR="009D539B" w:rsidRPr="007B1BAE" w:rsidRDefault="006F17E0" w:rsidP="009D539B">
      <w:pPr>
        <w:numPr>
          <w:ilvl w:val="1"/>
          <w:numId w:val="1"/>
        </w:numPr>
        <w:spacing w:before="140" w:after="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7662BEAA"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46F7F442"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3AFFCFB7" w:rsidR="00B16EAF" w:rsidRDefault="006F17E0" w:rsidP="009D539B">
      <w:pPr>
        <w:numPr>
          <w:ilvl w:val="1"/>
          <w:numId w:val="1"/>
        </w:numPr>
        <w:spacing w:before="140" w:after="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Nabyvatel má právo přístupu k údajům, poskytnutým mu prostřednictvím Aplikace dle této smlouvy pouze po dobu účinnosti této smlouvy. </w:t>
      </w:r>
    </w:p>
    <w:p w14:paraId="02D07B59" w14:textId="77777777" w:rsidR="009F7FB0" w:rsidRPr="007B1BAE" w:rsidRDefault="009F7FB0" w:rsidP="009F7FB0">
      <w:pPr>
        <w:spacing w:before="140" w:after="0" w:line="240" w:lineRule="auto"/>
        <w:ind w:left="720"/>
        <w:jc w:val="both"/>
        <w:rPr>
          <w:rFonts w:asciiTheme="minorHAnsi" w:eastAsia="Arial" w:hAnsiTheme="minorHAnsi" w:cstheme="minorHAnsi"/>
          <w:color w:val="auto"/>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Omezení Aplikace a databáze</w:t>
      </w:r>
    </w:p>
    <w:p w14:paraId="0436817A"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7B1BAE" w:rsidRDefault="006F17E0" w:rsidP="009D539B">
      <w:pPr>
        <w:numPr>
          <w:ilvl w:val="1"/>
          <w:numId w:val="1"/>
        </w:numPr>
        <w:spacing w:before="140" w:after="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Poskytovatel neodpovídá za škody způsobené Nabyvateli anebo třetím osobám z důvodu vad Aplikace ane</w:t>
      </w:r>
      <w:r w:rsidR="009D539B" w:rsidRPr="007B1BAE">
        <w:rPr>
          <w:rFonts w:asciiTheme="minorHAnsi" w:eastAsia="Arial" w:hAnsiTheme="minorHAnsi" w:cstheme="minorHAnsi"/>
          <w:color w:val="auto"/>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39634DF2" w:rsidR="00B16EAF" w:rsidRPr="00451237" w:rsidRDefault="009D539B" w:rsidP="00227D01">
      <w:pPr>
        <w:pStyle w:val="Odstavecseseznamem"/>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w:t>
      </w:r>
      <w:r w:rsidR="006F17E0" w:rsidRPr="00451237">
        <w:rPr>
          <w:rFonts w:asciiTheme="minorHAnsi" w:eastAsia="Arial" w:hAnsiTheme="minorHAnsi" w:cstheme="minorHAnsi"/>
          <w:b/>
          <w:sz w:val="22"/>
          <w:szCs w:val="22"/>
        </w:rPr>
        <w:t>dměna za poskytnutí Licence</w:t>
      </w:r>
    </w:p>
    <w:p w14:paraId="35D41B77" w14:textId="6AB2DE03" w:rsidR="006B7BF1" w:rsidRDefault="006F17E0" w:rsidP="006B7BF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Celková výše měsíční odměny </w:t>
      </w:r>
      <w:r w:rsidR="009D539B" w:rsidRPr="007B1BAE">
        <w:rPr>
          <w:rFonts w:asciiTheme="minorHAnsi" w:eastAsia="Arial" w:hAnsiTheme="minorHAnsi" w:cstheme="minorHAnsi"/>
          <w:color w:val="auto"/>
          <w:sz w:val="22"/>
          <w:szCs w:val="22"/>
        </w:rPr>
        <w:t xml:space="preserve">za 1 licenci za monitoring: </w:t>
      </w:r>
      <w:r w:rsidR="00227D01" w:rsidRPr="007B1BAE">
        <w:rPr>
          <w:rFonts w:asciiTheme="minorHAnsi" w:hAnsiTheme="minorHAnsi" w:cstheme="minorHAnsi"/>
          <w:b/>
          <w:color w:val="auto"/>
          <w:sz w:val="22"/>
          <w:szCs w:val="22"/>
        </w:rPr>
        <w:t>5</w:t>
      </w:r>
      <w:r w:rsidR="00A83E07">
        <w:rPr>
          <w:rFonts w:asciiTheme="minorHAnsi" w:hAnsiTheme="minorHAnsi" w:cstheme="minorHAnsi"/>
          <w:b/>
          <w:color w:val="auto"/>
          <w:sz w:val="22"/>
          <w:szCs w:val="22"/>
        </w:rPr>
        <w:t xml:space="preserve"> </w:t>
      </w:r>
      <w:r w:rsidR="001774C2" w:rsidRPr="007B1BAE">
        <w:rPr>
          <w:rFonts w:asciiTheme="minorHAnsi" w:hAnsiTheme="minorHAnsi" w:cstheme="minorHAnsi"/>
          <w:b/>
          <w:color w:val="auto"/>
          <w:sz w:val="22"/>
          <w:szCs w:val="22"/>
        </w:rPr>
        <w:t>5</w:t>
      </w:r>
      <w:r w:rsidR="00451237" w:rsidRPr="007B1BAE">
        <w:rPr>
          <w:rFonts w:asciiTheme="minorHAnsi" w:hAnsiTheme="minorHAnsi" w:cstheme="minorHAnsi"/>
          <w:b/>
          <w:color w:val="auto"/>
          <w:sz w:val="22"/>
          <w:szCs w:val="22"/>
        </w:rPr>
        <w:t xml:space="preserve">00,- </w:t>
      </w:r>
      <w:r w:rsidR="009D539B" w:rsidRPr="007B1BAE">
        <w:rPr>
          <w:rFonts w:asciiTheme="minorHAnsi" w:eastAsia="Arial" w:hAnsiTheme="minorHAnsi" w:cstheme="minorHAnsi"/>
          <w:b/>
          <w:color w:val="auto"/>
          <w:sz w:val="22"/>
          <w:szCs w:val="22"/>
        </w:rPr>
        <w:t>Kč bez DPH</w:t>
      </w:r>
      <w:r w:rsidR="00A4133B" w:rsidRPr="007B1BAE">
        <w:rPr>
          <w:rFonts w:asciiTheme="minorHAnsi" w:eastAsia="Arial" w:hAnsiTheme="minorHAnsi" w:cstheme="minorHAnsi"/>
          <w:color w:val="auto"/>
          <w:sz w:val="22"/>
          <w:szCs w:val="22"/>
        </w:rPr>
        <w:t>.</w:t>
      </w:r>
    </w:p>
    <w:p w14:paraId="2C26BD31" w14:textId="0CB46FE2" w:rsidR="00A83E07" w:rsidRPr="005B5031" w:rsidRDefault="00A4133B" w:rsidP="005B503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eastAsia="Arial" w:hAnsiTheme="minorHAnsi" w:cstheme="minorHAnsi"/>
          <w:color w:val="auto"/>
          <w:sz w:val="22"/>
          <w:szCs w:val="22"/>
        </w:rPr>
        <w:t>Faktury budou odesílány elektronicky na email:.</w:t>
      </w:r>
      <w:r w:rsidR="005B5031" w:rsidRPr="005B5031">
        <w:rPr>
          <w:sz w:val="22"/>
          <w:szCs w:val="22"/>
          <w:shd w:val="clear" w:color="auto" w:fill="FFFFFF"/>
        </w:rPr>
        <w:t>XXXXXXXXXXXX</w:t>
      </w:r>
      <w:r w:rsidR="00945C86" w:rsidRPr="005B5031">
        <w:rPr>
          <w:sz w:val="22"/>
          <w:szCs w:val="22"/>
          <w:shd w:val="clear" w:color="auto" w:fill="FFFFFF"/>
        </w:rPr>
        <w:t>@fnbrno.cz</w:t>
      </w:r>
      <w:r w:rsidR="00A83E07" w:rsidRPr="005B5031">
        <w:rPr>
          <w:sz w:val="22"/>
          <w:szCs w:val="22"/>
          <w:shd w:val="clear" w:color="auto" w:fill="FFFFFF"/>
        </w:rPr>
        <w:t>.</w:t>
      </w:r>
    </w:p>
    <w:p w14:paraId="4B770A22" w14:textId="4B2677F8" w:rsidR="006B7BF1" w:rsidRPr="005B5031" w:rsidRDefault="006B7BF1" w:rsidP="006B7BF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hAnsiTheme="minorHAnsi" w:cstheme="minorHAnsi"/>
          <w:color w:val="auto"/>
          <w:sz w:val="22"/>
          <w:szCs w:val="22"/>
        </w:rPr>
        <w:t>K odměně dle čl. 5.1 bude připočtena DPH v zákonné výši.</w:t>
      </w:r>
    </w:p>
    <w:p w14:paraId="61A3ADA1" w14:textId="6DE8D193" w:rsidR="007F797F" w:rsidRPr="005B5031" w:rsidRDefault="08497742" w:rsidP="005B503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eastAsia="Arial" w:hAnsiTheme="minorHAnsi" w:cstheme="minorBidi"/>
        </w:rPr>
        <w:t>Smluvní strany sjednaly, že Nabyvatel uhradí Poskytovateli odměnu za čerpání služby a příslušnou DPH vždy měsíčně n</w:t>
      </w:r>
      <w:r w:rsidR="001774C2" w:rsidRPr="005B5031">
        <w:rPr>
          <w:rFonts w:asciiTheme="minorHAnsi" w:eastAsia="Arial" w:hAnsiTheme="minorHAnsi" w:cstheme="minorBidi"/>
        </w:rPr>
        <w:t xml:space="preserve">a základě měsíčních </w:t>
      </w:r>
      <w:r w:rsidR="000E340F" w:rsidRPr="005B5031">
        <w:rPr>
          <w:rFonts w:asciiTheme="minorHAnsi" w:eastAsia="Arial" w:hAnsiTheme="minorHAnsi" w:cstheme="minorBidi"/>
        </w:rPr>
        <w:t>faktur – daňových</w:t>
      </w:r>
      <w:r w:rsidR="001774C2" w:rsidRPr="005B5031">
        <w:rPr>
          <w:rFonts w:asciiTheme="minorHAnsi" w:eastAsia="Arial" w:hAnsiTheme="minorHAnsi" w:cstheme="minorBidi"/>
        </w:rPr>
        <w:t xml:space="preserve"> dokladů, vystavených Poskytovatelem služeb</w:t>
      </w:r>
      <w:r w:rsidR="00602C20" w:rsidRPr="005B5031">
        <w:rPr>
          <w:rFonts w:asciiTheme="minorHAnsi" w:eastAsia="Arial" w:hAnsiTheme="minorHAnsi" w:cstheme="minorBidi"/>
        </w:rPr>
        <w:t xml:space="preserve"> do 5 dnů </w:t>
      </w:r>
      <w:r w:rsidR="001774C2" w:rsidRPr="005B5031">
        <w:rPr>
          <w:rFonts w:asciiTheme="minorHAnsi" w:eastAsia="Arial" w:hAnsiTheme="minorHAnsi" w:cstheme="minorBidi"/>
        </w:rPr>
        <w:t xml:space="preserve">vždy k poslednímu dni měsíce, za který budou služby účtovány. </w:t>
      </w:r>
      <w:r w:rsidR="00602C20" w:rsidRPr="005B5031">
        <w:rPr>
          <w:rFonts w:asciiTheme="minorHAnsi" w:eastAsia="Arial" w:hAnsiTheme="minorHAnsi" w:cstheme="minorBidi"/>
        </w:rPr>
        <w:t>Poskytovatel je oprávněn vystavit fakturu nejdříve první den kalendářního měsíce následující po kalendářním měsíc</w:t>
      </w:r>
      <w:r w:rsidR="002839B8" w:rsidRPr="005B5031">
        <w:rPr>
          <w:rFonts w:asciiTheme="minorHAnsi" w:eastAsia="Arial" w:hAnsiTheme="minorHAnsi" w:cstheme="minorBidi"/>
        </w:rPr>
        <w:t>i</w:t>
      </w:r>
      <w:r w:rsidR="00602C20" w:rsidRPr="005B5031">
        <w:rPr>
          <w:rFonts w:asciiTheme="minorHAnsi" w:eastAsia="Arial" w:hAnsiTheme="minorHAnsi" w:cstheme="minorBidi"/>
        </w:rPr>
        <w:t xml:space="preserve">, ke kterému se faktura vztahuje. </w:t>
      </w:r>
      <w:r w:rsidR="001774C2" w:rsidRPr="005B5031">
        <w:rPr>
          <w:rFonts w:asciiTheme="minorHAnsi" w:eastAsia="Arial" w:hAnsiTheme="minorHAnsi" w:cstheme="minorBidi"/>
        </w:rPr>
        <w:t>Splatnost každé faktury je stanovena na 60 dnů od data vystavení. Datem uskutečnění zdanitelného plnění je poslední den měsíce, za který budou služby účtovány</w:t>
      </w:r>
      <w:r w:rsidRPr="005B5031">
        <w:rPr>
          <w:rFonts w:asciiTheme="minorHAnsi" w:eastAsia="Arial" w:hAnsiTheme="minorHAnsi" w:cstheme="minorBidi"/>
        </w:rPr>
        <w:t xml:space="preserve">. </w:t>
      </w:r>
      <w:r w:rsidR="007F797F" w:rsidRPr="005B5031">
        <w:rPr>
          <w:rFonts w:asciiTheme="minorHAnsi" w:hAnsiTheme="minorHAnsi" w:cstheme="minorHAnsi"/>
        </w:rPr>
        <w:t>Faktura musí splňovat veškeré náležitosti daňového a účetního dokladu stanovené právními předpisy, zejména musí splňovat ustanovení zákona č. 235/2004 Sb., o dani z přidané hodnoty, ve znění pozdějších předpisů (dále jen „</w:t>
      </w:r>
      <w:r w:rsidR="007F797F" w:rsidRPr="005B5031">
        <w:rPr>
          <w:rFonts w:asciiTheme="minorHAnsi" w:hAnsiTheme="minorHAnsi" w:cstheme="minorHAnsi"/>
          <w:b/>
        </w:rPr>
        <w:t>ZDPH</w:t>
      </w:r>
      <w:r w:rsidR="007F797F" w:rsidRPr="005B5031">
        <w:rPr>
          <w:rFonts w:asciiTheme="minorHAnsi" w:hAnsiTheme="minorHAnsi" w:cstheme="minorHAnsi"/>
        </w:rPr>
        <w:t xml:space="preserve">“), a musí na ní být uvedena Cena plnění, označení této smlouvy a datum splatnosti v souladu s touto smlouvou, jinak je </w:t>
      </w:r>
      <w:r w:rsidR="00A42C6A" w:rsidRPr="005B5031">
        <w:rPr>
          <w:rFonts w:asciiTheme="minorHAnsi" w:hAnsiTheme="minorHAnsi" w:cstheme="minorHAnsi"/>
        </w:rPr>
        <w:t>Nabyvatel</w:t>
      </w:r>
      <w:r w:rsidR="007F797F" w:rsidRPr="005B5031">
        <w:rPr>
          <w:rFonts w:asciiTheme="minorHAnsi" w:hAnsiTheme="minorHAnsi" w:cstheme="minorHAnsi"/>
        </w:rPr>
        <w:t xml:space="preserve"> oprávněn vrátit fakturu Poskytovateli k přepracování či doplnění. V takovém případě běží nová lhůta splatnosti ode dne doručení opravené faktury </w:t>
      </w:r>
      <w:r w:rsidR="00A42C6A" w:rsidRPr="005B5031">
        <w:rPr>
          <w:rFonts w:asciiTheme="minorHAnsi" w:hAnsiTheme="minorHAnsi" w:cstheme="minorHAnsi"/>
        </w:rPr>
        <w:t>Nabyvatel</w:t>
      </w:r>
      <w:r w:rsidR="007F797F" w:rsidRPr="005B5031">
        <w:rPr>
          <w:rFonts w:asciiTheme="minorHAnsi" w:hAnsiTheme="minorHAnsi" w:cstheme="minorHAnsi"/>
        </w:rPr>
        <w:t xml:space="preserve">i. </w:t>
      </w:r>
    </w:p>
    <w:p w14:paraId="24BBE9CB" w14:textId="4E9C3E7F" w:rsidR="007F797F" w:rsidRPr="005B5031" w:rsidRDefault="007F797F" w:rsidP="005B503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hAnsiTheme="minorHAnsi" w:cstheme="minorHAnsi"/>
        </w:rPr>
        <w:t xml:space="preserve">Všechny sjednané úhrady budou prováděny bezhotovostními převody z bankovního účtu </w:t>
      </w:r>
      <w:r w:rsidR="00A42C6A" w:rsidRPr="005B5031">
        <w:rPr>
          <w:rFonts w:asciiTheme="minorHAnsi" w:hAnsiTheme="minorHAnsi" w:cstheme="minorHAnsi"/>
        </w:rPr>
        <w:t>Nabyvatel</w:t>
      </w:r>
      <w:r w:rsidRPr="005B5031">
        <w:rPr>
          <w:rFonts w:asciiTheme="minorHAnsi" w:hAnsiTheme="minorHAnsi" w:cstheme="minorHAnsi"/>
        </w:rPr>
        <w:t xml:space="preserve">e na bankovní účet Poskytovatele uvedený v záhlaví této smlouvy. Dnem úhrady se vždy rozumí den odepsání příslušné částky z bankovního účtu </w:t>
      </w:r>
      <w:r w:rsidR="00A42C6A" w:rsidRPr="005B5031">
        <w:rPr>
          <w:rFonts w:asciiTheme="minorHAnsi" w:hAnsiTheme="minorHAnsi" w:cstheme="minorHAnsi"/>
        </w:rPr>
        <w:t>Nabyvatel</w:t>
      </w:r>
      <w:r w:rsidRPr="005B5031">
        <w:rPr>
          <w:rFonts w:asciiTheme="minorHAnsi" w:hAnsiTheme="minorHAnsi" w:cstheme="minorHAnsi"/>
        </w:rPr>
        <w:t>e.</w:t>
      </w:r>
    </w:p>
    <w:p w14:paraId="4D8066FE" w14:textId="49821D1A" w:rsidR="007F797F" w:rsidRPr="005B5031" w:rsidRDefault="007F797F" w:rsidP="00447A3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hAnsiTheme="minorHAnsi" w:cstheme="minorHAnsi"/>
        </w:rPr>
        <w:t xml:space="preserve">V případě, že v okamžiku uskutečnění zdanitelného plnění bude Poskytovatel zapsán v registru plátců daně z přidané hodnoty jako nespolehlivý plátce, případně budou naplněny další podmínky § 109 ZDPH, má </w:t>
      </w:r>
      <w:r w:rsidR="00A42C6A" w:rsidRPr="005B5031">
        <w:rPr>
          <w:rFonts w:asciiTheme="minorHAnsi" w:hAnsiTheme="minorHAnsi" w:cstheme="minorHAnsi"/>
        </w:rPr>
        <w:t>Nabyvatel</w:t>
      </w:r>
      <w:r w:rsidRPr="005B5031">
        <w:rPr>
          <w:rFonts w:asciiTheme="minorHAnsi" w:hAnsiTheme="minorHAnsi" w:cstheme="minorHAnsi"/>
        </w:rPr>
        <w:t xml:space="preserve"> právo uhradit za Poskytovatele DPH z tohoto zdanitelného plnění, aniž by byl vyzván jako ručitel správcem daně Poskytovatele, a to postupem dle § 109a ZDPH. Stejným způsobem bude postupováno, pokud Poskytovatel uvede ve smlouvě bankovní účet, který není uveden v registru plátců daně z přidané hodnoty nebo bude evidován jako nespolehlivá osoba.</w:t>
      </w:r>
    </w:p>
    <w:p w14:paraId="4DF0D999" w14:textId="27DD658A" w:rsidR="007F797F" w:rsidRPr="005B5031" w:rsidRDefault="007F797F" w:rsidP="005B503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hAnsiTheme="minorHAnsi" w:cstheme="minorHAnsi"/>
        </w:rPr>
        <w:t xml:space="preserve">Pokud </w:t>
      </w:r>
      <w:r w:rsidR="00A42C6A" w:rsidRPr="005B5031">
        <w:rPr>
          <w:rFonts w:asciiTheme="minorHAnsi" w:hAnsiTheme="minorHAnsi" w:cstheme="minorHAnsi"/>
        </w:rPr>
        <w:t>Nabyvatel</w:t>
      </w:r>
      <w:r w:rsidRPr="005B5031">
        <w:rPr>
          <w:rFonts w:asciiTheme="minorHAnsi" w:hAnsiTheme="minorHAnsi" w:cstheme="minorHAnsi"/>
        </w:rPr>
        <w:t xml:space="preserve"> uhradí částku ve výši DPH na účet správce daně Poskytovatele a zbývající částku (tj. relevantní část bez DPH) Poskytovateli, považuje se jeho závazek uhradit cenu plnění za splněný. </w:t>
      </w:r>
    </w:p>
    <w:p w14:paraId="31711BD6" w14:textId="29668066" w:rsidR="007F797F" w:rsidRPr="005B5031" w:rsidRDefault="007F797F" w:rsidP="005B5031">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5B5031">
        <w:rPr>
          <w:rFonts w:asciiTheme="minorHAnsi" w:hAnsiTheme="minorHAnsi" w:cstheme="minorHAnsi"/>
        </w:rPr>
        <w:t xml:space="preserve">Poskytovatel je oprávněn postoupit své peněžité pohledávky za </w:t>
      </w:r>
      <w:r w:rsidR="00A42C6A" w:rsidRPr="005B5031">
        <w:rPr>
          <w:rFonts w:asciiTheme="minorHAnsi" w:hAnsiTheme="minorHAnsi" w:cstheme="minorHAnsi"/>
        </w:rPr>
        <w:t>Nabyvatel</w:t>
      </w:r>
      <w:r w:rsidRPr="005B5031">
        <w:rPr>
          <w:rFonts w:asciiTheme="minorHAnsi" w:hAnsiTheme="minorHAnsi" w:cstheme="minorHAnsi"/>
        </w:rPr>
        <w:t xml:space="preserve">em výhradně po předchozím písemném souhlasu </w:t>
      </w:r>
      <w:r w:rsidR="00A42C6A" w:rsidRPr="005B5031">
        <w:rPr>
          <w:rFonts w:asciiTheme="minorHAnsi" w:hAnsiTheme="minorHAnsi" w:cstheme="minorHAnsi"/>
        </w:rPr>
        <w:t>Nabyvatel</w:t>
      </w:r>
      <w:r w:rsidRPr="005B5031">
        <w:rPr>
          <w:rFonts w:asciiTheme="minorHAnsi" w:hAnsiTheme="minorHAnsi" w:cstheme="minorHAnsi"/>
        </w:rPr>
        <w:t xml:space="preserve">e, jinak je postoupení vůči </w:t>
      </w:r>
      <w:r w:rsidR="00A42C6A" w:rsidRPr="005B5031">
        <w:rPr>
          <w:rFonts w:asciiTheme="minorHAnsi" w:hAnsiTheme="minorHAnsi" w:cstheme="minorHAnsi"/>
        </w:rPr>
        <w:t>Nabyvatel</w:t>
      </w:r>
      <w:r w:rsidRPr="005B5031">
        <w:rPr>
          <w:rFonts w:asciiTheme="minorHAnsi" w:hAnsiTheme="minorHAnsi" w:cstheme="minorHAnsi"/>
        </w:rPr>
        <w:t xml:space="preserve">i neúčinné. Poskytovatel je oprávněn započítat své peněžité pohledávky za </w:t>
      </w:r>
      <w:r w:rsidR="00A42C6A" w:rsidRPr="005B5031">
        <w:rPr>
          <w:rFonts w:asciiTheme="minorHAnsi" w:hAnsiTheme="minorHAnsi" w:cstheme="minorHAnsi"/>
        </w:rPr>
        <w:t>Nabyvatel</w:t>
      </w:r>
      <w:r w:rsidRPr="005B5031">
        <w:rPr>
          <w:rFonts w:asciiTheme="minorHAnsi" w:hAnsiTheme="minorHAnsi" w:cstheme="minorHAnsi"/>
        </w:rPr>
        <w:t>em výhradně na základě písemné dohody obou smluvních stran, jinak je započtení pohledávek neplatné.</w:t>
      </w:r>
    </w:p>
    <w:p w14:paraId="4923B91C" w14:textId="70852483" w:rsidR="007F797F" w:rsidRPr="005B5031" w:rsidRDefault="00A42C6A" w:rsidP="005B5031">
      <w:pPr>
        <w:numPr>
          <w:ilvl w:val="1"/>
          <w:numId w:val="1"/>
        </w:numPr>
        <w:spacing w:after="120" w:line="240" w:lineRule="auto"/>
        <w:ind w:left="720" w:hanging="720"/>
        <w:jc w:val="both"/>
        <w:rPr>
          <w:rFonts w:asciiTheme="minorHAnsi" w:eastAsia="Arial" w:hAnsiTheme="minorHAnsi" w:cstheme="minorBidi"/>
          <w:color w:val="auto"/>
          <w:sz w:val="22"/>
          <w:szCs w:val="22"/>
        </w:rPr>
      </w:pPr>
      <w:bookmarkStart w:id="1" w:name="_GoBack"/>
      <w:bookmarkEnd w:id="1"/>
      <w:r w:rsidRPr="005B5031">
        <w:rPr>
          <w:rFonts w:asciiTheme="minorHAnsi" w:hAnsiTheme="minorHAnsi" w:cstheme="minorHAnsi"/>
        </w:rPr>
        <w:t>Nabyvatel</w:t>
      </w:r>
      <w:r w:rsidR="007F797F" w:rsidRPr="005B5031">
        <w:rPr>
          <w:rFonts w:asciiTheme="minorHAnsi" w:hAnsiTheme="minorHAnsi" w:cstheme="minorHAnsi"/>
        </w:rPr>
        <w:t xml:space="preserve"> se v případě prodlení s úhradou Ceny zavazuje uhradit Poskytovateli úroky z prodlení ve výši stanovené platnými právními předpisy</w:t>
      </w:r>
      <w:r w:rsidR="007F797F" w:rsidRPr="00F445F3">
        <w:t xml:space="preserve">. </w:t>
      </w:r>
    </w:p>
    <w:p w14:paraId="71C23B8D" w14:textId="1784CF5D" w:rsidR="00F679A6" w:rsidRPr="007B1BAE" w:rsidRDefault="00F679A6" w:rsidP="00F679A6">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B1BAE">
        <w:rPr>
          <w:rFonts w:asciiTheme="minorHAnsi" w:eastAsia="Arial" w:hAnsiTheme="minorHAnsi" w:cstheme="minorHAnsi"/>
          <w:color w:val="auto"/>
          <w:sz w:val="22"/>
          <w:szCs w:val="22"/>
        </w:rPr>
        <w:t xml:space="preserve"> V případě prodlení úhrady faktury překračující </w:t>
      </w:r>
      <w:r w:rsidR="008977BF" w:rsidRPr="007B1BAE">
        <w:rPr>
          <w:rFonts w:asciiTheme="minorHAnsi" w:eastAsia="Arial" w:hAnsiTheme="minorHAnsi" w:cstheme="minorHAnsi"/>
          <w:color w:val="auto"/>
          <w:sz w:val="22"/>
          <w:szCs w:val="22"/>
        </w:rPr>
        <w:t>14</w:t>
      </w:r>
      <w:r w:rsidRPr="007B1BAE">
        <w:rPr>
          <w:rFonts w:asciiTheme="minorHAnsi" w:eastAsia="Arial" w:hAnsiTheme="minorHAnsi" w:cstheme="minorHAnsi"/>
          <w:color w:val="auto"/>
          <w:sz w:val="22"/>
          <w:szCs w:val="22"/>
        </w:rPr>
        <w:t xml:space="preserve"> kalendářních dnů má Poskytovatel nárok na pozastavení aplikace do doby úhrady, aniž by se tím narušil nárok Poskytovatele na odměnu, a to bez nároku </w:t>
      </w:r>
      <w:r w:rsidR="00A42C6A">
        <w:rPr>
          <w:rFonts w:asciiTheme="minorHAnsi" w:eastAsia="Arial" w:hAnsiTheme="minorHAnsi" w:cstheme="minorHAnsi"/>
          <w:color w:val="auto"/>
          <w:sz w:val="22"/>
          <w:szCs w:val="22"/>
        </w:rPr>
        <w:t>Nabyvatele</w:t>
      </w:r>
      <w:r w:rsidRPr="007B1BAE">
        <w:rPr>
          <w:rFonts w:asciiTheme="minorHAnsi" w:eastAsia="Arial" w:hAnsiTheme="minorHAnsi" w:cstheme="minorHAnsi"/>
          <w:color w:val="auto"/>
          <w:sz w:val="22"/>
          <w:szCs w:val="22"/>
        </w:rPr>
        <w:t xml:space="preserve"> na náhradu období, po které byla aplikace pozastavena</w:t>
      </w:r>
      <w:r w:rsidR="008977BF" w:rsidRPr="007B1BAE">
        <w:rPr>
          <w:rFonts w:asciiTheme="minorHAnsi" w:eastAsia="Arial" w:hAnsiTheme="minorHAnsi" w:cstheme="minorHAnsi"/>
          <w:color w:val="auto"/>
          <w:sz w:val="22"/>
          <w:szCs w:val="22"/>
        </w:rPr>
        <w:t>.</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4304DE9F" w:rsidR="00B16EAF" w:rsidRPr="00451237" w:rsidRDefault="009D539B" w:rsidP="00227D01">
      <w:pPr>
        <w:pStyle w:val="Odstavecseseznamem"/>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T</w:t>
      </w:r>
      <w:r w:rsidR="006F17E0" w:rsidRPr="00451237">
        <w:rPr>
          <w:rFonts w:asciiTheme="minorHAnsi" w:eastAsia="Arial" w:hAnsiTheme="minorHAnsi" w:cstheme="minorHAnsi"/>
          <w:b/>
          <w:sz w:val="22"/>
          <w:szCs w:val="22"/>
        </w:rPr>
        <w:t>rvání smlouvy</w:t>
      </w:r>
    </w:p>
    <w:p w14:paraId="6D7DB24A" w14:textId="01893901" w:rsidR="001774C2" w:rsidRPr="007B1BAE" w:rsidRDefault="001774C2" w:rsidP="008977BF">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Tato smlouva se uzavírá od </w:t>
      </w:r>
      <w:proofErr w:type="gramStart"/>
      <w:r w:rsidRPr="007B1BAE">
        <w:rPr>
          <w:rFonts w:asciiTheme="minorHAnsi" w:eastAsia="Arial" w:hAnsiTheme="minorHAnsi" w:cstheme="minorHAnsi"/>
          <w:sz w:val="22"/>
          <w:szCs w:val="22"/>
        </w:rPr>
        <w:t>1.</w:t>
      </w:r>
      <w:r w:rsidR="00227D01" w:rsidRPr="007B1BAE">
        <w:rPr>
          <w:rFonts w:asciiTheme="minorHAnsi" w:eastAsia="Arial" w:hAnsiTheme="minorHAnsi" w:cstheme="minorHAnsi"/>
          <w:sz w:val="22"/>
          <w:szCs w:val="22"/>
        </w:rPr>
        <w:t>9</w:t>
      </w:r>
      <w:r w:rsidRPr="007B1BAE">
        <w:rPr>
          <w:rFonts w:asciiTheme="minorHAnsi" w:eastAsia="Arial" w:hAnsiTheme="minorHAnsi" w:cstheme="minorHAnsi"/>
          <w:sz w:val="22"/>
          <w:szCs w:val="22"/>
        </w:rPr>
        <w:t>.2021</w:t>
      </w:r>
      <w:proofErr w:type="gramEnd"/>
      <w:r w:rsidRPr="007B1BAE">
        <w:rPr>
          <w:rFonts w:asciiTheme="minorHAnsi" w:eastAsia="Arial" w:hAnsiTheme="minorHAnsi" w:cstheme="minorHAnsi"/>
          <w:sz w:val="22"/>
          <w:szCs w:val="22"/>
        </w:rPr>
        <w:t xml:space="preserve"> na dobu neurčitou.</w:t>
      </w:r>
    </w:p>
    <w:p w14:paraId="1569DC5E" w14:textId="5D13E672" w:rsidR="001774C2" w:rsidRPr="007B1BAE" w:rsidRDefault="001774C2" w:rsidP="008977BF">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Smlouvu může kterákoli ze smluvních stran vypovědět. Výpovědní lhůta je 90 dní a začíná běžet prvním dnem následujícího měsíce po doručení písemné výpovědi </w:t>
      </w:r>
      <w:r w:rsidR="006C4E7F">
        <w:rPr>
          <w:rFonts w:asciiTheme="minorHAnsi" w:eastAsia="Arial" w:hAnsiTheme="minorHAnsi" w:cstheme="minorHAnsi"/>
          <w:sz w:val="22"/>
          <w:szCs w:val="22"/>
        </w:rPr>
        <w:t>druhé smluvní straně.</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6B482986" w14:textId="0F1160B3"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Vztahuje-li se důvod </w:t>
      </w:r>
      <w:r w:rsidR="000E340F" w:rsidRPr="007B1BAE">
        <w:rPr>
          <w:rFonts w:asciiTheme="minorHAnsi" w:eastAsia="Arial" w:hAnsiTheme="minorHAnsi" w:cstheme="minorHAnsi"/>
          <w:sz w:val="22"/>
          <w:szCs w:val="22"/>
        </w:rPr>
        <w:t>neplatnosti,</w:t>
      </w:r>
      <w:r w:rsidRPr="007B1BAE">
        <w:rPr>
          <w:rFonts w:asciiTheme="minorHAnsi" w:eastAsia="Arial" w:hAnsiTheme="minorHAnsi" w:cstheme="minorHAnsi"/>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4A6DE8DF"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58BA221"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08D7B424"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56268F23" w14:textId="3E2A0329"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Tato smlouva je uzavřena ve dvou vyhotoveních, z nichž každá strana obdrží po jednom.</w:t>
      </w:r>
    </w:p>
    <w:p w14:paraId="6CC80B77" w14:textId="365B3A2E" w:rsidR="006C4E7F" w:rsidRDefault="006C4E7F">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Smlouva je platná dnem jejího podpisu oběma smluvními stranami a účinná dnem zveřejnění v registru smluv. Zveřejnění zajistí Nabyvatel.</w:t>
      </w:r>
    </w:p>
    <w:p w14:paraId="64D3CE13" w14:textId="1209E91A" w:rsidR="00284EBC" w:rsidRPr="007B1BAE" w:rsidRDefault="00284EBC">
      <w:pPr>
        <w:numPr>
          <w:ilvl w:val="1"/>
          <w:numId w:val="1"/>
        </w:numPr>
        <w:spacing w:after="120" w:line="240" w:lineRule="auto"/>
        <w:ind w:left="720" w:hanging="720"/>
        <w:jc w:val="both"/>
        <w:rPr>
          <w:rFonts w:asciiTheme="minorHAnsi" w:eastAsia="Arial" w:hAnsiTheme="minorHAnsi" w:cstheme="minorHAnsi"/>
          <w:sz w:val="22"/>
          <w:szCs w:val="22"/>
        </w:rPr>
      </w:pPr>
      <w:r w:rsidRPr="00284EBC">
        <w:rPr>
          <w:rFonts w:asciiTheme="minorHAnsi" w:eastAsia="Arial" w:hAnsiTheme="minorHAnsi" w:cstheme="minorHAnsi"/>
          <w:sz w:val="22"/>
          <w:szCs w:val="22"/>
        </w:rPr>
        <w:t>Znění t</w:t>
      </w:r>
      <w:r>
        <w:rPr>
          <w:rFonts w:asciiTheme="minorHAnsi" w:eastAsia="Arial" w:hAnsiTheme="minorHAnsi" w:cstheme="minorHAnsi"/>
          <w:sz w:val="22"/>
          <w:szCs w:val="22"/>
        </w:rPr>
        <w:t>éto</w:t>
      </w:r>
      <w:r w:rsidRPr="00284EBC">
        <w:rPr>
          <w:rFonts w:asciiTheme="minorHAnsi" w:eastAsia="Arial" w:hAnsiTheme="minorHAnsi" w:cstheme="minorHAnsi"/>
          <w:sz w:val="22"/>
          <w:szCs w:val="22"/>
        </w:rPr>
        <w:t xml:space="preserve"> </w:t>
      </w:r>
      <w:r>
        <w:rPr>
          <w:rFonts w:asciiTheme="minorHAnsi" w:eastAsia="Arial" w:hAnsiTheme="minorHAnsi" w:cstheme="minorHAnsi"/>
          <w:sz w:val="22"/>
          <w:szCs w:val="22"/>
        </w:rPr>
        <w:t>smlouvy</w:t>
      </w:r>
      <w:r w:rsidRPr="00284EBC">
        <w:rPr>
          <w:rFonts w:asciiTheme="minorHAnsi" w:eastAsia="Arial" w:hAnsiTheme="minorHAnsi" w:cstheme="minorHAnsi"/>
          <w:sz w:val="22"/>
          <w:szCs w:val="22"/>
        </w:rPr>
        <w:t xml:space="preserve"> zcela odpovídá ústní dohodě smluvních stran, která nabyla účinnosti dnem 1. </w:t>
      </w:r>
      <w:r>
        <w:rPr>
          <w:rFonts w:asciiTheme="minorHAnsi" w:eastAsia="Arial" w:hAnsiTheme="minorHAnsi" w:cstheme="minorHAnsi"/>
          <w:sz w:val="22"/>
          <w:szCs w:val="22"/>
        </w:rPr>
        <w:t>9</w:t>
      </w:r>
      <w:r w:rsidRPr="00284EBC">
        <w:rPr>
          <w:rFonts w:asciiTheme="minorHAnsi" w:eastAsia="Arial" w:hAnsiTheme="minorHAnsi" w:cstheme="minorHAnsi"/>
          <w:sz w:val="22"/>
          <w:szCs w:val="22"/>
        </w:rPr>
        <w:t>. 202</w:t>
      </w:r>
      <w:r>
        <w:rPr>
          <w:rFonts w:asciiTheme="minorHAnsi" w:eastAsia="Arial" w:hAnsiTheme="minorHAnsi" w:cstheme="minorHAnsi"/>
          <w:sz w:val="22"/>
          <w:szCs w:val="22"/>
        </w:rPr>
        <w:t>1</w:t>
      </w:r>
      <w:r w:rsidRPr="00284EBC">
        <w:rPr>
          <w:rFonts w:asciiTheme="minorHAnsi" w:eastAsia="Arial" w:hAnsiTheme="minorHAnsi" w:cstheme="minorHAnsi"/>
          <w:sz w:val="22"/>
          <w:szCs w:val="22"/>
        </w:rPr>
        <w:t xml:space="preserve"> a podle které smluvní strany postupovaly již před podpisem tohoto písemného znění </w:t>
      </w:r>
      <w:r>
        <w:rPr>
          <w:rFonts w:asciiTheme="minorHAnsi" w:eastAsia="Arial" w:hAnsiTheme="minorHAnsi" w:cstheme="minorHAnsi"/>
          <w:sz w:val="22"/>
          <w:szCs w:val="22"/>
        </w:rPr>
        <w:t>smlouvy</w:t>
      </w:r>
      <w:r w:rsidRPr="00284EBC">
        <w:rPr>
          <w:rFonts w:asciiTheme="minorHAnsi" w:eastAsia="Arial" w:hAnsiTheme="minorHAnsi" w:cstheme="minorHAnsi"/>
          <w:sz w:val="22"/>
          <w:szCs w:val="22"/>
        </w:rPr>
        <w:t>, a smluvní strany si tímto obsah této ústní dohody v písemné formě potvrzují.</w:t>
      </w:r>
    </w:p>
    <w:p w14:paraId="204E0530" w14:textId="77777777" w:rsidR="00B16EAF" w:rsidRPr="007B1BAE"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7B1BAE">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574AE170" w14:textId="6EB770E8" w:rsidR="00FF3978" w:rsidRPr="00451237" w:rsidRDefault="00FF3978" w:rsidP="00FF3978">
      <w:pPr>
        <w:spacing w:after="120" w:line="240" w:lineRule="auto"/>
        <w:rPr>
          <w:rFonts w:asciiTheme="minorHAnsi" w:eastAsia="Arial" w:hAnsiTheme="minorHAnsi" w:cstheme="minorHAnsi"/>
          <w:b/>
          <w:sz w:val="22"/>
          <w:szCs w:val="22"/>
          <w:highlight w:val="yellow"/>
        </w:rPr>
      </w:pPr>
    </w:p>
    <w:p w14:paraId="4E597312" w14:textId="77777777" w:rsidR="00FD6A58" w:rsidRPr="00451237" w:rsidRDefault="00FD6A58" w:rsidP="00FF3978">
      <w:pPr>
        <w:spacing w:after="120" w:line="240" w:lineRule="auto"/>
        <w:rPr>
          <w:rFonts w:asciiTheme="minorHAnsi" w:eastAsia="Arial" w:hAnsiTheme="minorHAnsi" w:cstheme="minorHAnsi"/>
          <w:b/>
          <w:sz w:val="22"/>
          <w:szCs w:val="22"/>
          <w:highlight w:val="yellow"/>
        </w:rPr>
      </w:pP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79DCDD8B" w14:textId="47DAB1D0" w:rsidR="00451237" w:rsidRPr="001774C2" w:rsidRDefault="00451237" w:rsidP="00192AA1">
            <w:pPr>
              <w:pStyle w:val="slovn"/>
              <w:numPr>
                <w:ilvl w:val="0"/>
                <w:numId w:val="0"/>
              </w:numPr>
              <w:spacing w:after="0"/>
              <w:jc w:val="center"/>
              <w:rPr>
                <w:rFonts w:asciiTheme="minorHAnsi" w:hAnsiTheme="minorHAnsi" w:cstheme="minorHAnsi"/>
                <w:lang w:val="it-IT"/>
              </w:rPr>
            </w:pPr>
            <w:r w:rsidRPr="001774C2">
              <w:rPr>
                <w:rFonts w:asciiTheme="minorHAnsi" w:hAnsiTheme="minorHAnsi" w:cstheme="minorHAnsi"/>
                <w:lang w:val="it-IT"/>
              </w:rPr>
              <w:t xml:space="preserve">Praha, dne </w:t>
            </w:r>
            <w:r w:rsidR="005946B9">
              <w:rPr>
                <w:rFonts w:asciiTheme="minorHAnsi" w:hAnsiTheme="minorHAnsi" w:cstheme="minorHAnsi"/>
                <w:lang w:val="it-IT"/>
              </w:rPr>
              <w:t>..............</w:t>
            </w:r>
          </w:p>
          <w:p w14:paraId="41091AC0" w14:textId="77777777" w:rsidR="00451237" w:rsidRPr="001774C2" w:rsidRDefault="00451237" w:rsidP="00192AA1">
            <w:pPr>
              <w:pStyle w:val="slovn"/>
              <w:numPr>
                <w:ilvl w:val="0"/>
                <w:numId w:val="0"/>
              </w:numPr>
              <w:spacing w:after="0"/>
              <w:jc w:val="both"/>
              <w:rPr>
                <w:rFonts w:asciiTheme="minorHAnsi" w:hAnsiTheme="minorHAnsi" w:cstheme="minorHAnsi"/>
                <w:lang w:val="it-IT"/>
              </w:rPr>
            </w:pPr>
          </w:p>
          <w:p w14:paraId="15540DFF" w14:textId="3D5A7664" w:rsidR="00451237" w:rsidRPr="001774C2" w:rsidRDefault="00451237" w:rsidP="00192AA1">
            <w:pPr>
              <w:pStyle w:val="slovn"/>
              <w:numPr>
                <w:ilvl w:val="0"/>
                <w:numId w:val="0"/>
              </w:numPr>
              <w:spacing w:after="0"/>
              <w:jc w:val="both"/>
              <w:rPr>
                <w:rFonts w:asciiTheme="minorHAnsi" w:hAnsiTheme="minorHAnsi" w:cstheme="minorHAnsi"/>
                <w:lang w:val="it-IT"/>
              </w:rPr>
            </w:pPr>
          </w:p>
          <w:p w14:paraId="54A9A5BC" w14:textId="77777777" w:rsidR="00451237" w:rsidRPr="001774C2" w:rsidRDefault="00451237" w:rsidP="00192AA1">
            <w:pPr>
              <w:pStyle w:val="slovn"/>
              <w:numPr>
                <w:ilvl w:val="0"/>
                <w:numId w:val="0"/>
              </w:numPr>
              <w:spacing w:after="0"/>
              <w:jc w:val="both"/>
              <w:rPr>
                <w:rFonts w:asciiTheme="minorHAnsi" w:hAnsiTheme="minorHAnsi" w:cstheme="minorHAnsi"/>
                <w:lang w:val="it-IT"/>
              </w:rPr>
            </w:pPr>
          </w:p>
          <w:p w14:paraId="0B47FCAF" w14:textId="77777777" w:rsidR="00451237" w:rsidRPr="001774C2" w:rsidRDefault="00451237" w:rsidP="00192AA1">
            <w:pPr>
              <w:pStyle w:val="slovn"/>
              <w:numPr>
                <w:ilvl w:val="0"/>
                <w:numId w:val="0"/>
              </w:numPr>
              <w:spacing w:after="0"/>
              <w:jc w:val="both"/>
              <w:rPr>
                <w:rFonts w:asciiTheme="minorHAnsi" w:hAnsiTheme="minorHAnsi" w:cstheme="minorHAnsi"/>
                <w:lang w:val="it-IT"/>
              </w:rPr>
            </w:pPr>
          </w:p>
          <w:p w14:paraId="63B581D1" w14:textId="77777777" w:rsidR="00451237" w:rsidRPr="001774C2" w:rsidRDefault="00451237" w:rsidP="00192AA1">
            <w:pPr>
              <w:pStyle w:val="slovn"/>
              <w:numPr>
                <w:ilvl w:val="0"/>
                <w:numId w:val="0"/>
              </w:numPr>
              <w:spacing w:after="0"/>
              <w:jc w:val="both"/>
              <w:rPr>
                <w:rFonts w:asciiTheme="minorHAnsi" w:hAnsiTheme="minorHAnsi" w:cstheme="minorHAnsi"/>
                <w:lang w:val="it-IT"/>
              </w:rPr>
            </w:pPr>
          </w:p>
          <w:p w14:paraId="292C1934" w14:textId="284F73A3" w:rsidR="00451237" w:rsidRPr="001774C2" w:rsidRDefault="00451237" w:rsidP="00192AA1">
            <w:pPr>
              <w:pStyle w:val="slovn"/>
              <w:numPr>
                <w:ilvl w:val="0"/>
                <w:numId w:val="0"/>
              </w:numPr>
              <w:spacing w:after="0"/>
              <w:jc w:val="both"/>
              <w:rPr>
                <w:rFonts w:asciiTheme="minorHAnsi" w:hAnsiTheme="minorHAnsi" w:cstheme="minorHAnsi"/>
                <w:lang w:val="it-IT"/>
              </w:rPr>
            </w:pPr>
          </w:p>
          <w:p w14:paraId="1BCFB589" w14:textId="19DCA45C" w:rsidR="00451237" w:rsidRPr="001774C2" w:rsidRDefault="00451237" w:rsidP="00192AA1">
            <w:pPr>
              <w:pStyle w:val="slovn"/>
              <w:numPr>
                <w:ilvl w:val="0"/>
                <w:numId w:val="0"/>
              </w:numPr>
              <w:spacing w:after="0"/>
              <w:jc w:val="both"/>
              <w:rPr>
                <w:rFonts w:asciiTheme="minorHAnsi" w:hAnsiTheme="minorHAnsi" w:cstheme="minorHAnsi"/>
                <w:lang w:val="it-IT"/>
              </w:rPr>
            </w:pPr>
          </w:p>
          <w:p w14:paraId="0A7413DA" w14:textId="27CD592C" w:rsidR="00451237" w:rsidRPr="001774C2" w:rsidRDefault="00451237" w:rsidP="00192AA1">
            <w:pPr>
              <w:pStyle w:val="slovn"/>
              <w:numPr>
                <w:ilvl w:val="0"/>
                <w:numId w:val="0"/>
              </w:numPr>
              <w:spacing w:after="0"/>
              <w:jc w:val="both"/>
              <w:rPr>
                <w:rFonts w:asciiTheme="minorHAnsi" w:hAnsiTheme="minorHAnsi" w:cstheme="minorHAnsi"/>
                <w:lang w:val="it-IT"/>
              </w:rPr>
            </w:pPr>
          </w:p>
          <w:p w14:paraId="222A45D3" w14:textId="77777777" w:rsidR="00451237" w:rsidRPr="001774C2" w:rsidRDefault="00451237" w:rsidP="00192AA1">
            <w:pPr>
              <w:pStyle w:val="slovn"/>
              <w:numPr>
                <w:ilvl w:val="0"/>
                <w:numId w:val="0"/>
              </w:numPr>
              <w:spacing w:after="0"/>
              <w:jc w:val="both"/>
              <w:rPr>
                <w:rFonts w:asciiTheme="minorHAnsi" w:hAnsiTheme="minorHAnsi" w:cstheme="minorHAnsi"/>
                <w:lang w:val="it-IT"/>
              </w:rPr>
            </w:pPr>
          </w:p>
          <w:p w14:paraId="4AC568E6" w14:textId="77777777" w:rsidR="00451237" w:rsidRPr="001774C2" w:rsidRDefault="00451237" w:rsidP="00192AA1">
            <w:pPr>
              <w:pStyle w:val="slovn"/>
              <w:numPr>
                <w:ilvl w:val="0"/>
                <w:numId w:val="0"/>
              </w:numPr>
              <w:spacing w:after="0"/>
              <w:jc w:val="center"/>
              <w:rPr>
                <w:rFonts w:asciiTheme="minorHAnsi" w:hAnsiTheme="minorHAnsi" w:cstheme="minorHAnsi"/>
                <w:lang w:val="it-IT"/>
              </w:rPr>
            </w:pPr>
            <w:r w:rsidRPr="001774C2">
              <w:rPr>
                <w:rFonts w:asciiTheme="minorHAnsi" w:hAnsiTheme="minorHAnsi" w:cstheme="minorHAnsi"/>
                <w:lang w:val="it-IT"/>
              </w:rPr>
              <w:t>……………………………………………………</w:t>
            </w:r>
          </w:p>
          <w:p w14:paraId="125610B5" w14:textId="77777777" w:rsidR="00451237" w:rsidRPr="001774C2" w:rsidRDefault="00451237" w:rsidP="00192AA1">
            <w:pPr>
              <w:pStyle w:val="slovn"/>
              <w:numPr>
                <w:ilvl w:val="0"/>
                <w:numId w:val="0"/>
              </w:numPr>
              <w:spacing w:after="0"/>
              <w:jc w:val="center"/>
              <w:rPr>
                <w:rFonts w:asciiTheme="minorHAnsi" w:hAnsiTheme="minorHAnsi" w:cstheme="minorHAnsi"/>
                <w:lang w:val="it-IT"/>
              </w:rPr>
            </w:pPr>
            <w:r w:rsidRPr="001774C2">
              <w:rPr>
                <w:rFonts w:asciiTheme="minorHAnsi" w:hAnsiTheme="minorHAnsi" w:cstheme="minorHAnsi"/>
                <w:lang w:val="it-IT"/>
              </w:rPr>
              <w:t>Poskytovatel</w:t>
            </w:r>
          </w:p>
          <w:p w14:paraId="0ACB985E" w14:textId="72E26893" w:rsidR="00451237" w:rsidRPr="001774C2" w:rsidRDefault="00451237" w:rsidP="00192AA1">
            <w:pPr>
              <w:pStyle w:val="slovn"/>
              <w:numPr>
                <w:ilvl w:val="0"/>
                <w:numId w:val="0"/>
              </w:numPr>
              <w:spacing w:after="0"/>
              <w:jc w:val="center"/>
              <w:rPr>
                <w:rFonts w:asciiTheme="minorHAnsi" w:hAnsiTheme="minorHAnsi" w:cstheme="minorHAnsi"/>
                <w:b/>
                <w:lang w:val="it-IT"/>
              </w:rPr>
            </w:pPr>
            <w:r w:rsidRPr="001774C2">
              <w:rPr>
                <w:rFonts w:asciiTheme="minorHAnsi" w:hAnsiTheme="minorHAnsi" w:cstheme="minorHAnsi"/>
                <w:b/>
                <w:lang w:val="it-IT"/>
              </w:rPr>
              <w:t>Monitora media, s.r.o.</w:t>
            </w:r>
          </w:p>
          <w:p w14:paraId="3FA112DC" w14:textId="77777777"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Tomáš</w:t>
            </w:r>
            <w:proofErr w:type="spellEnd"/>
            <w:r w:rsidRPr="00451237">
              <w:rPr>
                <w:rFonts w:asciiTheme="minorHAnsi" w:hAnsiTheme="minorHAnsi" w:cstheme="minorHAnsi"/>
                <w:b/>
              </w:rPr>
              <w:t xml:space="preserve"> Berger, </w:t>
            </w:r>
            <w:proofErr w:type="spellStart"/>
            <w:r w:rsidRPr="00451237">
              <w:rPr>
                <w:rFonts w:asciiTheme="minorHAnsi" w:hAnsiTheme="minorHAnsi" w:cstheme="minorHAnsi"/>
                <w:b/>
              </w:rPr>
              <w:t>jednatel</w:t>
            </w:r>
            <w:proofErr w:type="spellEnd"/>
          </w:p>
          <w:p w14:paraId="215D4B0E" w14:textId="77777777" w:rsidR="00451237" w:rsidRPr="00451237" w:rsidRDefault="00451237" w:rsidP="00192AA1">
            <w:pPr>
              <w:pStyle w:val="Bezmezer"/>
              <w:tabs>
                <w:tab w:val="left" w:pos="2835"/>
              </w:tabs>
              <w:jc w:val="center"/>
              <w:rPr>
                <w:rFonts w:asciiTheme="minorHAnsi" w:hAnsiTheme="minorHAnsi" w:cstheme="minorHAnsi"/>
                <w:b/>
              </w:rPr>
            </w:pPr>
          </w:p>
        </w:tc>
        <w:tc>
          <w:tcPr>
            <w:tcW w:w="4606" w:type="dxa"/>
          </w:tcPr>
          <w:p w14:paraId="1315165B"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Brno,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p>
          <w:p w14:paraId="2B07525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0A2D466"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1BB0BD9"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1FC23F8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7A0CD524"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65157E85"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8FC8028" w14:textId="77777777"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Fakultní</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nemocnice</w:t>
            </w:r>
            <w:proofErr w:type="spellEnd"/>
            <w:r w:rsidRPr="00451237">
              <w:rPr>
                <w:rFonts w:asciiTheme="minorHAnsi" w:hAnsiTheme="minorHAnsi" w:cstheme="minorHAnsi"/>
                <w:b/>
              </w:rPr>
              <w:t xml:space="preserve"> Brno</w:t>
            </w:r>
          </w:p>
          <w:p w14:paraId="51A235C6" w14:textId="74315C56" w:rsidR="00451237" w:rsidRPr="002458B4" w:rsidRDefault="002458B4" w:rsidP="00B94044">
            <w:pPr>
              <w:pStyle w:val="slovn"/>
              <w:numPr>
                <w:ilvl w:val="0"/>
                <w:numId w:val="0"/>
              </w:numPr>
              <w:spacing w:after="0"/>
              <w:jc w:val="center"/>
              <w:rPr>
                <w:rFonts w:asciiTheme="minorHAnsi" w:hAnsiTheme="minorHAnsi" w:cstheme="minorHAnsi"/>
                <w:b/>
              </w:rPr>
            </w:pPr>
            <w:r w:rsidRPr="002458B4">
              <w:rPr>
                <w:rFonts w:asciiTheme="minorHAnsi" w:hAnsiTheme="minorHAnsi" w:cstheme="minorHAnsi"/>
                <w:b/>
              </w:rPr>
              <w:t>…</w:t>
            </w:r>
          </w:p>
        </w:tc>
      </w:tr>
    </w:tbl>
    <w:p w14:paraId="192467FE" w14:textId="77777777" w:rsidR="00451237" w:rsidRPr="00451237" w:rsidRDefault="00451237" w:rsidP="00FF3978">
      <w:pPr>
        <w:spacing w:after="120" w:line="240" w:lineRule="auto"/>
        <w:rPr>
          <w:rFonts w:asciiTheme="minorHAnsi" w:eastAsia="Arial" w:hAnsiTheme="minorHAnsi" w:cstheme="minorHAnsi"/>
          <w:b/>
          <w:sz w:val="22"/>
          <w:szCs w:val="22"/>
          <w:highlight w:val="yellow"/>
        </w:rPr>
      </w:pPr>
    </w:p>
    <w:p w14:paraId="2E19CB10" w14:textId="2630EA81" w:rsidR="00C31C4A" w:rsidRDefault="00C31C4A">
      <w:pPr>
        <w:rPr>
          <w:rFonts w:asciiTheme="minorHAnsi" w:hAnsiTheme="minorHAnsi" w:cstheme="minorHAnsi"/>
          <w:sz w:val="22"/>
          <w:szCs w:val="22"/>
        </w:rPr>
      </w:pPr>
      <w:r>
        <w:rPr>
          <w:rFonts w:asciiTheme="minorHAnsi" w:hAnsiTheme="minorHAnsi" w:cstheme="minorHAnsi"/>
          <w:sz w:val="22"/>
          <w:szCs w:val="22"/>
        </w:rPr>
        <w:br w:type="page"/>
      </w:r>
    </w:p>
    <w:p w14:paraId="14303E5E" w14:textId="77777777" w:rsidR="00C31C4A" w:rsidRPr="00D70E95" w:rsidRDefault="00C31C4A" w:rsidP="00C31C4A">
      <w:pPr>
        <w:pStyle w:val="Nadpis1"/>
        <w:rPr>
          <w:rFonts w:asciiTheme="minorHAnsi" w:hAnsiTheme="minorHAnsi" w:cstheme="minorHAnsi"/>
          <w:sz w:val="22"/>
          <w:szCs w:val="22"/>
        </w:rPr>
      </w:pPr>
      <w:r w:rsidRPr="00D70E95">
        <w:rPr>
          <w:rFonts w:asciiTheme="minorHAnsi" w:hAnsiTheme="minorHAnsi" w:cstheme="minorHAnsi"/>
          <w:sz w:val="22"/>
          <w:szCs w:val="22"/>
        </w:rPr>
        <w:t xml:space="preserve">Příloha </w:t>
      </w:r>
      <w:proofErr w:type="gramStart"/>
      <w:r w:rsidRPr="00D70E95">
        <w:rPr>
          <w:rFonts w:asciiTheme="minorHAnsi" w:hAnsiTheme="minorHAnsi" w:cstheme="minorHAnsi"/>
          <w:sz w:val="22"/>
          <w:szCs w:val="22"/>
        </w:rPr>
        <w:t>č.1</w:t>
      </w:r>
      <w:proofErr w:type="gramEnd"/>
    </w:p>
    <w:p w14:paraId="19D5668E" w14:textId="77777777" w:rsidR="00C31C4A" w:rsidRPr="00D11546" w:rsidRDefault="00C31C4A" w:rsidP="00C31C4A">
      <w:pPr>
        <w:rPr>
          <w:rFonts w:asciiTheme="minorHAnsi" w:hAnsiTheme="minorHAnsi" w:cstheme="minorHAnsi"/>
          <w:sz w:val="22"/>
          <w:szCs w:val="22"/>
        </w:rPr>
      </w:pPr>
      <w:r w:rsidRPr="00D11546">
        <w:rPr>
          <w:rFonts w:asciiTheme="minorHAnsi" w:hAnsiTheme="minorHAnsi" w:cstheme="minorHAnsi"/>
          <w:sz w:val="22"/>
          <w:szCs w:val="22"/>
        </w:rPr>
        <w:t xml:space="preserve">Níže uvedená cena je bez DPH a je stanovena jako pevná za plnění zakázky v celém jejím rozsahu. </w:t>
      </w:r>
    </w:p>
    <w:tbl>
      <w:tblPr>
        <w:tblW w:w="8760" w:type="dxa"/>
        <w:tblCellMar>
          <w:left w:w="0" w:type="dxa"/>
          <w:right w:w="0" w:type="dxa"/>
        </w:tblCellMar>
        <w:tblLook w:val="0600" w:firstRow="0" w:lastRow="0" w:firstColumn="0" w:lastColumn="0" w:noHBand="1" w:noVBand="1"/>
      </w:tblPr>
      <w:tblGrid>
        <w:gridCol w:w="4620"/>
        <w:gridCol w:w="2020"/>
        <w:gridCol w:w="2120"/>
      </w:tblGrid>
      <w:tr w:rsidR="00C31C4A" w:rsidRPr="00C31C4A" w14:paraId="3CD165A5" w14:textId="77777777" w:rsidTr="00C31C4A">
        <w:trPr>
          <w:trHeight w:val="668"/>
        </w:trPr>
        <w:tc>
          <w:tcPr>
            <w:tcW w:w="4620" w:type="dxa"/>
            <w:tcBorders>
              <w:top w:val="single" w:sz="6" w:space="0" w:color="FFFFFF"/>
              <w:left w:val="single" w:sz="6" w:space="0" w:color="FFFFFF"/>
              <w:bottom w:val="single" w:sz="6" w:space="0" w:color="FFFFFF"/>
              <w:right w:val="single" w:sz="6" w:space="0" w:color="FFFFFF"/>
            </w:tcBorders>
            <w:shd w:val="clear" w:color="auto" w:fill="243465"/>
            <w:tcMar>
              <w:top w:w="72" w:type="dxa"/>
              <w:left w:w="117" w:type="dxa"/>
              <w:bottom w:w="72" w:type="dxa"/>
              <w:right w:w="117" w:type="dxa"/>
            </w:tcMar>
            <w:hideMark/>
          </w:tcPr>
          <w:p w14:paraId="54BA063A" w14:textId="77777777" w:rsidR="00C31C4A" w:rsidRPr="00C31C4A" w:rsidRDefault="00C31C4A" w:rsidP="00C31C4A">
            <w:pPr>
              <w:tabs>
                <w:tab w:val="left" w:pos="900"/>
              </w:tabs>
              <w:rPr>
                <w:rFonts w:asciiTheme="minorHAnsi" w:hAnsiTheme="minorHAnsi" w:cstheme="minorHAnsi"/>
                <w:color w:val="FFFFFF" w:themeColor="background1"/>
                <w:sz w:val="22"/>
                <w:szCs w:val="22"/>
              </w:rPr>
            </w:pPr>
            <w:r w:rsidRPr="00C31C4A">
              <w:rPr>
                <w:rFonts w:asciiTheme="minorHAnsi" w:hAnsiTheme="minorHAnsi" w:cstheme="minorHAnsi"/>
                <w:b/>
                <w:bCs/>
                <w:color w:val="FFFFFF" w:themeColor="background1"/>
                <w:sz w:val="22"/>
                <w:szCs w:val="22"/>
              </w:rPr>
              <w:t>Položka</w:t>
            </w:r>
          </w:p>
        </w:tc>
        <w:tc>
          <w:tcPr>
            <w:tcW w:w="2020" w:type="dxa"/>
            <w:tcBorders>
              <w:top w:val="single" w:sz="6" w:space="0" w:color="FFFFFF"/>
              <w:left w:val="single" w:sz="6" w:space="0" w:color="FFFFFF"/>
              <w:bottom w:val="single" w:sz="6" w:space="0" w:color="FFFFFF"/>
              <w:right w:val="single" w:sz="6" w:space="0" w:color="FFFFFF"/>
            </w:tcBorders>
            <w:shd w:val="clear" w:color="auto" w:fill="243465"/>
            <w:tcMar>
              <w:top w:w="72" w:type="dxa"/>
              <w:left w:w="117" w:type="dxa"/>
              <w:bottom w:w="72" w:type="dxa"/>
              <w:right w:w="117" w:type="dxa"/>
            </w:tcMar>
            <w:hideMark/>
          </w:tcPr>
          <w:p w14:paraId="7F8DBB01" w14:textId="77777777" w:rsidR="00C31C4A" w:rsidRPr="00C31C4A" w:rsidRDefault="00C31C4A" w:rsidP="002D0BFC">
            <w:pPr>
              <w:tabs>
                <w:tab w:val="left" w:pos="900"/>
              </w:tabs>
              <w:jc w:val="center"/>
              <w:rPr>
                <w:rFonts w:asciiTheme="minorHAnsi" w:hAnsiTheme="minorHAnsi" w:cstheme="minorHAnsi"/>
                <w:color w:val="FFFFFF" w:themeColor="background1"/>
                <w:sz w:val="22"/>
                <w:szCs w:val="22"/>
              </w:rPr>
            </w:pPr>
            <w:r w:rsidRPr="00C31C4A">
              <w:rPr>
                <w:rFonts w:asciiTheme="minorHAnsi" w:hAnsiTheme="minorHAnsi" w:cstheme="minorHAnsi"/>
                <w:b/>
                <w:bCs/>
                <w:color w:val="FFFFFF" w:themeColor="background1"/>
                <w:sz w:val="22"/>
                <w:szCs w:val="22"/>
              </w:rPr>
              <w:t>Součástí nabídky</w:t>
            </w:r>
          </w:p>
          <w:p w14:paraId="7B4C10B1" w14:textId="77777777" w:rsidR="00C31C4A" w:rsidRPr="00C31C4A" w:rsidRDefault="00C31C4A" w:rsidP="002D0BFC">
            <w:pPr>
              <w:tabs>
                <w:tab w:val="left" w:pos="900"/>
              </w:tabs>
              <w:jc w:val="center"/>
              <w:rPr>
                <w:rFonts w:asciiTheme="minorHAnsi" w:hAnsiTheme="minorHAnsi" w:cstheme="minorHAnsi"/>
                <w:color w:val="FFFFFF" w:themeColor="background1"/>
                <w:sz w:val="22"/>
                <w:szCs w:val="22"/>
              </w:rPr>
            </w:pPr>
            <w:r w:rsidRPr="00C31C4A">
              <w:rPr>
                <w:rFonts w:asciiTheme="minorHAnsi" w:hAnsiTheme="minorHAnsi" w:cstheme="minorHAnsi"/>
                <w:b/>
                <w:bCs/>
                <w:color w:val="FFFFFF" w:themeColor="background1"/>
                <w:sz w:val="22"/>
                <w:szCs w:val="22"/>
              </w:rPr>
              <w:t>ANO/NE</w:t>
            </w:r>
          </w:p>
        </w:tc>
        <w:tc>
          <w:tcPr>
            <w:tcW w:w="2120" w:type="dxa"/>
            <w:tcBorders>
              <w:top w:val="single" w:sz="6" w:space="0" w:color="FFFFFF"/>
              <w:left w:val="single" w:sz="6" w:space="0" w:color="FFFFFF"/>
              <w:bottom w:val="single" w:sz="6" w:space="0" w:color="FFFFFF"/>
              <w:right w:val="single" w:sz="6" w:space="0" w:color="FFFFFF"/>
            </w:tcBorders>
            <w:shd w:val="clear" w:color="auto" w:fill="243465"/>
            <w:tcMar>
              <w:top w:w="72" w:type="dxa"/>
              <w:left w:w="117" w:type="dxa"/>
              <w:bottom w:w="72" w:type="dxa"/>
              <w:right w:w="117" w:type="dxa"/>
            </w:tcMar>
            <w:hideMark/>
          </w:tcPr>
          <w:p w14:paraId="302955E8" w14:textId="77777777" w:rsidR="00C31C4A" w:rsidRPr="00C31C4A" w:rsidRDefault="00C31C4A" w:rsidP="002D0BFC">
            <w:pPr>
              <w:tabs>
                <w:tab w:val="left" w:pos="900"/>
              </w:tabs>
              <w:jc w:val="center"/>
              <w:rPr>
                <w:rFonts w:asciiTheme="minorHAnsi" w:hAnsiTheme="minorHAnsi" w:cstheme="minorHAnsi"/>
                <w:color w:val="FFFFFF" w:themeColor="background1"/>
                <w:sz w:val="22"/>
                <w:szCs w:val="22"/>
              </w:rPr>
            </w:pPr>
            <w:r w:rsidRPr="00C31C4A">
              <w:rPr>
                <w:rFonts w:asciiTheme="minorHAnsi" w:hAnsiTheme="minorHAnsi" w:cstheme="minorHAnsi"/>
                <w:b/>
                <w:bCs/>
                <w:color w:val="FFFFFF" w:themeColor="background1"/>
                <w:sz w:val="22"/>
                <w:szCs w:val="22"/>
              </w:rPr>
              <w:t>Cena bez DPH</w:t>
            </w:r>
          </w:p>
        </w:tc>
      </w:tr>
      <w:tr w:rsidR="00C31C4A" w:rsidRPr="00C31C4A" w14:paraId="22EA8C84" w14:textId="77777777" w:rsidTr="00C31C4A">
        <w:trPr>
          <w:trHeight w:val="733"/>
        </w:trPr>
        <w:tc>
          <w:tcPr>
            <w:tcW w:w="4620" w:type="dxa"/>
            <w:tcBorders>
              <w:top w:val="single" w:sz="6"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483545E7" w14:textId="2385727E"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 xml:space="preserve">Monitoring a emailové </w:t>
            </w:r>
            <w:r w:rsidR="000E340F" w:rsidRPr="00C31C4A">
              <w:rPr>
                <w:rFonts w:asciiTheme="minorHAnsi" w:hAnsiTheme="minorHAnsi" w:cstheme="minorHAnsi"/>
                <w:b/>
                <w:bCs/>
                <w:sz w:val="22"/>
                <w:szCs w:val="22"/>
              </w:rPr>
              <w:t>reporty dle</w:t>
            </w:r>
            <w:r w:rsidRPr="00C31C4A">
              <w:rPr>
                <w:rFonts w:asciiTheme="minorHAnsi" w:hAnsiTheme="minorHAnsi" w:cstheme="minorHAnsi"/>
                <w:b/>
                <w:bCs/>
                <w:sz w:val="22"/>
                <w:szCs w:val="22"/>
              </w:rPr>
              <w:t xml:space="preserve"> klíčových slov FN Brno</w:t>
            </w:r>
          </w:p>
          <w:p w14:paraId="3EC79C63"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sz w:val="22"/>
                <w:szCs w:val="22"/>
              </w:rPr>
              <w:t xml:space="preserve">Všechny </w:t>
            </w:r>
            <w:proofErr w:type="spellStart"/>
            <w:r w:rsidRPr="00C31C4A">
              <w:rPr>
                <w:rFonts w:asciiTheme="minorHAnsi" w:hAnsiTheme="minorHAnsi" w:cstheme="minorHAnsi"/>
                <w:sz w:val="22"/>
                <w:szCs w:val="22"/>
              </w:rPr>
              <w:t>mediatypy</w:t>
            </w:r>
            <w:proofErr w:type="spellEnd"/>
            <w:r w:rsidRPr="00C31C4A">
              <w:rPr>
                <w:rFonts w:asciiTheme="minorHAnsi" w:hAnsiTheme="minorHAnsi" w:cstheme="minorHAnsi"/>
                <w:sz w:val="22"/>
                <w:szCs w:val="22"/>
              </w:rPr>
              <w:t xml:space="preserve"> (online, tisk, rozhlas a TV) s možností změny klíčových slov kdykoli v aplikaci na straně uživatele </w:t>
            </w:r>
          </w:p>
        </w:tc>
        <w:tc>
          <w:tcPr>
            <w:tcW w:w="2020" w:type="dxa"/>
            <w:tcBorders>
              <w:top w:val="single" w:sz="6" w:space="0" w:color="FFFF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0AC76A45"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6" w:space="0" w:color="FFFF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1F44868D"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5 500 Kč</w:t>
            </w:r>
          </w:p>
        </w:tc>
      </w:tr>
      <w:tr w:rsidR="00C31C4A" w:rsidRPr="00C31C4A" w14:paraId="588D3D2C"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1B1D6DC3"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Tematické dělení a seskupování klíčových slov</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53088218"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0873ABAA"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56929683"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3D70A577"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Pravidelný reporting</w:t>
            </w:r>
            <w:r w:rsidRPr="00C31C4A">
              <w:rPr>
                <w:rFonts w:asciiTheme="minorHAnsi" w:hAnsiTheme="minorHAnsi" w:cstheme="minorHAnsi"/>
                <w:sz w:val="22"/>
                <w:szCs w:val="22"/>
              </w:rPr>
              <w:t xml:space="preserve"> vybraných klíčových slov a témat, aut. </w:t>
            </w:r>
            <w:proofErr w:type="gramStart"/>
            <w:r w:rsidRPr="00C31C4A">
              <w:rPr>
                <w:rFonts w:asciiTheme="minorHAnsi" w:hAnsiTheme="minorHAnsi" w:cstheme="minorHAnsi"/>
                <w:sz w:val="22"/>
                <w:szCs w:val="22"/>
              </w:rPr>
              <w:t>rozesílání</w:t>
            </w:r>
            <w:proofErr w:type="gramEnd"/>
            <w:r w:rsidRPr="00C31C4A">
              <w:rPr>
                <w:rFonts w:asciiTheme="minorHAnsi" w:hAnsiTheme="minorHAnsi" w:cstheme="minorHAnsi"/>
                <w:sz w:val="22"/>
                <w:szCs w:val="22"/>
              </w:rPr>
              <w:t xml:space="preserve"> vybraným skupinám uživatelů</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25888FF6"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0307A005"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3996E53B"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50A5105C"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 xml:space="preserve">Okamžitá upozornění </w:t>
            </w:r>
            <w:r w:rsidRPr="00C31C4A">
              <w:rPr>
                <w:rFonts w:asciiTheme="minorHAnsi" w:hAnsiTheme="minorHAnsi" w:cstheme="minorHAnsi"/>
                <w:sz w:val="22"/>
                <w:szCs w:val="22"/>
              </w:rPr>
              <w:t xml:space="preserve">– na právě </w:t>
            </w:r>
            <w:proofErr w:type="gramStart"/>
            <w:r w:rsidRPr="00C31C4A">
              <w:rPr>
                <w:rFonts w:asciiTheme="minorHAnsi" w:hAnsiTheme="minorHAnsi" w:cstheme="minorHAnsi"/>
                <w:sz w:val="22"/>
                <w:szCs w:val="22"/>
              </w:rPr>
              <w:t>vyšlí</w:t>
            </w:r>
            <w:proofErr w:type="gramEnd"/>
            <w:r w:rsidRPr="00C31C4A">
              <w:rPr>
                <w:rFonts w:asciiTheme="minorHAnsi" w:hAnsiTheme="minorHAnsi" w:cstheme="minorHAnsi"/>
                <w:sz w:val="22"/>
                <w:szCs w:val="22"/>
              </w:rPr>
              <w:t xml:space="preserve"> článek či příspěvek</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6771720F"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0631A516"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08139731"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6CE4D0A9"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Mediální archiv od 1990</w:t>
            </w:r>
            <w:r w:rsidRPr="00C31C4A">
              <w:rPr>
                <w:rFonts w:asciiTheme="minorHAnsi" w:hAnsiTheme="minorHAnsi" w:cstheme="minorHAnsi"/>
                <w:sz w:val="22"/>
                <w:szCs w:val="22"/>
              </w:rPr>
              <w:t xml:space="preserve"> bez omezení hloubky vyhledávání, či klíčových slov a exportu </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2125E77F"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462EAF9B"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248CDD21"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729BEA05" w14:textId="520F0039"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 xml:space="preserve">Analytika a </w:t>
            </w:r>
            <w:r w:rsidR="000E340F" w:rsidRPr="00C31C4A">
              <w:rPr>
                <w:rFonts w:asciiTheme="minorHAnsi" w:hAnsiTheme="minorHAnsi" w:cstheme="minorHAnsi"/>
                <w:b/>
                <w:bCs/>
                <w:sz w:val="22"/>
                <w:szCs w:val="22"/>
              </w:rPr>
              <w:t>měření</w:t>
            </w:r>
            <w:r w:rsidR="000E340F" w:rsidRPr="00C31C4A">
              <w:rPr>
                <w:rFonts w:asciiTheme="minorHAnsi" w:hAnsiTheme="minorHAnsi" w:cstheme="minorHAnsi"/>
                <w:sz w:val="22"/>
                <w:szCs w:val="22"/>
              </w:rPr>
              <w:t xml:space="preserve"> – Možnost</w:t>
            </w:r>
            <w:r w:rsidRPr="00C31C4A">
              <w:rPr>
                <w:rFonts w:asciiTheme="minorHAnsi" w:hAnsiTheme="minorHAnsi" w:cstheme="minorHAnsi"/>
                <w:sz w:val="22"/>
                <w:szCs w:val="22"/>
              </w:rPr>
              <w:t xml:space="preserve"> zpětné analytiky a exportů analytických </w:t>
            </w:r>
            <w:proofErr w:type="gramStart"/>
            <w:r w:rsidRPr="00C31C4A">
              <w:rPr>
                <w:rFonts w:asciiTheme="minorHAnsi" w:hAnsiTheme="minorHAnsi" w:cstheme="minorHAnsi"/>
                <w:sz w:val="22"/>
                <w:szCs w:val="22"/>
              </w:rPr>
              <w:t>da</w:t>
            </w:r>
            <w:proofErr w:type="gramEnd"/>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626DBCFF"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26F87428"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0859C064"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4B0BF01D" w14:textId="02794AA5" w:rsidR="00C31C4A" w:rsidRPr="00C31C4A" w:rsidRDefault="000E340F"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TVR</w:t>
            </w:r>
            <w:r w:rsidRPr="00C31C4A">
              <w:rPr>
                <w:rFonts w:asciiTheme="minorHAnsi" w:hAnsiTheme="minorHAnsi" w:cstheme="minorHAnsi"/>
                <w:sz w:val="22"/>
                <w:szCs w:val="22"/>
              </w:rPr>
              <w:t xml:space="preserve"> – upozornění</w:t>
            </w:r>
            <w:r w:rsidR="00C31C4A" w:rsidRPr="00C31C4A">
              <w:rPr>
                <w:rFonts w:asciiTheme="minorHAnsi" w:hAnsiTheme="minorHAnsi" w:cstheme="minorHAnsi"/>
                <w:sz w:val="22"/>
                <w:szCs w:val="22"/>
              </w:rPr>
              <w:t xml:space="preserve"> na zmínky v TV či rozhlase (e-mail, </w:t>
            </w:r>
            <w:proofErr w:type="spellStart"/>
            <w:r w:rsidR="00C31C4A" w:rsidRPr="00C31C4A">
              <w:rPr>
                <w:rFonts w:asciiTheme="minorHAnsi" w:hAnsiTheme="minorHAnsi" w:cstheme="minorHAnsi"/>
                <w:sz w:val="22"/>
                <w:szCs w:val="22"/>
              </w:rPr>
              <w:t>sms</w:t>
            </w:r>
            <w:proofErr w:type="spellEnd"/>
            <w:r w:rsidR="00C31C4A" w:rsidRPr="00C31C4A">
              <w:rPr>
                <w:rFonts w:asciiTheme="minorHAnsi" w:hAnsiTheme="minorHAnsi" w:cstheme="minorHAnsi"/>
                <w:sz w:val="22"/>
                <w:szCs w:val="22"/>
              </w:rPr>
              <w:t xml:space="preserve">, </w:t>
            </w:r>
            <w:proofErr w:type="spellStart"/>
            <w:r w:rsidR="00C31C4A" w:rsidRPr="00C31C4A">
              <w:rPr>
                <w:rFonts w:asciiTheme="minorHAnsi" w:hAnsiTheme="minorHAnsi" w:cstheme="minorHAnsi"/>
                <w:sz w:val="22"/>
                <w:szCs w:val="22"/>
              </w:rPr>
              <w:t>atp</w:t>
            </w:r>
            <w:proofErr w:type="spellEnd"/>
            <w:r w:rsidR="00C31C4A" w:rsidRPr="00C31C4A">
              <w:rPr>
                <w:rFonts w:asciiTheme="minorHAnsi" w:hAnsiTheme="minorHAnsi" w:cstheme="minorHAnsi"/>
                <w:sz w:val="22"/>
                <w:szCs w:val="22"/>
              </w:rPr>
              <w:t>)</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24075A0F"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4916BCE7" w14:textId="3252D37F" w:rsidR="00C31C4A" w:rsidRPr="00C31C4A" w:rsidRDefault="008603B8"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6E5A5279"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763660F7" w14:textId="6DB8750A"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 xml:space="preserve">Mobilní </w:t>
            </w:r>
            <w:r w:rsidR="000E340F" w:rsidRPr="00C31C4A">
              <w:rPr>
                <w:rFonts w:asciiTheme="minorHAnsi" w:hAnsiTheme="minorHAnsi" w:cstheme="minorHAnsi"/>
                <w:b/>
                <w:bCs/>
                <w:sz w:val="22"/>
                <w:szCs w:val="22"/>
              </w:rPr>
              <w:t>aplikace</w:t>
            </w:r>
            <w:r w:rsidR="000E340F" w:rsidRPr="00C31C4A">
              <w:rPr>
                <w:rFonts w:asciiTheme="minorHAnsi" w:hAnsiTheme="minorHAnsi" w:cstheme="minorHAnsi"/>
                <w:sz w:val="22"/>
                <w:szCs w:val="22"/>
              </w:rPr>
              <w:t xml:space="preserve"> – včetně</w:t>
            </w:r>
            <w:r w:rsidRPr="00C31C4A">
              <w:rPr>
                <w:rFonts w:asciiTheme="minorHAnsi" w:hAnsiTheme="minorHAnsi" w:cstheme="minorHAnsi"/>
                <w:sz w:val="22"/>
                <w:szCs w:val="22"/>
              </w:rPr>
              <w:t xml:space="preserve"> notifikací (</w:t>
            </w:r>
            <w:proofErr w:type="spellStart"/>
            <w:r w:rsidRPr="00C31C4A">
              <w:rPr>
                <w:rFonts w:asciiTheme="minorHAnsi" w:hAnsiTheme="minorHAnsi" w:cstheme="minorHAnsi"/>
                <w:sz w:val="22"/>
                <w:szCs w:val="22"/>
              </w:rPr>
              <w:t>iOS</w:t>
            </w:r>
            <w:proofErr w:type="spellEnd"/>
            <w:r w:rsidRPr="00C31C4A">
              <w:rPr>
                <w:rFonts w:asciiTheme="minorHAnsi" w:hAnsiTheme="minorHAnsi" w:cstheme="minorHAnsi"/>
                <w:sz w:val="22"/>
                <w:szCs w:val="22"/>
              </w:rPr>
              <w:t xml:space="preserve"> i Android)</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1F32DD1E"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7D598543"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24A736D4" w14:textId="77777777" w:rsidTr="00C31C4A">
        <w:trPr>
          <w:trHeight w:val="488"/>
        </w:trPr>
        <w:tc>
          <w:tcPr>
            <w:tcW w:w="4620" w:type="dxa"/>
            <w:tcBorders>
              <w:top w:val="single" w:sz="8" w:space="0" w:color="FFFFFF"/>
              <w:left w:val="single" w:sz="6" w:space="0" w:color="FFFFFF"/>
              <w:bottom w:val="single" w:sz="8" w:space="0" w:color="FFFFFF"/>
              <w:right w:val="single" w:sz="6" w:space="0" w:color="FFFFFF"/>
            </w:tcBorders>
            <w:shd w:val="clear" w:color="auto" w:fill="E2FDFF"/>
            <w:tcMar>
              <w:top w:w="72" w:type="dxa"/>
              <w:left w:w="51" w:type="dxa"/>
              <w:bottom w:w="72" w:type="dxa"/>
              <w:right w:w="137" w:type="dxa"/>
            </w:tcMar>
            <w:hideMark/>
          </w:tcPr>
          <w:p w14:paraId="1A1AE4F8" w14:textId="77777777" w:rsidR="00C31C4A" w:rsidRPr="00C31C4A" w:rsidRDefault="00C31C4A" w:rsidP="00C31C4A">
            <w:pPr>
              <w:tabs>
                <w:tab w:val="left" w:pos="900"/>
              </w:tabs>
              <w:spacing w:line="240" w:lineRule="auto"/>
              <w:rPr>
                <w:rFonts w:asciiTheme="minorHAnsi" w:hAnsiTheme="minorHAnsi" w:cstheme="minorHAnsi"/>
                <w:sz w:val="22"/>
                <w:szCs w:val="22"/>
              </w:rPr>
            </w:pPr>
            <w:proofErr w:type="spellStart"/>
            <w:r w:rsidRPr="00C31C4A">
              <w:rPr>
                <w:rFonts w:asciiTheme="minorHAnsi" w:hAnsiTheme="minorHAnsi" w:cstheme="minorHAnsi"/>
                <w:b/>
                <w:bCs/>
                <w:sz w:val="22"/>
                <w:szCs w:val="22"/>
              </w:rPr>
              <w:t>Medialist</w:t>
            </w:r>
            <w:proofErr w:type="spellEnd"/>
            <w:r w:rsidRPr="00C31C4A">
              <w:rPr>
                <w:rFonts w:asciiTheme="minorHAnsi" w:hAnsiTheme="minorHAnsi" w:cstheme="minorHAnsi"/>
                <w:b/>
                <w:bCs/>
                <w:sz w:val="22"/>
                <w:szCs w:val="22"/>
              </w:rPr>
              <w:t xml:space="preserve"> </w:t>
            </w:r>
            <w:r w:rsidRPr="00C31C4A">
              <w:rPr>
                <w:rFonts w:asciiTheme="minorHAnsi" w:hAnsiTheme="minorHAnsi" w:cstheme="minorHAnsi"/>
                <w:sz w:val="22"/>
                <w:szCs w:val="22"/>
              </w:rPr>
              <w:t>– včetně dostupných kontaktů na autory. *Možnost exportů do 100 autorů v ceně</w:t>
            </w:r>
          </w:p>
        </w:tc>
        <w:tc>
          <w:tcPr>
            <w:tcW w:w="20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14CEBF0F"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Ano</w:t>
            </w:r>
          </w:p>
        </w:tc>
        <w:tc>
          <w:tcPr>
            <w:tcW w:w="2120" w:type="dxa"/>
            <w:tcBorders>
              <w:top w:val="single" w:sz="8" w:space="0" w:color="E2FDFF"/>
              <w:left w:val="single" w:sz="6" w:space="0" w:color="FFFFFF"/>
              <w:bottom w:val="single" w:sz="8" w:space="0" w:color="E2FDFF"/>
              <w:right w:val="single" w:sz="6" w:space="0" w:color="FFFFFF"/>
            </w:tcBorders>
            <w:shd w:val="clear" w:color="auto" w:fill="auto"/>
            <w:tcMar>
              <w:top w:w="72" w:type="dxa"/>
              <w:left w:w="35" w:type="dxa"/>
              <w:bottom w:w="72" w:type="dxa"/>
              <w:right w:w="137" w:type="dxa"/>
            </w:tcMar>
            <w:hideMark/>
          </w:tcPr>
          <w:p w14:paraId="5A84686E" w14:textId="77777777" w:rsidR="00C31C4A" w:rsidRPr="00C31C4A" w:rsidRDefault="00C31C4A" w:rsidP="002D0BFC">
            <w:pPr>
              <w:tabs>
                <w:tab w:val="left" w:pos="900"/>
              </w:tabs>
              <w:spacing w:line="240" w:lineRule="auto"/>
              <w:jc w:val="center"/>
              <w:rPr>
                <w:rFonts w:asciiTheme="minorHAnsi" w:hAnsiTheme="minorHAnsi" w:cstheme="minorHAnsi"/>
                <w:sz w:val="22"/>
                <w:szCs w:val="22"/>
              </w:rPr>
            </w:pPr>
            <w:r w:rsidRPr="00C31C4A">
              <w:rPr>
                <w:rFonts w:asciiTheme="minorHAnsi" w:hAnsiTheme="minorHAnsi" w:cstheme="minorHAnsi"/>
                <w:sz w:val="22"/>
                <w:szCs w:val="22"/>
              </w:rPr>
              <w:t>v ceně*</w:t>
            </w:r>
          </w:p>
        </w:tc>
      </w:tr>
      <w:tr w:rsidR="00C31C4A" w:rsidRPr="00C31C4A" w14:paraId="16409C55" w14:textId="77777777" w:rsidTr="00C31C4A">
        <w:trPr>
          <w:trHeight w:val="1266"/>
        </w:trPr>
        <w:tc>
          <w:tcPr>
            <w:tcW w:w="6640" w:type="dxa"/>
            <w:gridSpan w:val="2"/>
            <w:tcBorders>
              <w:top w:val="single" w:sz="8" w:space="0" w:color="FFFFFF"/>
              <w:left w:val="single" w:sz="6" w:space="0" w:color="FFFFFF"/>
              <w:bottom w:val="single" w:sz="6" w:space="0" w:color="FFFFFF"/>
              <w:right w:val="single" w:sz="8" w:space="0" w:color="E2FDFF"/>
            </w:tcBorders>
            <w:shd w:val="clear" w:color="auto" w:fill="E2FDFF"/>
            <w:tcMar>
              <w:top w:w="72" w:type="dxa"/>
              <w:left w:w="117" w:type="dxa"/>
              <w:bottom w:w="72" w:type="dxa"/>
              <w:right w:w="117" w:type="dxa"/>
            </w:tcMar>
            <w:vAlign w:val="center"/>
            <w:hideMark/>
          </w:tcPr>
          <w:p w14:paraId="3DEF27F3" w14:textId="77777777" w:rsidR="00C31C4A" w:rsidRPr="00C31C4A" w:rsidRDefault="00C31C4A" w:rsidP="00C31C4A">
            <w:pPr>
              <w:tabs>
                <w:tab w:val="left" w:pos="900"/>
              </w:tabs>
              <w:spacing w:line="240" w:lineRule="auto"/>
              <w:rPr>
                <w:rFonts w:asciiTheme="minorHAnsi" w:hAnsiTheme="minorHAnsi" w:cstheme="minorHAnsi"/>
                <w:sz w:val="22"/>
                <w:szCs w:val="22"/>
              </w:rPr>
            </w:pPr>
            <w:r w:rsidRPr="00C31C4A">
              <w:rPr>
                <w:rFonts w:asciiTheme="minorHAnsi" w:hAnsiTheme="minorHAnsi" w:cstheme="minorHAnsi"/>
                <w:b/>
                <w:bCs/>
                <w:sz w:val="22"/>
                <w:szCs w:val="22"/>
              </w:rPr>
              <w:t>Celkem</w:t>
            </w:r>
          </w:p>
        </w:tc>
        <w:tc>
          <w:tcPr>
            <w:tcW w:w="2120" w:type="dxa"/>
            <w:tcBorders>
              <w:top w:val="single" w:sz="8" w:space="0" w:color="E2FDFF"/>
              <w:left w:val="single" w:sz="8" w:space="0" w:color="E2FDFF"/>
              <w:bottom w:val="single" w:sz="6" w:space="0" w:color="FFFFFF"/>
              <w:right w:val="single" w:sz="8" w:space="0" w:color="E2FDFF"/>
            </w:tcBorders>
            <w:shd w:val="clear" w:color="auto" w:fill="auto"/>
            <w:tcMar>
              <w:top w:w="72" w:type="dxa"/>
              <w:left w:w="117" w:type="dxa"/>
              <w:bottom w:w="72" w:type="dxa"/>
              <w:right w:w="117" w:type="dxa"/>
            </w:tcMar>
            <w:vAlign w:val="center"/>
            <w:hideMark/>
          </w:tcPr>
          <w:p w14:paraId="1ADC7351" w14:textId="29BF9E46" w:rsidR="00C31C4A" w:rsidRPr="00C31C4A" w:rsidRDefault="008603B8" w:rsidP="002D0BFC">
            <w:pPr>
              <w:tabs>
                <w:tab w:val="left" w:pos="900"/>
              </w:tabs>
              <w:spacing w:line="240" w:lineRule="auto"/>
              <w:jc w:val="center"/>
              <w:rPr>
                <w:rFonts w:asciiTheme="minorHAnsi" w:hAnsiTheme="minorHAnsi" w:cstheme="minorHAnsi"/>
                <w:sz w:val="22"/>
                <w:szCs w:val="22"/>
              </w:rPr>
            </w:pPr>
            <w:r>
              <w:rPr>
                <w:rFonts w:asciiTheme="minorHAnsi" w:hAnsiTheme="minorHAnsi" w:cstheme="minorHAnsi"/>
                <w:b/>
                <w:bCs/>
                <w:sz w:val="22"/>
                <w:szCs w:val="22"/>
              </w:rPr>
              <w:t>5</w:t>
            </w:r>
            <w:r w:rsidR="00C31C4A" w:rsidRPr="00C31C4A">
              <w:rPr>
                <w:rFonts w:asciiTheme="minorHAnsi" w:hAnsiTheme="minorHAnsi" w:cstheme="minorHAnsi"/>
                <w:b/>
                <w:bCs/>
                <w:sz w:val="22"/>
                <w:szCs w:val="22"/>
              </w:rPr>
              <w:t xml:space="preserve"> 500 Kč</w:t>
            </w:r>
          </w:p>
        </w:tc>
      </w:tr>
    </w:tbl>
    <w:p w14:paraId="3DA119C7" w14:textId="77777777" w:rsidR="00FD6A58" w:rsidRPr="003E7973" w:rsidRDefault="00FD6A58" w:rsidP="003E7973">
      <w:pPr>
        <w:tabs>
          <w:tab w:val="left" w:pos="900"/>
        </w:tabs>
        <w:rPr>
          <w:rFonts w:asciiTheme="minorHAnsi" w:hAnsiTheme="minorHAnsi" w:cstheme="minorHAnsi"/>
          <w:sz w:val="22"/>
          <w:szCs w:val="22"/>
        </w:rPr>
      </w:pPr>
    </w:p>
    <w:sectPr w:rsidR="00FD6A58" w:rsidRPr="003E7973" w:rsidSect="005E149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7" w:right="1137" w:bottom="1440" w:left="1276"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529B6" w14:textId="77777777" w:rsidR="004E5F9F" w:rsidRDefault="004E5F9F">
      <w:pPr>
        <w:spacing w:after="0" w:line="240" w:lineRule="auto"/>
      </w:pPr>
      <w:r>
        <w:separator/>
      </w:r>
    </w:p>
  </w:endnote>
  <w:endnote w:type="continuationSeparator" w:id="0">
    <w:p w14:paraId="01B3F782" w14:textId="77777777" w:rsidR="004E5F9F" w:rsidRDefault="004E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644B" w14:textId="77777777" w:rsidR="00BF6C28" w:rsidRDefault="00BF6C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8B56" w14:textId="4ABAE703" w:rsidR="00B16EAF" w:rsidRDefault="006F17E0" w:rsidP="003E7973">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w:t>
    </w:r>
    <w:r w:rsidR="003E7973">
      <w:rPr>
        <w:rFonts w:ascii="Arial" w:eastAsia="Arial" w:hAnsi="Arial" w:cs="Arial"/>
        <w:b/>
        <w:color w:val="434343"/>
        <w:sz w:val="16"/>
        <w:szCs w:val="16"/>
      </w:rPr>
      <w:t>ora</w:t>
    </w:r>
    <w:proofErr w:type="spellEnd"/>
    <w:r w:rsidR="003E7973">
      <w:rPr>
        <w:rFonts w:ascii="Arial" w:eastAsia="Arial" w:hAnsi="Arial" w:cs="Arial"/>
        <w:b/>
        <w:color w:val="434343"/>
        <w:sz w:val="16"/>
        <w:szCs w:val="16"/>
      </w:rPr>
      <w:t xml:space="preserve"> media, s.r.o. (IČ: 3980481)      </w:t>
    </w:r>
    <w:r w:rsidR="003E7973" w:rsidRPr="003E7973">
      <w:rPr>
        <w:rFonts w:ascii="Arial" w:eastAsia="Arial" w:hAnsi="Arial" w:cs="Arial"/>
        <w:b/>
        <w:color w:val="434343"/>
        <w:sz w:val="16"/>
        <w:szCs w:val="16"/>
      </w:rPr>
      <w:t>Nádražní 762/32</w:t>
    </w:r>
    <w:r w:rsidR="003E7973">
      <w:rPr>
        <w:rFonts w:ascii="Arial" w:eastAsia="Arial" w:hAnsi="Arial" w:cs="Arial"/>
        <w:b/>
        <w:color w:val="434343"/>
        <w:sz w:val="16"/>
        <w:szCs w:val="16"/>
      </w:rPr>
      <w:t>, Praha 5 155 00       www.monitora.cz</w:t>
    </w:r>
  </w:p>
  <w:p w14:paraId="4638376C" w14:textId="094C9FFF"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rsidR="00BF6C28">
      <w:rPr>
        <w:noProof/>
      </w:rPr>
      <w:t>4</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rsidR="00BF6C2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proofErr w:type="spellStart"/>
    <w:r w:rsidR="006420FB">
      <w:rPr>
        <w:rFonts w:ascii="Arial" w:hAnsi="Arial"/>
        <w:color w:val="6E6F72"/>
        <w:sz w:val="16"/>
        <w:szCs w:val="16"/>
        <w:lang w:eastAsia="en-US"/>
      </w:rPr>
      <w:t>Monitora</w:t>
    </w:r>
    <w:proofErr w:type="spellEnd"/>
    <w:r w:rsidR="006420FB">
      <w:rPr>
        <w:rFonts w:ascii="Arial" w:hAnsi="Arial"/>
        <w:color w:val="6E6F72"/>
        <w:sz w:val="16"/>
        <w:szCs w:val="16"/>
        <w:lang w:eastAsia="en-US"/>
      </w:rPr>
      <w:t xml:space="preserve"> Media</w:t>
    </w:r>
    <w:r w:rsidRPr="004C6C29">
      <w:rPr>
        <w:rFonts w:ascii="Arial" w:hAnsi="Arial"/>
        <w:color w:val="6E6F72"/>
        <w:sz w:val="16"/>
        <w:szCs w:val="16"/>
        <w:lang w:eastAsia="en-US"/>
      </w:rPr>
      <w:t>,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0D3C1" w14:textId="77777777" w:rsidR="004E5F9F" w:rsidRDefault="004E5F9F">
      <w:pPr>
        <w:spacing w:after="0" w:line="240" w:lineRule="auto"/>
      </w:pPr>
      <w:r>
        <w:separator/>
      </w:r>
    </w:p>
  </w:footnote>
  <w:footnote w:type="continuationSeparator" w:id="0">
    <w:p w14:paraId="21B02A36" w14:textId="77777777" w:rsidR="004E5F9F" w:rsidRDefault="004E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2DFF" w14:textId="77777777" w:rsidR="00BF6C28" w:rsidRDefault="00BF6C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12"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495B" w14:textId="4A654302" w:rsidR="00FF3978" w:rsidRDefault="00FF3978">
    <w:pPr>
      <w:pStyle w:val="Zhlav"/>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15:restartNumberingAfterBreak="0">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15:restartNumberingAfterBreak="0">
    <w:nsid w:val="448E4DC4"/>
    <w:multiLevelType w:val="multilevel"/>
    <w:tmpl w:val="1850246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color w:val="auto"/>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15:restartNumberingAfterBreak="0">
    <w:nsid w:val="58916CBC"/>
    <w:multiLevelType w:val="multilevel"/>
    <w:tmpl w:val="C648368A"/>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F"/>
    <w:rsid w:val="000A3BE8"/>
    <w:rsid w:val="000D07BC"/>
    <w:rsid w:val="000E340F"/>
    <w:rsid w:val="001774C2"/>
    <w:rsid w:val="001C31D3"/>
    <w:rsid w:val="001C7F19"/>
    <w:rsid w:val="001E22BF"/>
    <w:rsid w:val="00217CB8"/>
    <w:rsid w:val="00227B81"/>
    <w:rsid w:val="00227D01"/>
    <w:rsid w:val="002400AA"/>
    <w:rsid w:val="002458B4"/>
    <w:rsid w:val="0024650C"/>
    <w:rsid w:val="002839B8"/>
    <w:rsid w:val="00284EBC"/>
    <w:rsid w:val="002D0BFC"/>
    <w:rsid w:val="002E18AB"/>
    <w:rsid w:val="00320019"/>
    <w:rsid w:val="00327361"/>
    <w:rsid w:val="00393701"/>
    <w:rsid w:val="003A00D0"/>
    <w:rsid w:val="003D14A0"/>
    <w:rsid w:val="003E433A"/>
    <w:rsid w:val="003E7973"/>
    <w:rsid w:val="003F7085"/>
    <w:rsid w:val="00431DE8"/>
    <w:rsid w:val="00444583"/>
    <w:rsid w:val="00447A30"/>
    <w:rsid w:val="00451237"/>
    <w:rsid w:val="004754E7"/>
    <w:rsid w:val="00475D13"/>
    <w:rsid w:val="004D6739"/>
    <w:rsid w:val="004E5F9F"/>
    <w:rsid w:val="005660DC"/>
    <w:rsid w:val="005946B9"/>
    <w:rsid w:val="005B5031"/>
    <w:rsid w:val="005C0F8D"/>
    <w:rsid w:val="005C183B"/>
    <w:rsid w:val="005E149E"/>
    <w:rsid w:val="00602C20"/>
    <w:rsid w:val="00615240"/>
    <w:rsid w:val="006420FB"/>
    <w:rsid w:val="0066000B"/>
    <w:rsid w:val="006910D7"/>
    <w:rsid w:val="006A441A"/>
    <w:rsid w:val="006B5FC6"/>
    <w:rsid w:val="006B7BF1"/>
    <w:rsid w:val="006C0326"/>
    <w:rsid w:val="006C4E7F"/>
    <w:rsid w:val="006E351D"/>
    <w:rsid w:val="006F17E0"/>
    <w:rsid w:val="006F77A3"/>
    <w:rsid w:val="0071236F"/>
    <w:rsid w:val="007952A1"/>
    <w:rsid w:val="007B1BAE"/>
    <w:rsid w:val="007F797F"/>
    <w:rsid w:val="008603B8"/>
    <w:rsid w:val="00877286"/>
    <w:rsid w:val="008977BF"/>
    <w:rsid w:val="008E0739"/>
    <w:rsid w:val="008F19BA"/>
    <w:rsid w:val="0092074E"/>
    <w:rsid w:val="00943B2B"/>
    <w:rsid w:val="00945C86"/>
    <w:rsid w:val="00985671"/>
    <w:rsid w:val="009B505F"/>
    <w:rsid w:val="009C637F"/>
    <w:rsid w:val="009D539B"/>
    <w:rsid w:val="009F7FB0"/>
    <w:rsid w:val="00A4133B"/>
    <w:rsid w:val="00A42C6A"/>
    <w:rsid w:val="00A83E07"/>
    <w:rsid w:val="00AE477B"/>
    <w:rsid w:val="00B16EAF"/>
    <w:rsid w:val="00B94044"/>
    <w:rsid w:val="00BA383C"/>
    <w:rsid w:val="00BC016D"/>
    <w:rsid w:val="00BC1619"/>
    <w:rsid w:val="00BE3C69"/>
    <w:rsid w:val="00BF6C28"/>
    <w:rsid w:val="00C31C4A"/>
    <w:rsid w:val="00C5196F"/>
    <w:rsid w:val="00C732E7"/>
    <w:rsid w:val="00D2695E"/>
    <w:rsid w:val="00D84427"/>
    <w:rsid w:val="00DF2CD5"/>
    <w:rsid w:val="00E00204"/>
    <w:rsid w:val="00E05683"/>
    <w:rsid w:val="00EA135D"/>
    <w:rsid w:val="00EA226B"/>
    <w:rsid w:val="00EC704B"/>
    <w:rsid w:val="00F469FE"/>
    <w:rsid w:val="00F507F6"/>
    <w:rsid w:val="00F679A6"/>
    <w:rsid w:val="00F7322E"/>
    <w:rsid w:val="00F87ACF"/>
    <w:rsid w:val="00FD6A58"/>
    <w:rsid w:val="00FF2E0B"/>
    <w:rsid w:val="00FF3978"/>
    <w:rsid w:val="0849774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4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uiPriority w:val="9"/>
    <w:qFormat/>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nadpis">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 w:type="character" w:styleId="Odkaznakoment">
    <w:name w:val="annotation reference"/>
    <w:basedOn w:val="Standardnpsmoodstavce"/>
    <w:uiPriority w:val="99"/>
    <w:semiHidden/>
    <w:unhideWhenUsed/>
    <w:rsid w:val="0024650C"/>
    <w:rPr>
      <w:sz w:val="16"/>
      <w:szCs w:val="16"/>
    </w:rPr>
  </w:style>
  <w:style w:type="paragraph" w:styleId="Textkomente">
    <w:name w:val="annotation text"/>
    <w:basedOn w:val="Normln"/>
    <w:link w:val="TextkomenteChar"/>
    <w:uiPriority w:val="99"/>
    <w:semiHidden/>
    <w:unhideWhenUsed/>
    <w:rsid w:val="0024650C"/>
    <w:pPr>
      <w:spacing w:line="240" w:lineRule="auto"/>
    </w:pPr>
    <w:rPr>
      <w:sz w:val="20"/>
      <w:szCs w:val="20"/>
    </w:rPr>
  </w:style>
  <w:style w:type="character" w:customStyle="1" w:styleId="TextkomenteChar">
    <w:name w:val="Text komentáře Char"/>
    <w:basedOn w:val="Standardnpsmoodstavce"/>
    <w:link w:val="Textkomente"/>
    <w:uiPriority w:val="99"/>
    <w:semiHidden/>
    <w:rsid w:val="0024650C"/>
    <w:rPr>
      <w:sz w:val="20"/>
      <w:szCs w:val="20"/>
    </w:rPr>
  </w:style>
  <w:style w:type="paragraph" w:styleId="Pedmtkomente">
    <w:name w:val="annotation subject"/>
    <w:basedOn w:val="Textkomente"/>
    <w:next w:val="Textkomente"/>
    <w:link w:val="PedmtkomenteChar"/>
    <w:uiPriority w:val="99"/>
    <w:semiHidden/>
    <w:unhideWhenUsed/>
    <w:rsid w:val="0024650C"/>
    <w:rPr>
      <w:b/>
      <w:bCs/>
    </w:rPr>
  </w:style>
  <w:style w:type="character" w:customStyle="1" w:styleId="PedmtkomenteChar">
    <w:name w:val="Předmět komentáře Char"/>
    <w:basedOn w:val="TextkomenteChar"/>
    <w:link w:val="Pedmtkomente"/>
    <w:uiPriority w:val="99"/>
    <w:semiHidden/>
    <w:rsid w:val="0024650C"/>
    <w:rPr>
      <w:b/>
      <w:bCs/>
      <w:sz w:val="20"/>
      <w:szCs w:val="20"/>
    </w:rPr>
  </w:style>
  <w:style w:type="paragraph" w:styleId="Textbubliny">
    <w:name w:val="Balloon Text"/>
    <w:basedOn w:val="Normln"/>
    <w:link w:val="TextbublinyChar"/>
    <w:uiPriority w:val="99"/>
    <w:semiHidden/>
    <w:unhideWhenUsed/>
    <w:rsid w:val="002465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650C"/>
    <w:rPr>
      <w:rFonts w:ascii="Segoe UI" w:hAnsi="Segoe UI" w:cs="Segoe UI"/>
      <w:sz w:val="18"/>
      <w:szCs w:val="18"/>
    </w:rPr>
  </w:style>
  <w:style w:type="paragraph" w:customStyle="1" w:styleId="Odstavecsmlouvy">
    <w:name w:val="Odstavec smlouvy"/>
    <w:basedOn w:val="Zkladntext3"/>
    <w:link w:val="OdstavecsmlouvyChar"/>
    <w:qFormat/>
    <w:rsid w:val="007F797F"/>
    <w:pPr>
      <w:spacing w:after="0" w:line="240" w:lineRule="auto"/>
      <w:ind w:left="567" w:hanging="567"/>
      <w:jc w:val="both"/>
    </w:pPr>
    <w:rPr>
      <w:rFonts w:ascii="Arial" w:eastAsia="Times New Roman" w:hAnsi="Arial" w:cs="Arial"/>
      <w:color w:val="auto"/>
      <w:sz w:val="22"/>
      <w:szCs w:val="22"/>
    </w:rPr>
  </w:style>
  <w:style w:type="character" w:customStyle="1" w:styleId="OdstavecsmlouvyChar">
    <w:name w:val="Odstavec smlouvy Char"/>
    <w:link w:val="Odstavecsmlouvy"/>
    <w:rsid w:val="007F797F"/>
    <w:rPr>
      <w:rFonts w:ascii="Arial" w:eastAsia="Times New Roman" w:hAnsi="Arial" w:cs="Arial"/>
      <w:color w:val="auto"/>
      <w:sz w:val="22"/>
      <w:szCs w:val="22"/>
    </w:rPr>
  </w:style>
  <w:style w:type="paragraph" w:styleId="Zkladntext3">
    <w:name w:val="Body Text 3"/>
    <w:basedOn w:val="Normln"/>
    <w:link w:val="Zkladntext3Char"/>
    <w:uiPriority w:val="99"/>
    <w:semiHidden/>
    <w:unhideWhenUsed/>
    <w:rsid w:val="007F797F"/>
    <w:pPr>
      <w:spacing w:after="120"/>
    </w:pPr>
    <w:rPr>
      <w:sz w:val="16"/>
      <w:szCs w:val="16"/>
    </w:rPr>
  </w:style>
  <w:style w:type="character" w:customStyle="1" w:styleId="Zkladntext3Char">
    <w:name w:val="Základní text 3 Char"/>
    <w:basedOn w:val="Standardnpsmoodstavce"/>
    <w:link w:val="Zkladntext3"/>
    <w:uiPriority w:val="99"/>
    <w:semiHidden/>
    <w:rsid w:val="007F797F"/>
    <w:rPr>
      <w:sz w:val="16"/>
      <w:szCs w:val="16"/>
    </w:rPr>
  </w:style>
  <w:style w:type="paragraph" w:customStyle="1" w:styleId="Psmenoodstavce">
    <w:name w:val="Písmeno odstavce"/>
    <w:basedOn w:val="Odstavecsmlouvy"/>
    <w:qFormat/>
    <w:rsid w:val="007F797F"/>
    <w:pPr>
      <w:ind w:left="851" w:firstLine="0"/>
      <w:contextualSpacing/>
    </w:pPr>
  </w:style>
  <w:style w:type="character" w:customStyle="1" w:styleId="platne1">
    <w:name w:val="platne1"/>
    <w:rsid w:val="004754E7"/>
  </w:style>
  <w:style w:type="character" w:styleId="Hypertextovodkaz">
    <w:name w:val="Hyperlink"/>
    <w:basedOn w:val="Standardnpsmoodstavce"/>
    <w:uiPriority w:val="99"/>
    <w:unhideWhenUsed/>
    <w:rsid w:val="00A83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179510273">
      <w:bodyDiv w:val="1"/>
      <w:marLeft w:val="0"/>
      <w:marRight w:val="0"/>
      <w:marTop w:val="0"/>
      <w:marBottom w:val="0"/>
      <w:divBdr>
        <w:top w:val="none" w:sz="0" w:space="0" w:color="auto"/>
        <w:left w:val="none" w:sz="0" w:space="0" w:color="auto"/>
        <w:bottom w:val="none" w:sz="0" w:space="0" w:color="auto"/>
        <w:right w:val="none" w:sz="0" w:space="0" w:color="auto"/>
      </w:divBdr>
    </w:div>
    <w:div w:id="380598257">
      <w:bodyDiv w:val="1"/>
      <w:marLeft w:val="0"/>
      <w:marRight w:val="0"/>
      <w:marTop w:val="0"/>
      <w:marBottom w:val="0"/>
      <w:divBdr>
        <w:top w:val="none" w:sz="0" w:space="0" w:color="auto"/>
        <w:left w:val="none" w:sz="0" w:space="0" w:color="auto"/>
        <w:bottom w:val="none" w:sz="0" w:space="0" w:color="auto"/>
        <w:right w:val="none" w:sz="0" w:space="0" w:color="auto"/>
      </w:divBdr>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638801446">
      <w:bodyDiv w:val="1"/>
      <w:marLeft w:val="0"/>
      <w:marRight w:val="0"/>
      <w:marTop w:val="0"/>
      <w:marBottom w:val="0"/>
      <w:divBdr>
        <w:top w:val="none" w:sz="0" w:space="0" w:color="auto"/>
        <w:left w:val="none" w:sz="0" w:space="0" w:color="auto"/>
        <w:bottom w:val="none" w:sz="0" w:space="0" w:color="auto"/>
        <w:right w:val="none" w:sz="0" w:space="0" w:color="auto"/>
      </w:divBdr>
    </w:div>
    <w:div w:id="858087398">
      <w:bodyDiv w:val="1"/>
      <w:marLeft w:val="0"/>
      <w:marRight w:val="0"/>
      <w:marTop w:val="0"/>
      <w:marBottom w:val="0"/>
      <w:divBdr>
        <w:top w:val="none" w:sz="0" w:space="0" w:color="auto"/>
        <w:left w:val="none" w:sz="0" w:space="0" w:color="auto"/>
        <w:bottom w:val="none" w:sz="0" w:space="0" w:color="auto"/>
        <w:right w:val="none" w:sz="0" w:space="0" w:color="auto"/>
      </w:divBdr>
    </w:div>
    <w:div w:id="981498093">
      <w:bodyDiv w:val="1"/>
      <w:marLeft w:val="0"/>
      <w:marRight w:val="0"/>
      <w:marTop w:val="0"/>
      <w:marBottom w:val="0"/>
      <w:divBdr>
        <w:top w:val="none" w:sz="0" w:space="0" w:color="auto"/>
        <w:left w:val="none" w:sz="0" w:space="0" w:color="auto"/>
        <w:bottom w:val="none" w:sz="0" w:space="0" w:color="auto"/>
        <w:right w:val="none" w:sz="0" w:space="0" w:color="auto"/>
      </w:divBdr>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4865">
      <w:bodyDiv w:val="1"/>
      <w:marLeft w:val="0"/>
      <w:marRight w:val="0"/>
      <w:marTop w:val="0"/>
      <w:marBottom w:val="0"/>
      <w:divBdr>
        <w:top w:val="none" w:sz="0" w:space="0" w:color="auto"/>
        <w:left w:val="none" w:sz="0" w:space="0" w:color="auto"/>
        <w:bottom w:val="none" w:sz="0" w:space="0" w:color="auto"/>
        <w:right w:val="none" w:sz="0" w:space="0" w:color="auto"/>
      </w:divBdr>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19572D-6538-449E-851E-B539E915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10921</Characters>
  <Application>Microsoft Office Word</Application>
  <DocSecurity>0</DocSecurity>
  <Lines>91</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2021-09-16T11:49:00Z</dcterms:created>
  <dcterms:modified xsi:type="dcterms:W3CDTF">2021-09-16T11:50:00Z</dcterms:modified>
</cp:coreProperties>
</file>