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9209" w:type="dxa"/>
        <w:tblLook w:val="04A0" w:firstRow="1" w:lastRow="0" w:firstColumn="1" w:lastColumn="0" w:noHBand="0" w:noVBand="1"/>
      </w:tblPr>
      <w:tblGrid>
        <w:gridCol w:w="4673"/>
        <w:gridCol w:w="4536"/>
      </w:tblGrid>
      <w:tr w:rsidR="00076C64" w:rsidRPr="00D6519F" w14:paraId="3B739407" w14:textId="77777777" w:rsidTr="00C96189">
        <w:tc>
          <w:tcPr>
            <w:tcW w:w="4673" w:type="dxa"/>
          </w:tcPr>
          <w:p w14:paraId="31C39D66" w14:textId="77777777" w:rsidR="005A2E37" w:rsidRDefault="005A2E37" w:rsidP="005A2E37">
            <w:pPr>
              <w:spacing w:line="276" w:lineRule="auto"/>
              <w:jc w:val="center"/>
              <w:rPr>
                <w:b/>
                <w:bCs/>
                <w:smallCaps/>
                <w:sz w:val="32"/>
                <w:szCs w:val="24"/>
              </w:rPr>
            </w:pPr>
            <w:r>
              <w:rPr>
                <w:b/>
                <w:bCs/>
                <w:smallCaps/>
                <w:sz w:val="32"/>
                <w:szCs w:val="24"/>
              </w:rPr>
              <w:t>Dodatek č. 1</w:t>
            </w:r>
          </w:p>
          <w:p w14:paraId="387A0DD9" w14:textId="77777777" w:rsidR="00076C64" w:rsidRPr="00D6519F" w:rsidRDefault="005A2E37" w:rsidP="005A2E37">
            <w:pPr>
              <w:spacing w:line="276" w:lineRule="auto"/>
              <w:jc w:val="center"/>
              <w:rPr>
                <w:b/>
                <w:bCs/>
                <w:smallCaps/>
                <w:sz w:val="32"/>
                <w:szCs w:val="24"/>
              </w:rPr>
            </w:pPr>
            <w:r>
              <w:rPr>
                <w:b/>
                <w:bCs/>
                <w:smallCaps/>
                <w:sz w:val="32"/>
                <w:szCs w:val="24"/>
              </w:rPr>
              <w:t xml:space="preserve">ke </w:t>
            </w:r>
            <w:r w:rsidR="00076C64" w:rsidRPr="00D6519F">
              <w:rPr>
                <w:b/>
                <w:bCs/>
                <w:smallCaps/>
                <w:sz w:val="32"/>
                <w:szCs w:val="24"/>
              </w:rPr>
              <w:t>Smlouv</w:t>
            </w:r>
            <w:r>
              <w:rPr>
                <w:b/>
                <w:bCs/>
                <w:smallCaps/>
                <w:sz w:val="32"/>
                <w:szCs w:val="24"/>
              </w:rPr>
              <w:t>ě</w:t>
            </w:r>
            <w:r w:rsidR="00076C64" w:rsidRPr="00D6519F">
              <w:rPr>
                <w:b/>
                <w:bCs/>
                <w:smallCaps/>
                <w:sz w:val="32"/>
                <w:szCs w:val="24"/>
              </w:rPr>
              <w:t xml:space="preserve"> o spolupráci</w:t>
            </w:r>
          </w:p>
          <w:p w14:paraId="3D7215B9" w14:textId="77777777" w:rsidR="00076C64" w:rsidRPr="00D6519F" w:rsidRDefault="00076C64" w:rsidP="00FF7F04">
            <w:pPr>
              <w:spacing w:line="276" w:lineRule="auto"/>
              <w:jc w:val="center"/>
              <w:rPr>
                <w:b/>
                <w:bCs/>
                <w:smallCaps/>
                <w:sz w:val="32"/>
                <w:szCs w:val="24"/>
              </w:rPr>
            </w:pPr>
          </w:p>
          <w:p w14:paraId="5CB83684" w14:textId="77777777" w:rsidR="00076C64" w:rsidRPr="00D6519F" w:rsidRDefault="00076C64" w:rsidP="00FF7F04">
            <w:pPr>
              <w:spacing w:line="276" w:lineRule="auto"/>
            </w:pPr>
          </w:p>
        </w:tc>
        <w:tc>
          <w:tcPr>
            <w:tcW w:w="4536" w:type="dxa"/>
          </w:tcPr>
          <w:p w14:paraId="22105DC4" w14:textId="77777777" w:rsidR="008217D0" w:rsidRDefault="008217D0" w:rsidP="00FF7F04">
            <w:pPr>
              <w:spacing w:line="276" w:lineRule="auto"/>
              <w:jc w:val="center"/>
              <w:rPr>
                <w:b/>
                <w:bCs/>
                <w:smallCaps/>
                <w:sz w:val="32"/>
                <w:szCs w:val="24"/>
                <w:lang w:val="en-US"/>
              </w:rPr>
            </w:pPr>
            <w:r>
              <w:rPr>
                <w:b/>
                <w:bCs/>
                <w:smallCaps/>
                <w:sz w:val="32"/>
                <w:szCs w:val="24"/>
                <w:lang w:val="en-US"/>
              </w:rPr>
              <w:t>Appendix No. 1 to the</w:t>
            </w:r>
          </w:p>
          <w:p w14:paraId="68E9ECAF" w14:textId="77777777" w:rsidR="00076C64" w:rsidRPr="00D6519F" w:rsidRDefault="00076C64" w:rsidP="00FF7F04">
            <w:pPr>
              <w:spacing w:line="276" w:lineRule="auto"/>
              <w:jc w:val="center"/>
              <w:rPr>
                <w:b/>
                <w:bCs/>
                <w:smallCaps/>
                <w:sz w:val="32"/>
                <w:szCs w:val="24"/>
                <w:lang w:val="en-US"/>
              </w:rPr>
            </w:pPr>
            <w:r w:rsidRPr="00D6519F">
              <w:rPr>
                <w:b/>
                <w:bCs/>
                <w:smallCaps/>
                <w:sz w:val="32"/>
                <w:szCs w:val="24"/>
                <w:lang w:val="en-US"/>
              </w:rPr>
              <w:t>Cooperation agreement</w:t>
            </w:r>
          </w:p>
          <w:p w14:paraId="7129F686" w14:textId="77777777" w:rsidR="00076C64" w:rsidRPr="00D6519F" w:rsidRDefault="00076C64" w:rsidP="00FF7F04">
            <w:pPr>
              <w:spacing w:line="276" w:lineRule="auto"/>
              <w:jc w:val="center"/>
              <w:rPr>
                <w:b/>
                <w:bCs/>
                <w:smallCaps/>
                <w:sz w:val="32"/>
                <w:szCs w:val="24"/>
                <w:lang w:val="en-US"/>
              </w:rPr>
            </w:pPr>
          </w:p>
          <w:p w14:paraId="71E363AB" w14:textId="77777777" w:rsidR="00076C64" w:rsidRPr="00D6519F" w:rsidRDefault="00076C64">
            <w:pPr>
              <w:spacing w:line="276" w:lineRule="auto"/>
              <w:rPr>
                <w:b/>
                <w:sz w:val="32"/>
                <w:szCs w:val="32"/>
                <w:lang w:val="en-US"/>
              </w:rPr>
            </w:pPr>
          </w:p>
        </w:tc>
      </w:tr>
      <w:tr w:rsidR="00076C64" w:rsidRPr="00D6519F" w14:paraId="4839A931" w14:textId="77777777" w:rsidTr="00C96189">
        <w:tc>
          <w:tcPr>
            <w:tcW w:w="4673" w:type="dxa"/>
          </w:tcPr>
          <w:p w14:paraId="5C02A297" w14:textId="77777777" w:rsidR="00076C64" w:rsidRPr="00D6519F" w:rsidRDefault="00076C64" w:rsidP="00FF7F04">
            <w:pPr>
              <w:spacing w:line="276" w:lineRule="auto"/>
              <w:jc w:val="center"/>
            </w:pPr>
            <w:r w:rsidRPr="00D6519F">
              <w:t>mezi</w:t>
            </w:r>
          </w:p>
        </w:tc>
        <w:tc>
          <w:tcPr>
            <w:tcW w:w="4536" w:type="dxa"/>
          </w:tcPr>
          <w:p w14:paraId="6C2450B9" w14:textId="77777777" w:rsidR="00076C64" w:rsidRPr="00D6519F" w:rsidRDefault="00076C64" w:rsidP="00FF7F04">
            <w:pPr>
              <w:jc w:val="center"/>
              <w:rPr>
                <w:lang w:val="de-DE"/>
              </w:rPr>
            </w:pPr>
            <w:r w:rsidRPr="00D6519F">
              <w:rPr>
                <w:lang w:val="de-DE"/>
              </w:rPr>
              <w:t>between</w:t>
            </w:r>
          </w:p>
        </w:tc>
      </w:tr>
      <w:tr w:rsidR="00076C64" w:rsidRPr="00D6519F" w14:paraId="0818451D" w14:textId="77777777" w:rsidTr="00C96189">
        <w:tc>
          <w:tcPr>
            <w:tcW w:w="9209" w:type="dxa"/>
            <w:gridSpan w:val="2"/>
          </w:tcPr>
          <w:p w14:paraId="671C8A80" w14:textId="77777777" w:rsidR="00076C64" w:rsidRPr="00D6519F" w:rsidRDefault="00076C64" w:rsidP="00FF7F04">
            <w:pPr>
              <w:spacing w:line="276" w:lineRule="auto"/>
              <w:jc w:val="center"/>
              <w:rPr>
                <w:snapToGrid w:val="0"/>
                <w:szCs w:val="24"/>
              </w:rPr>
            </w:pPr>
            <w:r w:rsidRPr="00D6519F">
              <w:rPr>
                <w:b/>
                <w:snapToGrid w:val="0"/>
                <w:szCs w:val="24"/>
                <w:u w:val="single"/>
              </w:rPr>
              <w:t>Národní galerie v Praze</w:t>
            </w:r>
            <w:r w:rsidRPr="00D6519F">
              <w:rPr>
                <w:snapToGrid w:val="0"/>
                <w:szCs w:val="24"/>
              </w:rPr>
              <w:t>,</w:t>
            </w:r>
          </w:p>
          <w:p w14:paraId="4CFA3833" w14:textId="77777777" w:rsidR="00076C64" w:rsidRPr="00D6519F" w:rsidRDefault="00076C64" w:rsidP="00FF7F04">
            <w:pPr>
              <w:spacing w:line="276" w:lineRule="auto"/>
              <w:jc w:val="center"/>
              <w:rPr>
                <w:snapToGrid w:val="0"/>
                <w:szCs w:val="24"/>
              </w:rPr>
            </w:pPr>
            <w:r w:rsidRPr="00D6519F">
              <w:rPr>
                <w:snapToGrid w:val="0"/>
                <w:szCs w:val="24"/>
              </w:rPr>
              <w:t>Staroměstské náměstí 12, 110 15 Praha 1, Česká republika</w:t>
            </w:r>
          </w:p>
          <w:p w14:paraId="364AE55A" w14:textId="77777777" w:rsidR="00076C64" w:rsidRPr="00981E5E" w:rsidRDefault="00076C64" w:rsidP="00FF7F04">
            <w:pPr>
              <w:spacing w:line="276" w:lineRule="auto"/>
              <w:jc w:val="center"/>
              <w:rPr>
                <w:snapToGrid w:val="0"/>
                <w:szCs w:val="24"/>
              </w:rPr>
            </w:pPr>
            <w:r w:rsidRPr="00981E5E">
              <w:rPr>
                <w:snapToGrid w:val="0"/>
                <w:szCs w:val="24"/>
              </w:rPr>
              <w:t>IČ: 000 23 281</w:t>
            </w:r>
          </w:p>
          <w:p w14:paraId="724D8BF4" w14:textId="77777777" w:rsidR="00076C64" w:rsidRPr="00981E5E" w:rsidRDefault="00076C64" w:rsidP="00FF7F04">
            <w:pPr>
              <w:spacing w:line="276" w:lineRule="auto"/>
              <w:jc w:val="center"/>
              <w:rPr>
                <w:snapToGrid w:val="0"/>
                <w:szCs w:val="24"/>
              </w:rPr>
            </w:pPr>
            <w:r w:rsidRPr="00981E5E">
              <w:rPr>
                <w:snapToGrid w:val="0"/>
                <w:szCs w:val="24"/>
              </w:rPr>
              <w:t>DIČ: CZ 000 23 281</w:t>
            </w:r>
          </w:p>
          <w:p w14:paraId="23FEFCD0" w14:textId="77777777" w:rsidR="00076C64" w:rsidRPr="00981E5E" w:rsidRDefault="00076C64" w:rsidP="00FF7F04">
            <w:pPr>
              <w:spacing w:line="276" w:lineRule="auto"/>
              <w:jc w:val="center"/>
              <w:rPr>
                <w:snapToGrid w:val="0"/>
                <w:szCs w:val="24"/>
              </w:rPr>
            </w:pPr>
            <w:r w:rsidRPr="00D6519F">
              <w:rPr>
                <w:snapToGrid w:val="0"/>
                <w:szCs w:val="24"/>
              </w:rPr>
              <w:t>zastoupená</w:t>
            </w:r>
            <w:r w:rsidRPr="00981E5E">
              <w:rPr>
                <w:snapToGrid w:val="0"/>
                <w:szCs w:val="24"/>
              </w:rPr>
              <w:t>/</w:t>
            </w:r>
            <w:r w:rsidRPr="00981E5E">
              <w:rPr>
                <w:i/>
                <w:snapToGrid w:val="0"/>
                <w:szCs w:val="24"/>
              </w:rPr>
              <w:t xml:space="preserve"> represented by </w:t>
            </w:r>
            <w:r w:rsidR="005A2E37">
              <w:rPr>
                <w:snapToGrid w:val="0"/>
                <w:szCs w:val="24"/>
              </w:rPr>
              <w:t>Alicja Knast</w:t>
            </w:r>
            <w:r w:rsidRPr="00981E5E">
              <w:rPr>
                <w:snapToGrid w:val="0"/>
                <w:szCs w:val="24"/>
              </w:rPr>
              <w:t xml:space="preserve">, </w:t>
            </w:r>
            <w:r w:rsidRPr="00D6519F">
              <w:rPr>
                <w:snapToGrid w:val="0"/>
                <w:szCs w:val="24"/>
              </w:rPr>
              <w:t>generální ředitelka</w:t>
            </w:r>
            <w:r w:rsidRPr="00981E5E">
              <w:rPr>
                <w:snapToGrid w:val="0"/>
                <w:szCs w:val="24"/>
              </w:rPr>
              <w:t xml:space="preserve"> /</w:t>
            </w:r>
            <w:r w:rsidRPr="00981E5E">
              <w:rPr>
                <w:i/>
                <w:snapToGrid w:val="0"/>
                <w:szCs w:val="24"/>
              </w:rPr>
              <w:t xml:space="preserve"> General Dire</w:t>
            </w:r>
            <w:r w:rsidR="00EB6971" w:rsidRPr="00981E5E">
              <w:rPr>
                <w:i/>
                <w:snapToGrid w:val="0"/>
                <w:szCs w:val="24"/>
              </w:rPr>
              <w:t>c</w:t>
            </w:r>
            <w:r w:rsidRPr="00981E5E">
              <w:rPr>
                <w:i/>
                <w:snapToGrid w:val="0"/>
                <w:szCs w:val="24"/>
              </w:rPr>
              <w:t>tor</w:t>
            </w:r>
          </w:p>
          <w:p w14:paraId="08358411" w14:textId="77777777" w:rsidR="00076C64" w:rsidRPr="00981E5E" w:rsidRDefault="00076C64" w:rsidP="00FF7F04">
            <w:pPr>
              <w:jc w:val="center"/>
            </w:pPr>
            <w:r w:rsidRPr="00D6519F">
              <w:rPr>
                <w:snapToGrid w:val="0"/>
                <w:szCs w:val="24"/>
              </w:rPr>
              <w:t>dále jen jako „</w:t>
            </w:r>
            <w:r w:rsidRPr="00D6519F">
              <w:rPr>
                <w:b/>
                <w:snapToGrid w:val="0"/>
                <w:szCs w:val="24"/>
              </w:rPr>
              <w:t>NGP</w:t>
            </w:r>
            <w:r w:rsidRPr="00981E5E">
              <w:rPr>
                <w:snapToGrid w:val="0"/>
                <w:szCs w:val="24"/>
              </w:rPr>
              <w:t xml:space="preserve">“ / </w:t>
            </w:r>
            <w:r w:rsidRPr="00981E5E">
              <w:rPr>
                <w:i/>
                <w:snapToGrid w:val="0"/>
                <w:szCs w:val="24"/>
              </w:rPr>
              <w:t>hereinafter referred to as„</w:t>
            </w:r>
            <w:r w:rsidRPr="00981E5E">
              <w:rPr>
                <w:b/>
                <w:i/>
                <w:snapToGrid w:val="0"/>
                <w:szCs w:val="24"/>
              </w:rPr>
              <w:t>NGP</w:t>
            </w:r>
            <w:r w:rsidRPr="00981E5E">
              <w:rPr>
                <w:i/>
                <w:snapToGrid w:val="0"/>
                <w:szCs w:val="24"/>
              </w:rPr>
              <w:t>“</w:t>
            </w:r>
          </w:p>
        </w:tc>
      </w:tr>
      <w:tr w:rsidR="00076C64" w:rsidRPr="00D6519F" w14:paraId="4E1AB51B" w14:textId="77777777" w:rsidTr="00C96189">
        <w:tc>
          <w:tcPr>
            <w:tcW w:w="4673" w:type="dxa"/>
          </w:tcPr>
          <w:p w14:paraId="26202135" w14:textId="77777777" w:rsidR="00076C64" w:rsidRPr="00D6519F" w:rsidRDefault="00076C64" w:rsidP="00FF7F04">
            <w:pPr>
              <w:spacing w:line="276" w:lineRule="auto"/>
              <w:jc w:val="center"/>
              <w:rPr>
                <w:snapToGrid w:val="0"/>
                <w:szCs w:val="24"/>
                <w:lang w:val="de-DE"/>
              </w:rPr>
            </w:pPr>
            <w:r w:rsidRPr="00D6519F">
              <w:rPr>
                <w:snapToGrid w:val="0"/>
                <w:szCs w:val="24"/>
                <w:lang w:val="de-DE"/>
              </w:rPr>
              <w:t>a</w:t>
            </w:r>
          </w:p>
        </w:tc>
        <w:tc>
          <w:tcPr>
            <w:tcW w:w="4536" w:type="dxa"/>
          </w:tcPr>
          <w:p w14:paraId="39A6C685" w14:textId="77777777" w:rsidR="00076C64" w:rsidRPr="00D6519F" w:rsidRDefault="00076C64" w:rsidP="00FF7F04">
            <w:pPr>
              <w:jc w:val="center"/>
              <w:rPr>
                <w:lang w:val="de-DE"/>
              </w:rPr>
            </w:pPr>
            <w:r w:rsidRPr="00D6519F">
              <w:rPr>
                <w:lang w:val="de-DE"/>
              </w:rPr>
              <w:t>and</w:t>
            </w:r>
          </w:p>
        </w:tc>
      </w:tr>
      <w:tr w:rsidR="00076C64" w:rsidRPr="00D6519F" w14:paraId="4B612031" w14:textId="77777777" w:rsidTr="00C96189">
        <w:tc>
          <w:tcPr>
            <w:tcW w:w="9209" w:type="dxa"/>
            <w:gridSpan w:val="2"/>
          </w:tcPr>
          <w:p w14:paraId="71A2B003" w14:textId="77777777" w:rsidR="00076C64" w:rsidRPr="00A64A27" w:rsidRDefault="00076C64" w:rsidP="00FF7F04">
            <w:pPr>
              <w:spacing w:line="276" w:lineRule="auto"/>
              <w:jc w:val="center"/>
              <w:rPr>
                <w:b/>
                <w:snapToGrid w:val="0"/>
                <w:szCs w:val="24"/>
                <w:u w:val="single"/>
              </w:rPr>
            </w:pPr>
            <w:r w:rsidRPr="00A64A27">
              <w:rPr>
                <w:b/>
                <w:snapToGrid w:val="0"/>
                <w:szCs w:val="24"/>
                <w:u w:val="single"/>
              </w:rPr>
              <w:t>Museum Rietberg</w:t>
            </w:r>
            <w:r w:rsidR="00254507">
              <w:rPr>
                <w:b/>
                <w:snapToGrid w:val="0"/>
                <w:szCs w:val="24"/>
                <w:u w:val="single"/>
              </w:rPr>
              <w:t xml:space="preserve"> Zurich</w:t>
            </w:r>
          </w:p>
          <w:p w14:paraId="09474FD1" w14:textId="77777777" w:rsidR="00076C64" w:rsidRPr="00A64A27" w:rsidRDefault="00FF528B" w:rsidP="00FF7F04">
            <w:pPr>
              <w:spacing w:line="276" w:lineRule="auto"/>
              <w:jc w:val="center"/>
              <w:rPr>
                <w:snapToGrid w:val="0"/>
                <w:szCs w:val="24"/>
              </w:rPr>
            </w:pPr>
            <w:r w:rsidRPr="00A64A27">
              <w:rPr>
                <w:snapToGrid w:val="0"/>
                <w:szCs w:val="24"/>
              </w:rPr>
              <w:t>G</w:t>
            </w:r>
            <w:r w:rsidR="00076C64" w:rsidRPr="00A64A27">
              <w:rPr>
                <w:snapToGrid w:val="0"/>
                <w:szCs w:val="24"/>
              </w:rPr>
              <w:t>ablerstrasse 15</w:t>
            </w:r>
            <w:r w:rsidR="004522C1">
              <w:rPr>
                <w:snapToGrid w:val="0"/>
                <w:szCs w:val="24"/>
              </w:rPr>
              <w:t>,</w:t>
            </w:r>
            <w:r w:rsidR="00076C64" w:rsidRPr="00A64A27">
              <w:rPr>
                <w:snapToGrid w:val="0"/>
                <w:szCs w:val="24"/>
              </w:rPr>
              <w:t xml:space="preserve"> 8002 Zürich, Switzerland</w:t>
            </w:r>
          </w:p>
          <w:p w14:paraId="0FCDA79F" w14:textId="77777777" w:rsidR="00722F00" w:rsidRPr="00A64A27" w:rsidRDefault="00076C64" w:rsidP="00FF7F04">
            <w:pPr>
              <w:spacing w:line="276" w:lineRule="auto"/>
              <w:jc w:val="center"/>
              <w:rPr>
                <w:snapToGrid w:val="0"/>
                <w:szCs w:val="24"/>
              </w:rPr>
            </w:pPr>
            <w:r w:rsidRPr="00D6519F">
              <w:rPr>
                <w:snapToGrid w:val="0"/>
                <w:szCs w:val="24"/>
              </w:rPr>
              <w:t>zastoupená /</w:t>
            </w:r>
            <w:r w:rsidR="00E90893">
              <w:rPr>
                <w:snapToGrid w:val="0"/>
                <w:szCs w:val="24"/>
              </w:rPr>
              <w:t xml:space="preserve"> </w:t>
            </w:r>
            <w:r w:rsidRPr="00A64A27">
              <w:rPr>
                <w:i/>
                <w:snapToGrid w:val="0"/>
                <w:szCs w:val="24"/>
              </w:rPr>
              <w:t>represented by</w:t>
            </w:r>
            <w:r w:rsidR="00722F00" w:rsidRPr="00D6519F">
              <w:t xml:space="preserve"> Dr. Annette Bhagwati</w:t>
            </w:r>
            <w:r w:rsidR="00825B7A" w:rsidRPr="00D6519F">
              <w:t>, ředitelka</w:t>
            </w:r>
            <w:r w:rsidR="004223B7">
              <w:t xml:space="preserve"> </w:t>
            </w:r>
            <w:r w:rsidR="00825B7A" w:rsidRPr="00D6519F">
              <w:t xml:space="preserve">/ </w:t>
            </w:r>
            <w:r w:rsidR="00825B7A" w:rsidRPr="00D6519F">
              <w:rPr>
                <w:i/>
              </w:rPr>
              <w:t>Director</w:t>
            </w:r>
          </w:p>
          <w:p w14:paraId="5FA4360F" w14:textId="77777777" w:rsidR="00076C64" w:rsidRPr="00A64A27" w:rsidRDefault="00076C64" w:rsidP="00FF7F04">
            <w:pPr>
              <w:spacing w:line="276" w:lineRule="auto"/>
              <w:jc w:val="center"/>
              <w:rPr>
                <w:snapToGrid w:val="0"/>
                <w:szCs w:val="24"/>
              </w:rPr>
            </w:pPr>
          </w:p>
          <w:p w14:paraId="39BAB93D" w14:textId="77777777" w:rsidR="00076C64" w:rsidRPr="00D6519F" w:rsidRDefault="00076C64" w:rsidP="00FF7F04">
            <w:pPr>
              <w:spacing w:line="276" w:lineRule="auto"/>
              <w:jc w:val="center"/>
              <w:rPr>
                <w:b/>
                <w:snapToGrid w:val="0"/>
                <w:szCs w:val="24"/>
                <w:u w:val="single"/>
                <w:lang w:val="en-US"/>
              </w:rPr>
            </w:pPr>
            <w:r w:rsidRPr="00D6519F">
              <w:rPr>
                <w:snapToGrid w:val="0"/>
                <w:szCs w:val="24"/>
              </w:rPr>
              <w:t>dále jen jako „</w:t>
            </w:r>
            <w:r w:rsidRPr="00D6519F">
              <w:rPr>
                <w:b/>
                <w:snapToGrid w:val="0"/>
                <w:szCs w:val="24"/>
              </w:rPr>
              <w:t>MRZ</w:t>
            </w:r>
            <w:r w:rsidRPr="00D6519F">
              <w:rPr>
                <w:snapToGrid w:val="0"/>
                <w:szCs w:val="24"/>
                <w:lang w:val="en-US"/>
              </w:rPr>
              <w:t xml:space="preserve">“ / </w:t>
            </w:r>
            <w:r w:rsidRPr="00D6519F">
              <w:rPr>
                <w:i/>
                <w:snapToGrid w:val="0"/>
                <w:szCs w:val="24"/>
                <w:lang w:val="en-US"/>
              </w:rPr>
              <w:t>hereinafter referred to as</w:t>
            </w:r>
            <w:r w:rsidR="00E90893">
              <w:rPr>
                <w:i/>
                <w:snapToGrid w:val="0"/>
                <w:szCs w:val="24"/>
                <w:lang w:val="en-US"/>
              </w:rPr>
              <w:t xml:space="preserve"> </w:t>
            </w:r>
            <w:r w:rsidRPr="00D6519F">
              <w:rPr>
                <w:i/>
                <w:snapToGrid w:val="0"/>
                <w:szCs w:val="24"/>
                <w:lang w:val="en-US"/>
              </w:rPr>
              <w:t>„</w:t>
            </w:r>
            <w:r w:rsidRPr="00D6519F">
              <w:rPr>
                <w:b/>
                <w:i/>
                <w:snapToGrid w:val="0"/>
                <w:szCs w:val="24"/>
                <w:lang w:val="en-US"/>
              </w:rPr>
              <w:t>MRZ</w:t>
            </w:r>
            <w:r w:rsidRPr="00D6519F">
              <w:rPr>
                <w:i/>
                <w:snapToGrid w:val="0"/>
                <w:szCs w:val="24"/>
                <w:lang w:val="en-US"/>
              </w:rPr>
              <w:t>“</w:t>
            </w:r>
          </w:p>
        </w:tc>
      </w:tr>
      <w:tr w:rsidR="00076C64" w:rsidRPr="00D6519F" w14:paraId="0C1897B6" w14:textId="77777777" w:rsidTr="00C96189">
        <w:tc>
          <w:tcPr>
            <w:tcW w:w="4673" w:type="dxa"/>
          </w:tcPr>
          <w:p w14:paraId="681CD921" w14:textId="77777777" w:rsidR="00076C64" w:rsidRPr="00D6519F" w:rsidRDefault="005A2E37" w:rsidP="00FF7F04">
            <w:pPr>
              <w:pStyle w:val="Odstavecseseznamem"/>
              <w:numPr>
                <w:ilvl w:val="0"/>
                <w:numId w:val="1"/>
              </w:numPr>
              <w:spacing w:line="276" w:lineRule="auto"/>
              <w:rPr>
                <w:b/>
              </w:rPr>
            </w:pPr>
            <w:r>
              <w:rPr>
                <w:b/>
              </w:rPr>
              <w:t>Úvodní ustanovení</w:t>
            </w:r>
          </w:p>
        </w:tc>
        <w:tc>
          <w:tcPr>
            <w:tcW w:w="4536" w:type="dxa"/>
          </w:tcPr>
          <w:p w14:paraId="35C2C551" w14:textId="77777777" w:rsidR="00076C64" w:rsidRPr="00D6519F" w:rsidRDefault="00076C64" w:rsidP="00FF7F04">
            <w:pPr>
              <w:spacing w:line="276" w:lineRule="auto"/>
              <w:rPr>
                <w:b/>
                <w:lang w:val="en-US"/>
              </w:rPr>
            </w:pPr>
            <w:r w:rsidRPr="00D6519F">
              <w:rPr>
                <w:b/>
                <w:lang w:val="en-US"/>
              </w:rPr>
              <w:t xml:space="preserve">1. </w:t>
            </w:r>
            <w:r w:rsidR="008217D0" w:rsidRPr="008217D0">
              <w:rPr>
                <w:b/>
                <w:lang w:val="en-US"/>
              </w:rPr>
              <w:t>Introductory provisions</w:t>
            </w:r>
          </w:p>
        </w:tc>
      </w:tr>
      <w:tr w:rsidR="00076C64" w:rsidRPr="00D6519F" w14:paraId="6F47D0B4" w14:textId="77777777" w:rsidTr="00C96189">
        <w:tc>
          <w:tcPr>
            <w:tcW w:w="4673" w:type="dxa"/>
          </w:tcPr>
          <w:p w14:paraId="2680C815" w14:textId="77777777" w:rsidR="00076C64" w:rsidRPr="00C5331C" w:rsidRDefault="005A2E37" w:rsidP="007B34DD">
            <w:pPr>
              <w:pStyle w:val="Odstavecseseznamem"/>
              <w:numPr>
                <w:ilvl w:val="1"/>
                <w:numId w:val="1"/>
              </w:numPr>
              <w:spacing w:line="276" w:lineRule="auto"/>
              <w:ind w:left="457" w:hanging="570"/>
            </w:pPr>
            <w:r w:rsidRPr="00C5331C">
              <w:t xml:space="preserve">Smluvní strany spolu uzavřely dne </w:t>
            </w:r>
            <w:r w:rsidRPr="007C2DCD">
              <w:t>17. 12. 2020</w:t>
            </w:r>
            <w:r w:rsidRPr="00C5331C">
              <w:t xml:space="preserve"> Smlouvu o </w:t>
            </w:r>
            <w:r w:rsidR="005D4B55" w:rsidRPr="00C5331C">
              <w:t>spolupráci, jejímž p</w:t>
            </w:r>
            <w:r w:rsidR="00076C64" w:rsidRPr="00C5331C">
              <w:t>ředmětem je úprava práv a povinností smluvních stran v souvislosti s pořádáním výstavy s</w:t>
            </w:r>
            <w:r w:rsidR="00FD3384" w:rsidRPr="00C5331C">
              <w:t xml:space="preserve"> </w:t>
            </w:r>
            <w:r w:rsidR="00076C64" w:rsidRPr="00C5331C">
              <w:t xml:space="preserve">názvem </w:t>
            </w:r>
            <w:r w:rsidR="00076C64" w:rsidRPr="00C5331C">
              <w:rPr>
                <w:b/>
              </w:rPr>
              <w:t>„</w:t>
            </w:r>
            <w:r w:rsidR="00413B28" w:rsidRPr="00C5331C">
              <w:rPr>
                <w:b/>
              </w:rPr>
              <w:t>Buddha zblízka</w:t>
            </w:r>
            <w:r w:rsidR="00076C64" w:rsidRPr="00C5331C">
              <w:rPr>
                <w:b/>
              </w:rPr>
              <w:t xml:space="preserve">“, </w:t>
            </w:r>
            <w:r w:rsidR="00076C64" w:rsidRPr="00C5331C">
              <w:rPr>
                <w:sz w:val="26"/>
              </w:rPr>
              <w:t>(</w:t>
            </w:r>
            <w:r w:rsidR="00076C64" w:rsidRPr="00C5331C">
              <w:t>dále jen jako „</w:t>
            </w:r>
            <w:r w:rsidR="00076C64" w:rsidRPr="00C5331C">
              <w:rPr>
                <w:b/>
              </w:rPr>
              <w:t>Výstava</w:t>
            </w:r>
            <w:r w:rsidR="00076C64" w:rsidRPr="00C5331C">
              <w:t>“)</w:t>
            </w:r>
            <w:r w:rsidR="00E9736F" w:rsidRPr="00C5331C">
              <w:t xml:space="preserve"> a výstavního katalogu (dále jen „</w:t>
            </w:r>
            <w:r w:rsidR="00E9736F" w:rsidRPr="00C5331C">
              <w:rPr>
                <w:b/>
              </w:rPr>
              <w:t>Publikace</w:t>
            </w:r>
            <w:r w:rsidR="00E9736F" w:rsidRPr="00C5331C">
              <w:t>“)</w:t>
            </w:r>
            <w:r w:rsidR="00FF528B" w:rsidRPr="00C5331C">
              <w:t>.</w:t>
            </w:r>
          </w:p>
        </w:tc>
        <w:tc>
          <w:tcPr>
            <w:tcW w:w="4536" w:type="dxa"/>
          </w:tcPr>
          <w:p w14:paraId="3588927D" w14:textId="77777777" w:rsidR="00076C64" w:rsidRPr="00D6519F" w:rsidRDefault="00076C64" w:rsidP="00FF7F04">
            <w:pPr>
              <w:spacing w:line="276" w:lineRule="auto"/>
              <w:ind w:left="572" w:hanging="567"/>
              <w:rPr>
                <w:lang w:val="en-US"/>
              </w:rPr>
            </w:pPr>
            <w:r w:rsidRPr="00C5331C">
              <w:rPr>
                <w:lang w:val="en-US"/>
              </w:rPr>
              <w:t>1.1.</w:t>
            </w:r>
            <w:r w:rsidRPr="00C5331C">
              <w:rPr>
                <w:lang w:val="en-US"/>
              </w:rPr>
              <w:tab/>
            </w:r>
            <w:r w:rsidR="00E6143F" w:rsidRPr="00C5331C">
              <w:rPr>
                <w:lang w:val="en-US"/>
              </w:rPr>
              <w:t xml:space="preserve">On </w:t>
            </w:r>
            <w:r w:rsidR="00E6143F" w:rsidRPr="007C2DCD">
              <w:rPr>
                <w:lang w:val="en-US"/>
              </w:rPr>
              <w:t>17 December 2020</w:t>
            </w:r>
            <w:r w:rsidR="00E6143F" w:rsidRPr="00C5331C">
              <w:rPr>
                <w:lang w:val="en-US"/>
              </w:rPr>
              <w:t xml:space="preserve">, the </w:t>
            </w:r>
            <w:r w:rsidR="00A75F27" w:rsidRPr="00C5331C">
              <w:rPr>
                <w:lang w:val="en-US"/>
              </w:rPr>
              <w:t>c</w:t>
            </w:r>
            <w:r w:rsidR="00E6143F" w:rsidRPr="00C5331C">
              <w:rPr>
                <w:lang w:val="en-US"/>
              </w:rPr>
              <w:t xml:space="preserve">ontracting </w:t>
            </w:r>
            <w:r w:rsidR="00A75F27" w:rsidRPr="00C5331C">
              <w:rPr>
                <w:lang w:val="en-US"/>
              </w:rPr>
              <w:t>p</w:t>
            </w:r>
            <w:r w:rsidR="00E6143F" w:rsidRPr="00C5331C">
              <w:rPr>
                <w:lang w:val="en-US"/>
              </w:rPr>
              <w:t>arties concluded a Cooperation Agreement, the</w:t>
            </w:r>
            <w:r w:rsidR="00EB6971" w:rsidRPr="00C5331C">
              <w:rPr>
                <w:lang w:val="en-US"/>
              </w:rPr>
              <w:t xml:space="preserve"> objective of </w:t>
            </w:r>
            <w:r w:rsidR="00E6143F" w:rsidRPr="00C5331C">
              <w:rPr>
                <w:lang w:val="en-US"/>
              </w:rPr>
              <w:t>which</w:t>
            </w:r>
            <w:r w:rsidR="00EB6971" w:rsidRPr="00C5331C">
              <w:rPr>
                <w:lang w:val="en-US"/>
              </w:rPr>
              <w:t xml:space="preserve"> is to define rights and duties of the parties in relation to the organization of </w:t>
            </w:r>
            <w:r w:rsidR="000231EE" w:rsidRPr="00C5331C">
              <w:rPr>
                <w:lang w:val="en-US"/>
              </w:rPr>
              <w:t>„</w:t>
            </w:r>
            <w:r w:rsidR="00FF704E" w:rsidRPr="00C5331C">
              <w:rPr>
                <w:b/>
                <w:lang w:val="en-US"/>
              </w:rPr>
              <w:t xml:space="preserve">The Buddha Up </w:t>
            </w:r>
            <w:r w:rsidR="00EC1E44" w:rsidRPr="00C5331C">
              <w:rPr>
                <w:b/>
                <w:lang w:val="en-US"/>
              </w:rPr>
              <w:t>Close</w:t>
            </w:r>
            <w:r w:rsidR="001C6BE9" w:rsidRPr="00C5331C">
              <w:rPr>
                <w:b/>
              </w:rPr>
              <w:t>“</w:t>
            </w:r>
            <w:r w:rsidR="00EC1E44" w:rsidRPr="00C5331C">
              <w:rPr>
                <w:lang w:val="en-US"/>
              </w:rPr>
              <w:t xml:space="preserve"> exhibition</w:t>
            </w:r>
            <w:r w:rsidR="00EB6971" w:rsidRPr="00C5331C">
              <w:rPr>
                <w:lang w:val="en-US"/>
              </w:rPr>
              <w:t xml:space="preserve"> (hereinafter the </w:t>
            </w:r>
            <w:r w:rsidR="00EB6971" w:rsidRPr="00C5331C">
              <w:rPr>
                <w:b/>
                <w:lang w:val="en-US"/>
              </w:rPr>
              <w:t>“Exhibition”</w:t>
            </w:r>
            <w:r w:rsidR="00EB6971" w:rsidRPr="00C5331C">
              <w:rPr>
                <w:lang w:val="en-US"/>
              </w:rPr>
              <w:t>)</w:t>
            </w:r>
            <w:r w:rsidR="00E9736F" w:rsidRPr="00C5331C">
              <w:rPr>
                <w:lang w:val="en-US"/>
              </w:rPr>
              <w:t xml:space="preserve"> and exhibition catalogue (hereinafter the “</w:t>
            </w:r>
            <w:r w:rsidR="00E9736F" w:rsidRPr="00C5331C">
              <w:rPr>
                <w:b/>
                <w:lang w:val="en-US"/>
              </w:rPr>
              <w:t>Publication</w:t>
            </w:r>
            <w:r w:rsidR="00E9736F" w:rsidRPr="00C5331C">
              <w:rPr>
                <w:lang w:val="en-US"/>
              </w:rPr>
              <w:t>”)</w:t>
            </w:r>
            <w:r w:rsidR="00EB6971" w:rsidRPr="00C5331C">
              <w:rPr>
                <w:lang w:val="en-US"/>
              </w:rPr>
              <w:t>.</w:t>
            </w:r>
          </w:p>
          <w:p w14:paraId="53689C7A" w14:textId="77777777" w:rsidR="00C35B41" w:rsidRPr="00D6519F" w:rsidRDefault="00C35B41" w:rsidP="00FF7F04">
            <w:pPr>
              <w:spacing w:line="276" w:lineRule="auto"/>
              <w:ind w:left="572" w:hanging="567"/>
              <w:rPr>
                <w:lang w:val="en-US"/>
              </w:rPr>
            </w:pPr>
          </w:p>
        </w:tc>
      </w:tr>
      <w:tr w:rsidR="00AF6194" w:rsidRPr="002D48EC" w14:paraId="6391F14B" w14:textId="77777777" w:rsidTr="00C96189">
        <w:tc>
          <w:tcPr>
            <w:tcW w:w="4673" w:type="dxa"/>
          </w:tcPr>
          <w:p w14:paraId="311E882C" w14:textId="6CC42823" w:rsidR="007127B2" w:rsidRPr="00C5331C" w:rsidRDefault="007B34DD" w:rsidP="0099323E">
            <w:pPr>
              <w:pStyle w:val="Odstavecseseznamem"/>
              <w:numPr>
                <w:ilvl w:val="1"/>
                <w:numId w:val="1"/>
              </w:numPr>
              <w:spacing w:line="276" w:lineRule="auto"/>
              <w:ind w:left="457" w:hanging="567"/>
            </w:pPr>
            <w:r w:rsidRPr="00C5331C">
              <w:t>V důsledku okolností, vyvolaných zejména opatřeními přijatými za účelem zamezení šíření epidemie nového koronaviru COVID-19, na něž neměly smluvní strany jakýkoliv vliv</w:t>
            </w:r>
            <w:r w:rsidR="00136D60" w:rsidRPr="00C5331C">
              <w:t>,</w:t>
            </w:r>
            <w:r w:rsidRPr="00C5331C">
              <w:t xml:space="preserve"> došlo k posunutí termínu </w:t>
            </w:r>
            <w:r w:rsidR="003E0F5E" w:rsidRPr="00C5331C">
              <w:t>konání V</w:t>
            </w:r>
            <w:r w:rsidR="00136D60" w:rsidRPr="00C5331C">
              <w:t xml:space="preserve">ýstavy </w:t>
            </w:r>
            <w:r w:rsidRPr="00C5331C">
              <w:t xml:space="preserve">a </w:t>
            </w:r>
            <w:r w:rsidR="00136D60" w:rsidRPr="00C5331C">
              <w:t xml:space="preserve">změně </w:t>
            </w:r>
            <w:r w:rsidR="003E0F5E" w:rsidRPr="00C5331C">
              <w:t>místa konání V</w:t>
            </w:r>
            <w:r w:rsidRPr="00C5331C">
              <w:t>ýstavy</w:t>
            </w:r>
            <w:r w:rsidR="00AF14E6" w:rsidRPr="00C5331C">
              <w:t>. Současně</w:t>
            </w:r>
            <w:r w:rsidR="0019467C" w:rsidRPr="00C5331C">
              <w:t>,</w:t>
            </w:r>
            <w:r w:rsidR="00AF14E6" w:rsidRPr="00C5331C">
              <w:t xml:space="preserve"> </w:t>
            </w:r>
            <w:r w:rsidR="0019467C" w:rsidRPr="00C5331C">
              <w:t xml:space="preserve">vzhledem k odložení </w:t>
            </w:r>
            <w:r w:rsidR="003E0F5E" w:rsidRPr="00C5331C">
              <w:t>termínu Vý</w:t>
            </w:r>
            <w:r w:rsidR="0019467C" w:rsidRPr="00C5331C">
              <w:t xml:space="preserve">stavy, </w:t>
            </w:r>
            <w:r w:rsidR="0019467C" w:rsidRPr="007C2DCD">
              <w:t>může vzniknout</w:t>
            </w:r>
            <w:r w:rsidR="00AF14E6" w:rsidRPr="00C5331C">
              <w:t xml:space="preserve"> potřeba </w:t>
            </w:r>
            <w:r w:rsidR="00D11DBF">
              <w:t xml:space="preserve">úhrady dodatečných nákladů </w:t>
            </w:r>
            <w:r w:rsidR="0099323E">
              <w:t xml:space="preserve">souvisejících </w:t>
            </w:r>
            <w:r w:rsidR="00CA6313">
              <w:t>se změnou termínu Výsta</w:t>
            </w:r>
            <w:r w:rsidR="0099323E">
              <w:t>vy (tj. vícenáklady M</w:t>
            </w:r>
            <w:r w:rsidR="00CA6313">
              <w:t>R</w:t>
            </w:r>
            <w:r w:rsidR="0099323E">
              <w:t>Z</w:t>
            </w:r>
            <w:r w:rsidR="00CA6313">
              <w:t xml:space="preserve"> spojené s vybalováním zapůjčených Děl a jejich opětovnou instalací </w:t>
            </w:r>
            <w:r w:rsidR="00CA6313">
              <w:lastRenderedPageBreak/>
              <w:t xml:space="preserve">v prostorách </w:t>
            </w:r>
            <w:r w:rsidR="0099323E">
              <w:t>M</w:t>
            </w:r>
            <w:r w:rsidR="00CA6313">
              <w:t>R</w:t>
            </w:r>
            <w:r w:rsidR="0099323E">
              <w:t>Z</w:t>
            </w:r>
            <w:r w:rsidR="00AB36AF">
              <w:t>)</w:t>
            </w:r>
            <w:r w:rsidR="00C85C0A">
              <w:t>.</w:t>
            </w:r>
            <w:r w:rsidR="00CA6313">
              <w:t xml:space="preserve"> (</w:t>
            </w:r>
            <w:r w:rsidRPr="00C5331C">
              <w:t xml:space="preserve">Za účelem změny příslušných ustanovení </w:t>
            </w:r>
            <w:r w:rsidR="00136D60" w:rsidRPr="00C5331C">
              <w:t>S</w:t>
            </w:r>
            <w:r w:rsidRPr="00C5331C">
              <w:t xml:space="preserve">mlouvy </w:t>
            </w:r>
            <w:r w:rsidR="00136D60" w:rsidRPr="00C5331C">
              <w:t xml:space="preserve">o spolupráci </w:t>
            </w:r>
            <w:r w:rsidRPr="00C5331C">
              <w:t>uzavírají smluvní strany tento Dodatek</w:t>
            </w:r>
            <w:r w:rsidR="00541A57" w:rsidRPr="00C5331C">
              <w:t> </w:t>
            </w:r>
            <w:r w:rsidRPr="00C5331C">
              <w:t>č.</w:t>
            </w:r>
            <w:r w:rsidR="00541A57" w:rsidRPr="00C5331C">
              <w:t> </w:t>
            </w:r>
            <w:r w:rsidRPr="00C5331C">
              <w:t>1</w:t>
            </w:r>
            <w:r w:rsidR="00136D60" w:rsidRPr="00C5331C">
              <w:t xml:space="preserve"> (dále jen „</w:t>
            </w:r>
            <w:r w:rsidR="00136D60" w:rsidRPr="00C5331C">
              <w:rPr>
                <w:b/>
                <w:bCs/>
              </w:rPr>
              <w:t>Dodatek“)</w:t>
            </w:r>
          </w:p>
        </w:tc>
        <w:tc>
          <w:tcPr>
            <w:tcW w:w="4536" w:type="dxa"/>
          </w:tcPr>
          <w:p w14:paraId="032BD074" w14:textId="6769F622" w:rsidR="0022188A" w:rsidRDefault="00857116" w:rsidP="00DB016A">
            <w:pPr>
              <w:spacing w:line="276" w:lineRule="auto"/>
              <w:ind w:left="572" w:hanging="567"/>
              <w:rPr>
                <w:lang w:val="en-US"/>
              </w:rPr>
            </w:pPr>
            <w:r>
              <w:rPr>
                <w:lang w:val="en-US"/>
              </w:rPr>
              <w:lastRenderedPageBreak/>
              <w:t>1.2.</w:t>
            </w:r>
            <w:r>
              <w:rPr>
                <w:lang w:val="en-US"/>
              </w:rPr>
              <w:tab/>
            </w:r>
            <w:r w:rsidR="002D48EC" w:rsidRPr="00C5331C">
              <w:rPr>
                <w:lang w:val="en-US"/>
              </w:rPr>
              <w:t>As</w:t>
            </w:r>
            <w:r w:rsidR="002D48EC" w:rsidRPr="00C5331C">
              <w:rPr>
                <w:lang w:val="en-GB"/>
              </w:rPr>
              <w:t xml:space="preserve"> a result of circumstances caused mainly by measures taken to prevent the spread of the new coronavirus epidemic COVID-19, over which the parties had</w:t>
            </w:r>
            <w:r w:rsidR="000D2F6D" w:rsidRPr="00C5331C">
              <w:rPr>
                <w:lang w:val="en-GB"/>
              </w:rPr>
              <w:t xml:space="preserve"> no influence, the date of the E</w:t>
            </w:r>
            <w:r w:rsidR="002D48EC" w:rsidRPr="00C5331C">
              <w:rPr>
                <w:lang w:val="en-GB"/>
              </w:rPr>
              <w:t xml:space="preserve">xhibition was postponed and the </w:t>
            </w:r>
            <w:r w:rsidR="000D2F6D" w:rsidRPr="00C5331C">
              <w:rPr>
                <w:lang w:val="en-GB"/>
              </w:rPr>
              <w:t xml:space="preserve">venue of the Exhibition </w:t>
            </w:r>
            <w:r w:rsidR="002D48EC" w:rsidRPr="00C5331C">
              <w:rPr>
                <w:lang w:val="en-GB"/>
              </w:rPr>
              <w:t>changed</w:t>
            </w:r>
            <w:r w:rsidR="00AF14E6" w:rsidRPr="00C5331C">
              <w:rPr>
                <w:lang w:val="en-GB"/>
              </w:rPr>
              <w:t>. At the same time,</w:t>
            </w:r>
            <w:r w:rsidR="0019467C" w:rsidRPr="00C5331C">
              <w:rPr>
                <w:snapToGrid w:val="0"/>
                <w:szCs w:val="24"/>
                <w:lang w:val="en-US"/>
              </w:rPr>
              <w:t xml:space="preserve"> due to the postponement of the Exhibition,</w:t>
            </w:r>
            <w:r w:rsidR="00AF14E6" w:rsidRPr="00C5331C">
              <w:rPr>
                <w:lang w:val="en-GB"/>
              </w:rPr>
              <w:t xml:space="preserve"> </w:t>
            </w:r>
            <w:r w:rsidR="00643EAB" w:rsidRPr="00C5331C">
              <w:rPr>
                <w:lang w:val="en-GB"/>
              </w:rPr>
              <w:t xml:space="preserve">there </w:t>
            </w:r>
            <w:r w:rsidR="0019467C" w:rsidRPr="007C2DCD">
              <w:rPr>
                <w:lang w:val="en-GB"/>
              </w:rPr>
              <w:t xml:space="preserve">may </w:t>
            </w:r>
            <w:r w:rsidR="00643EAB" w:rsidRPr="007C2DCD">
              <w:rPr>
                <w:lang w:val="en-GB"/>
              </w:rPr>
              <w:t>be</w:t>
            </w:r>
            <w:r w:rsidR="00AF14E6" w:rsidRPr="00C5331C">
              <w:rPr>
                <w:lang w:val="en-GB"/>
              </w:rPr>
              <w:t xml:space="preserve"> a need to</w:t>
            </w:r>
            <w:r w:rsidR="00AB36AF">
              <w:rPr>
                <w:lang w:val="en-GB"/>
              </w:rPr>
              <w:t xml:space="preserve"> reimburse additional costs incurred in connection with the change of the date of the Exhibition (ie </w:t>
            </w:r>
            <w:r w:rsidR="0099323E">
              <w:rPr>
                <w:lang w:val="en-GB"/>
              </w:rPr>
              <w:t>additional costs of M</w:t>
            </w:r>
            <w:r w:rsidR="00AB36AF">
              <w:rPr>
                <w:lang w:val="en-GB"/>
              </w:rPr>
              <w:t>R</w:t>
            </w:r>
            <w:r w:rsidR="0099323E">
              <w:rPr>
                <w:lang w:val="en-GB"/>
              </w:rPr>
              <w:t>Z</w:t>
            </w:r>
            <w:r w:rsidR="00AB36AF">
              <w:rPr>
                <w:lang w:val="en-GB"/>
              </w:rPr>
              <w:t xml:space="preserve"> associated with unpacking of the </w:t>
            </w:r>
            <w:r w:rsidR="00AB36AF">
              <w:rPr>
                <w:lang w:val="en-GB"/>
              </w:rPr>
              <w:lastRenderedPageBreak/>
              <w:t>borrowed Works and their re</w:t>
            </w:r>
            <w:r w:rsidR="00334597">
              <w:rPr>
                <w:lang w:val="en-GB"/>
              </w:rPr>
              <w:t>i</w:t>
            </w:r>
            <w:r w:rsidR="00AB36AF">
              <w:rPr>
                <w:lang w:val="en-GB"/>
              </w:rPr>
              <w:t>n</w:t>
            </w:r>
            <w:r w:rsidR="0099323E">
              <w:rPr>
                <w:lang w:val="en-GB"/>
              </w:rPr>
              <w:t>stalla</w:t>
            </w:r>
            <w:r w:rsidR="00334597">
              <w:rPr>
                <w:lang w:val="en-GB"/>
              </w:rPr>
              <w:t>-</w:t>
            </w:r>
            <w:r w:rsidR="0099323E">
              <w:rPr>
                <w:lang w:val="en-GB"/>
              </w:rPr>
              <w:t>tion in the premises of M</w:t>
            </w:r>
            <w:r w:rsidR="00AB36AF">
              <w:rPr>
                <w:lang w:val="en-GB"/>
              </w:rPr>
              <w:t>R</w:t>
            </w:r>
            <w:r w:rsidR="0099323E">
              <w:rPr>
                <w:lang w:val="en-GB"/>
              </w:rPr>
              <w:t>Z</w:t>
            </w:r>
            <w:r w:rsidR="00AB36AF">
              <w:rPr>
                <w:lang w:val="en-GB"/>
              </w:rPr>
              <w:t xml:space="preserve">).  </w:t>
            </w:r>
            <w:r w:rsidR="00AF14E6" w:rsidRPr="00C5331C">
              <w:rPr>
                <w:lang w:val="en-GB"/>
              </w:rPr>
              <w:t xml:space="preserve">  </w:t>
            </w:r>
            <w:r w:rsidR="002D48EC" w:rsidRPr="00C5331C">
              <w:rPr>
                <w:lang w:val="en-GB"/>
              </w:rPr>
              <w:t>In order to amend the relevant provisions of the Cooperation Agreement, the</w:t>
            </w:r>
            <w:r w:rsidR="002D48EC" w:rsidRPr="00C5331C">
              <w:rPr>
                <w:lang w:val="en-US"/>
              </w:rPr>
              <w:t xml:space="preserve"> </w:t>
            </w:r>
            <w:r w:rsidR="00A75F27" w:rsidRPr="00C5331C">
              <w:rPr>
                <w:lang w:val="en-US"/>
              </w:rPr>
              <w:t>p</w:t>
            </w:r>
            <w:r w:rsidR="002D48EC" w:rsidRPr="00C5331C">
              <w:rPr>
                <w:lang w:val="en-US"/>
              </w:rPr>
              <w:t>arties conclude this Appendix</w:t>
            </w:r>
            <w:r w:rsidR="00541A57" w:rsidRPr="00C5331C">
              <w:rPr>
                <w:lang w:val="en-US"/>
              </w:rPr>
              <w:t> No. 1</w:t>
            </w:r>
            <w:r w:rsidR="002D48EC" w:rsidRPr="00C5331C">
              <w:rPr>
                <w:lang w:val="en-US"/>
              </w:rPr>
              <w:t xml:space="preserve"> (hereinafter referred to as the </w:t>
            </w:r>
            <w:r w:rsidR="00D37B8E" w:rsidRPr="00C5331C">
              <w:rPr>
                <w:lang w:val="en-US"/>
              </w:rPr>
              <w:t>“</w:t>
            </w:r>
            <w:r w:rsidR="002D48EC" w:rsidRPr="00C5331C">
              <w:rPr>
                <w:b/>
                <w:bCs/>
                <w:lang w:val="en-US"/>
              </w:rPr>
              <w:t>Appendix</w:t>
            </w:r>
            <w:r w:rsidR="002D48EC" w:rsidRPr="00C5331C">
              <w:rPr>
                <w:lang w:val="en-US"/>
              </w:rPr>
              <w:t>”).</w:t>
            </w:r>
          </w:p>
          <w:p w14:paraId="7B5AC058" w14:textId="45FC829E" w:rsidR="00AB36AF" w:rsidRPr="002D48EC" w:rsidRDefault="00AB36AF" w:rsidP="00DB016A">
            <w:pPr>
              <w:spacing w:line="276" w:lineRule="auto"/>
              <w:ind w:left="572" w:hanging="567"/>
              <w:rPr>
                <w:lang w:val="en-US"/>
              </w:rPr>
            </w:pPr>
          </w:p>
        </w:tc>
      </w:tr>
      <w:tr w:rsidR="00076C64" w:rsidRPr="00D6519F" w14:paraId="5DF2D36E" w14:textId="77777777" w:rsidTr="00C96189">
        <w:tc>
          <w:tcPr>
            <w:tcW w:w="4673" w:type="dxa"/>
          </w:tcPr>
          <w:p w14:paraId="70E2B7DD" w14:textId="77777777" w:rsidR="00076C64" w:rsidRPr="00D6519F" w:rsidRDefault="007B34DD" w:rsidP="00FF7F04">
            <w:pPr>
              <w:pStyle w:val="Odstavecseseznamem"/>
              <w:numPr>
                <w:ilvl w:val="0"/>
                <w:numId w:val="1"/>
              </w:numPr>
              <w:spacing w:line="276" w:lineRule="auto"/>
              <w:rPr>
                <w:b/>
              </w:rPr>
            </w:pPr>
            <w:r>
              <w:rPr>
                <w:b/>
              </w:rPr>
              <w:lastRenderedPageBreak/>
              <w:t>Předmět Dodatku</w:t>
            </w:r>
          </w:p>
        </w:tc>
        <w:tc>
          <w:tcPr>
            <w:tcW w:w="4536" w:type="dxa"/>
          </w:tcPr>
          <w:p w14:paraId="44B48F86" w14:textId="77777777" w:rsidR="00076C64" w:rsidRPr="0006463F" w:rsidRDefault="00076C64" w:rsidP="00FF7F04">
            <w:pPr>
              <w:spacing w:line="276" w:lineRule="auto"/>
              <w:rPr>
                <w:b/>
                <w:lang w:val="en-US"/>
              </w:rPr>
            </w:pPr>
            <w:r w:rsidRPr="0006463F">
              <w:rPr>
                <w:b/>
                <w:lang w:val="en-US"/>
              </w:rPr>
              <w:t xml:space="preserve">2. </w:t>
            </w:r>
            <w:r w:rsidR="00C96189" w:rsidRPr="00D6519F">
              <w:rPr>
                <w:b/>
                <w:lang w:val="en-AU"/>
              </w:rPr>
              <w:t xml:space="preserve">Subject Matter of the </w:t>
            </w:r>
            <w:r w:rsidR="002D58B6" w:rsidRPr="002D58B6">
              <w:rPr>
                <w:b/>
                <w:lang w:val="en-AU"/>
              </w:rPr>
              <w:t>Appendix</w:t>
            </w:r>
          </w:p>
        </w:tc>
      </w:tr>
      <w:tr w:rsidR="00076C64" w:rsidRPr="00D6519F" w14:paraId="7443ACD1" w14:textId="77777777" w:rsidTr="00C96189">
        <w:tc>
          <w:tcPr>
            <w:tcW w:w="4673" w:type="dxa"/>
          </w:tcPr>
          <w:p w14:paraId="47A6154D" w14:textId="77777777" w:rsidR="00136D60" w:rsidRDefault="002800B1" w:rsidP="00FF7F04">
            <w:pPr>
              <w:pStyle w:val="Odstavecseseznamem"/>
              <w:numPr>
                <w:ilvl w:val="1"/>
                <w:numId w:val="1"/>
              </w:numPr>
              <w:spacing w:line="276" w:lineRule="auto"/>
              <w:ind w:left="454" w:hanging="567"/>
            </w:pPr>
            <w:r>
              <w:t>Vzhledem ke změně místa a termínu konání Výstavy se smluvní strany</w:t>
            </w:r>
            <w:r w:rsidR="00A93248">
              <w:t xml:space="preserve"> dohodly na nahrazení znění čl. </w:t>
            </w:r>
            <w:r>
              <w:t>2.1</w:t>
            </w:r>
            <w:r w:rsidR="00A93248">
              <w:t>.</w:t>
            </w:r>
            <w:r w:rsidR="00DD783B">
              <w:t xml:space="preserve"> a</w:t>
            </w:r>
            <w:r>
              <w:t xml:space="preserve"> č</w:t>
            </w:r>
            <w:r w:rsidR="00DD783B">
              <w:t>l</w:t>
            </w:r>
            <w:r>
              <w:t>.</w:t>
            </w:r>
            <w:r w:rsidR="00A93248">
              <w:t> </w:t>
            </w:r>
            <w:r>
              <w:t>2.3</w:t>
            </w:r>
            <w:r w:rsidR="00A93248">
              <w:t>.</w:t>
            </w:r>
            <w:r>
              <w:t xml:space="preserve"> Smlouvy o spolupráci tímto novým zněním</w:t>
            </w:r>
            <w:r w:rsidR="00DD783B">
              <w:t>.</w:t>
            </w:r>
          </w:p>
          <w:p w14:paraId="498C0BDB" w14:textId="77777777" w:rsidR="00136D60" w:rsidRDefault="00136D60" w:rsidP="002800B1">
            <w:pPr>
              <w:pStyle w:val="Odstavecseseznamem"/>
              <w:spacing w:line="276" w:lineRule="auto"/>
              <w:ind w:left="454"/>
            </w:pPr>
          </w:p>
          <w:p w14:paraId="1CAFA515" w14:textId="77777777" w:rsidR="000D2F6D" w:rsidRDefault="000D2F6D" w:rsidP="002800B1">
            <w:pPr>
              <w:spacing w:line="276" w:lineRule="auto"/>
              <w:ind w:left="457" w:hanging="141"/>
              <w:rPr>
                <w:i/>
                <w:iCs/>
              </w:rPr>
            </w:pPr>
          </w:p>
          <w:p w14:paraId="195CC5E9" w14:textId="77777777" w:rsidR="00076C64" w:rsidRDefault="002800B1" w:rsidP="002800B1">
            <w:pPr>
              <w:spacing w:line="276" w:lineRule="auto"/>
              <w:ind w:left="457" w:hanging="141"/>
            </w:pPr>
            <w:r w:rsidRPr="002800B1">
              <w:rPr>
                <w:i/>
                <w:iCs/>
              </w:rPr>
              <w:t>„2.1.</w:t>
            </w:r>
            <w:r>
              <w:rPr>
                <w:i/>
                <w:iCs/>
              </w:rPr>
              <w:t xml:space="preserve"> </w:t>
            </w:r>
            <w:r w:rsidR="00076C64" w:rsidRPr="002800B1">
              <w:rPr>
                <w:i/>
                <w:iCs/>
              </w:rPr>
              <w:t>Výstava bude uspořádána ve spolupráci smluvních stran a představena veřejnosti v</w:t>
            </w:r>
            <w:r w:rsidR="00347D3D">
              <w:rPr>
                <w:i/>
                <w:iCs/>
              </w:rPr>
              <w:t> </w:t>
            </w:r>
            <w:r w:rsidR="00076C64" w:rsidRPr="002800B1">
              <w:rPr>
                <w:i/>
                <w:iCs/>
              </w:rPr>
              <w:t>prostorách</w:t>
            </w:r>
            <w:r w:rsidR="00347D3D">
              <w:rPr>
                <w:i/>
                <w:iCs/>
              </w:rPr>
              <w:t xml:space="preserve"> </w:t>
            </w:r>
            <w:r w:rsidR="00347D3D" w:rsidRPr="00537BA7">
              <w:rPr>
                <w:b/>
                <w:i/>
                <w:iCs/>
              </w:rPr>
              <w:t>Valdštejnské jízdárny</w:t>
            </w:r>
            <w:r w:rsidR="00076C64" w:rsidRPr="00537BA7">
              <w:rPr>
                <w:b/>
                <w:i/>
                <w:iCs/>
              </w:rPr>
              <w:t xml:space="preserve">, </w:t>
            </w:r>
            <w:r w:rsidR="004E53C7" w:rsidRPr="00537BA7">
              <w:rPr>
                <w:b/>
                <w:i/>
                <w:iCs/>
              </w:rPr>
              <w:t>Valdštejnská 3, 118 00 Praha 1</w:t>
            </w:r>
            <w:r w:rsidR="00076C64" w:rsidRPr="00D6519F">
              <w:t>.</w:t>
            </w:r>
            <w:r>
              <w:t>“</w:t>
            </w:r>
          </w:p>
          <w:p w14:paraId="172146BA" w14:textId="77777777" w:rsidR="00A857FB" w:rsidRDefault="00A857FB" w:rsidP="002800B1">
            <w:pPr>
              <w:spacing w:line="276" w:lineRule="auto"/>
              <w:ind w:left="457" w:hanging="141"/>
            </w:pPr>
          </w:p>
          <w:p w14:paraId="72A30131" w14:textId="77777777" w:rsidR="00C96189" w:rsidRPr="00D6519F" w:rsidRDefault="00C96189" w:rsidP="00510162">
            <w:pPr>
              <w:spacing w:line="276" w:lineRule="auto"/>
              <w:ind w:left="457" w:hanging="141"/>
            </w:pPr>
            <w:r>
              <w:rPr>
                <w:i/>
                <w:iCs/>
              </w:rPr>
              <w:t xml:space="preserve">2.2. </w:t>
            </w:r>
            <w:r w:rsidRPr="002800B1">
              <w:rPr>
                <w:i/>
                <w:iCs/>
              </w:rPr>
              <w:t xml:space="preserve">Předpokládaný termín konání Výstavy je </w:t>
            </w:r>
            <w:r w:rsidRPr="00A93486">
              <w:rPr>
                <w:b/>
                <w:bCs/>
                <w:i/>
                <w:iCs/>
              </w:rPr>
              <w:t>03.</w:t>
            </w:r>
            <w:r w:rsidRPr="002800B1">
              <w:rPr>
                <w:b/>
                <w:i/>
                <w:iCs/>
              </w:rPr>
              <w:t> </w:t>
            </w:r>
            <w:r>
              <w:rPr>
                <w:b/>
                <w:i/>
                <w:iCs/>
              </w:rPr>
              <w:t>12</w:t>
            </w:r>
            <w:r w:rsidRPr="002800B1">
              <w:rPr>
                <w:b/>
                <w:i/>
                <w:iCs/>
              </w:rPr>
              <w:t xml:space="preserve">. 2021 až </w:t>
            </w:r>
            <w:r>
              <w:rPr>
                <w:b/>
                <w:i/>
                <w:iCs/>
              </w:rPr>
              <w:t>24</w:t>
            </w:r>
            <w:r w:rsidRPr="002800B1">
              <w:rPr>
                <w:b/>
                <w:i/>
                <w:iCs/>
              </w:rPr>
              <w:t>. 0</w:t>
            </w:r>
            <w:r>
              <w:rPr>
                <w:b/>
                <w:i/>
                <w:iCs/>
              </w:rPr>
              <w:t>4</w:t>
            </w:r>
            <w:r w:rsidRPr="002800B1">
              <w:rPr>
                <w:b/>
                <w:i/>
                <w:iCs/>
              </w:rPr>
              <w:t>. 2022 (zahájení</w:t>
            </w:r>
            <w:r w:rsidR="00510162">
              <w:rPr>
                <w:b/>
                <w:i/>
                <w:iCs/>
              </w:rPr>
              <w:t xml:space="preserve"> </w:t>
            </w:r>
            <w:r w:rsidR="00510162" w:rsidRPr="007C2DCD">
              <w:rPr>
                <w:b/>
                <w:i/>
              </w:rPr>
              <w:t>02. 12.</w:t>
            </w:r>
            <w:r w:rsidRPr="002800B1">
              <w:rPr>
                <w:b/>
                <w:i/>
                <w:iCs/>
              </w:rPr>
              <w:t xml:space="preserve"> 2021)</w:t>
            </w:r>
            <w:r w:rsidRPr="002800B1">
              <w:rPr>
                <w:i/>
                <w:iCs/>
              </w:rPr>
              <w:t>.“</w:t>
            </w:r>
          </w:p>
        </w:tc>
        <w:tc>
          <w:tcPr>
            <w:tcW w:w="4536" w:type="dxa"/>
          </w:tcPr>
          <w:p w14:paraId="7271BAC5" w14:textId="77777777" w:rsidR="00C96189" w:rsidRDefault="00DD783B" w:rsidP="000D2F6D">
            <w:pPr>
              <w:spacing w:line="276" w:lineRule="auto"/>
              <w:ind w:left="603" w:hanging="709"/>
              <w:rPr>
                <w:lang w:val="en-US"/>
              </w:rPr>
            </w:pPr>
            <w:r>
              <w:rPr>
                <w:lang w:val="en-US"/>
              </w:rPr>
              <w:t>2.</w:t>
            </w:r>
            <w:r w:rsidR="00F9449A">
              <w:rPr>
                <w:lang w:val="en-US"/>
              </w:rPr>
              <w:t>1</w:t>
            </w:r>
            <w:r w:rsidR="000D2F6D">
              <w:rPr>
                <w:lang w:val="en-US"/>
              </w:rPr>
              <w:t>.</w:t>
            </w:r>
            <w:r w:rsidR="00857116">
              <w:rPr>
                <w:lang w:val="en-US"/>
              </w:rPr>
              <w:tab/>
            </w:r>
            <w:r w:rsidRPr="00DD783B">
              <w:rPr>
                <w:lang w:val="en-US"/>
              </w:rPr>
              <w:t xml:space="preserve">Due to the change of the </w:t>
            </w:r>
            <w:r w:rsidR="000D2F6D">
              <w:rPr>
                <w:lang w:val="en-US"/>
              </w:rPr>
              <w:t>premises</w:t>
            </w:r>
            <w:r w:rsidRPr="00DD783B">
              <w:rPr>
                <w:lang w:val="en-US"/>
              </w:rPr>
              <w:t xml:space="preserve"> and date of the Exhibition, the contracting parties agreed to replace the Article 2.1</w:t>
            </w:r>
            <w:r w:rsidR="00A93248">
              <w:rPr>
                <w:lang w:val="en-US"/>
              </w:rPr>
              <w:t>.</w:t>
            </w:r>
            <w:r w:rsidRPr="00DD783B">
              <w:rPr>
                <w:lang w:val="en-US"/>
              </w:rPr>
              <w:t xml:space="preserve"> and Article 2.3</w:t>
            </w:r>
            <w:r w:rsidR="00A93248">
              <w:rPr>
                <w:lang w:val="en-US"/>
              </w:rPr>
              <w:t>.</w:t>
            </w:r>
            <w:r w:rsidRPr="00DD783B">
              <w:rPr>
                <w:lang w:val="en-US"/>
              </w:rPr>
              <w:t xml:space="preserve"> of the  Cooperation Agreement with this new wording.</w:t>
            </w:r>
          </w:p>
          <w:p w14:paraId="10170F15" w14:textId="77777777" w:rsidR="00C96189" w:rsidRDefault="00C96189" w:rsidP="00FF2161">
            <w:pPr>
              <w:spacing w:line="276" w:lineRule="auto"/>
              <w:ind w:left="572" w:hanging="567"/>
              <w:rPr>
                <w:lang w:val="en-US"/>
              </w:rPr>
            </w:pPr>
          </w:p>
          <w:p w14:paraId="5FAA4150" w14:textId="77777777" w:rsidR="00076C64" w:rsidRPr="00C96189" w:rsidRDefault="00C96189" w:rsidP="00DD783B">
            <w:pPr>
              <w:spacing w:line="276" w:lineRule="auto"/>
              <w:ind w:left="597"/>
              <w:rPr>
                <w:i/>
                <w:iCs/>
              </w:rPr>
            </w:pPr>
            <w:r>
              <w:rPr>
                <w:i/>
                <w:iCs/>
              </w:rPr>
              <w:t xml:space="preserve">„2.1. </w:t>
            </w:r>
            <w:r w:rsidR="00EB6971" w:rsidRPr="00C96189">
              <w:rPr>
                <w:i/>
                <w:iCs/>
              </w:rPr>
              <w:t xml:space="preserve">The Exhibition shall be organized in collaboration of the parties and presented to the public on the premises of the </w:t>
            </w:r>
            <w:r w:rsidR="004E53C7" w:rsidRPr="00537BA7">
              <w:rPr>
                <w:b/>
                <w:i/>
                <w:iCs/>
              </w:rPr>
              <w:t>Valdštejnská jízdárn</w:t>
            </w:r>
            <w:r w:rsidR="00EE3C8B" w:rsidRPr="00537BA7">
              <w:rPr>
                <w:b/>
                <w:i/>
                <w:iCs/>
              </w:rPr>
              <w:t>a</w:t>
            </w:r>
            <w:r w:rsidR="004E53C7" w:rsidRPr="00537BA7">
              <w:rPr>
                <w:b/>
                <w:i/>
                <w:iCs/>
              </w:rPr>
              <w:t>, Valdštejnská 3</w:t>
            </w:r>
            <w:r w:rsidR="00EB6971" w:rsidRPr="00537BA7">
              <w:rPr>
                <w:b/>
                <w:i/>
                <w:iCs/>
              </w:rPr>
              <w:t>, 11</w:t>
            </w:r>
            <w:r w:rsidR="004E53C7" w:rsidRPr="00537BA7">
              <w:rPr>
                <w:b/>
                <w:i/>
                <w:iCs/>
              </w:rPr>
              <w:t>8</w:t>
            </w:r>
            <w:r w:rsidR="00EB6971" w:rsidRPr="00537BA7">
              <w:rPr>
                <w:b/>
                <w:i/>
                <w:iCs/>
              </w:rPr>
              <w:t xml:space="preserve"> </w:t>
            </w:r>
            <w:r w:rsidR="004E53C7" w:rsidRPr="00537BA7">
              <w:rPr>
                <w:b/>
                <w:i/>
                <w:iCs/>
              </w:rPr>
              <w:t>00</w:t>
            </w:r>
            <w:r w:rsidR="00EB6971" w:rsidRPr="00537BA7">
              <w:rPr>
                <w:b/>
                <w:i/>
                <w:iCs/>
              </w:rPr>
              <w:t xml:space="preserve"> Prague 1</w:t>
            </w:r>
            <w:r w:rsidR="00EB6971" w:rsidRPr="00C96189">
              <w:rPr>
                <w:i/>
                <w:iCs/>
              </w:rPr>
              <w:t>.</w:t>
            </w:r>
          </w:p>
          <w:p w14:paraId="21988C1B" w14:textId="77777777" w:rsidR="00C96189" w:rsidRPr="00D6519F" w:rsidRDefault="00C96189" w:rsidP="00510162">
            <w:pPr>
              <w:spacing w:line="276" w:lineRule="auto"/>
              <w:ind w:left="597"/>
              <w:rPr>
                <w:lang w:val="en-US"/>
              </w:rPr>
            </w:pPr>
            <w:r>
              <w:rPr>
                <w:i/>
                <w:iCs/>
              </w:rPr>
              <w:t xml:space="preserve">2.2. </w:t>
            </w:r>
            <w:r w:rsidRPr="00C96189">
              <w:rPr>
                <w:i/>
                <w:iCs/>
              </w:rPr>
              <w:t xml:space="preserve">The assumed duration of the Exhibition shall be from </w:t>
            </w:r>
            <w:r w:rsidR="00EE3C8B" w:rsidRPr="00537BA7">
              <w:rPr>
                <w:b/>
                <w:i/>
                <w:iCs/>
              </w:rPr>
              <w:t>03</w:t>
            </w:r>
            <w:r w:rsidRPr="00537BA7">
              <w:rPr>
                <w:b/>
                <w:i/>
                <w:iCs/>
              </w:rPr>
              <w:t xml:space="preserve"> </w:t>
            </w:r>
            <w:r w:rsidR="00EE3C8B" w:rsidRPr="00537BA7">
              <w:rPr>
                <w:b/>
                <w:i/>
                <w:iCs/>
              </w:rPr>
              <w:t>Decembe</w:t>
            </w:r>
            <w:r w:rsidRPr="00537BA7">
              <w:rPr>
                <w:b/>
                <w:i/>
                <w:iCs/>
              </w:rPr>
              <w:t xml:space="preserve">r 2021 to </w:t>
            </w:r>
            <w:r w:rsidR="00EE3C8B" w:rsidRPr="00537BA7">
              <w:rPr>
                <w:b/>
                <w:i/>
                <w:iCs/>
              </w:rPr>
              <w:t>24</w:t>
            </w:r>
            <w:r w:rsidRPr="00537BA7">
              <w:rPr>
                <w:b/>
                <w:i/>
                <w:iCs/>
              </w:rPr>
              <w:t xml:space="preserve"> </w:t>
            </w:r>
            <w:r w:rsidR="00EE3C8B" w:rsidRPr="00537BA7">
              <w:rPr>
                <w:b/>
                <w:i/>
                <w:iCs/>
              </w:rPr>
              <w:t>April</w:t>
            </w:r>
            <w:r w:rsidRPr="00537BA7">
              <w:rPr>
                <w:b/>
                <w:i/>
                <w:iCs/>
              </w:rPr>
              <w:t xml:space="preserve"> 2022 (Opening</w:t>
            </w:r>
            <w:r w:rsidR="00947287" w:rsidRPr="00537BA7">
              <w:rPr>
                <w:b/>
                <w:i/>
                <w:iCs/>
              </w:rPr>
              <w:t xml:space="preserve"> </w:t>
            </w:r>
            <w:r w:rsidR="00510162" w:rsidRPr="004028C3">
              <w:rPr>
                <w:b/>
                <w:i/>
              </w:rPr>
              <w:t>02. 12.</w:t>
            </w:r>
            <w:r w:rsidR="00510162" w:rsidRPr="002800B1">
              <w:rPr>
                <w:b/>
                <w:i/>
                <w:iCs/>
              </w:rPr>
              <w:t xml:space="preserve"> </w:t>
            </w:r>
            <w:r w:rsidRPr="00537BA7">
              <w:rPr>
                <w:b/>
                <w:i/>
                <w:iCs/>
              </w:rPr>
              <w:t>2021).</w:t>
            </w:r>
            <w:r>
              <w:rPr>
                <w:i/>
                <w:iCs/>
              </w:rPr>
              <w:t>“</w:t>
            </w:r>
          </w:p>
        </w:tc>
      </w:tr>
      <w:tr w:rsidR="00076C64" w:rsidRPr="00D6519F" w14:paraId="68137BB1" w14:textId="77777777" w:rsidTr="00C96189">
        <w:tc>
          <w:tcPr>
            <w:tcW w:w="4673" w:type="dxa"/>
          </w:tcPr>
          <w:p w14:paraId="6349B2ED" w14:textId="77777777" w:rsidR="00F9449A" w:rsidRDefault="00F9449A" w:rsidP="00F9449A">
            <w:pPr>
              <w:pStyle w:val="Odstavecseseznamem"/>
              <w:numPr>
                <w:ilvl w:val="1"/>
                <w:numId w:val="1"/>
              </w:numPr>
              <w:spacing w:line="276" w:lineRule="auto"/>
              <w:ind w:left="454" w:hanging="567"/>
            </w:pPr>
            <w:r>
              <w:t>Čl</w:t>
            </w:r>
            <w:r w:rsidR="001C2DC3">
              <w:t>.</w:t>
            </w:r>
            <w:r>
              <w:t xml:space="preserve"> 3.1.3</w:t>
            </w:r>
            <w:r w:rsidR="00A93248">
              <w:t>.</w:t>
            </w:r>
            <w:r>
              <w:t xml:space="preserve"> Smlouvy o spolupráci týkající se úhrady nákladů na kurátora MZR se ruší bez náhrady</w:t>
            </w:r>
            <w:r w:rsidRPr="007C2DCD">
              <w:t>.</w:t>
            </w:r>
          </w:p>
          <w:p w14:paraId="1D62289C" w14:textId="77777777" w:rsidR="00076C64" w:rsidRPr="002800B1" w:rsidRDefault="00076C64" w:rsidP="002800B1">
            <w:pPr>
              <w:pStyle w:val="Odstavecseseznamem"/>
              <w:spacing w:line="276" w:lineRule="auto"/>
              <w:ind w:left="454"/>
              <w:rPr>
                <w:i/>
                <w:iCs/>
              </w:rPr>
            </w:pPr>
          </w:p>
        </w:tc>
        <w:tc>
          <w:tcPr>
            <w:tcW w:w="4536" w:type="dxa"/>
          </w:tcPr>
          <w:p w14:paraId="59BC9B79" w14:textId="77777777" w:rsidR="00F9449A" w:rsidRPr="00DD783B" w:rsidRDefault="00F9449A" w:rsidP="00F9449A">
            <w:pPr>
              <w:spacing w:line="276" w:lineRule="auto"/>
              <w:ind w:left="572" w:hanging="567"/>
              <w:rPr>
                <w:lang w:val="en-US"/>
              </w:rPr>
            </w:pPr>
            <w:r w:rsidRPr="002C64BF">
              <w:rPr>
                <w:lang w:val="en-US"/>
              </w:rPr>
              <w:t>2.</w:t>
            </w:r>
            <w:r>
              <w:rPr>
                <w:lang w:val="en-US"/>
              </w:rPr>
              <w:t>2</w:t>
            </w:r>
            <w:r w:rsidRPr="002C64BF">
              <w:rPr>
                <w:lang w:val="en-US"/>
              </w:rPr>
              <w:t>.</w:t>
            </w:r>
            <w:r w:rsidRPr="002C64BF">
              <w:rPr>
                <w:lang w:val="en-US"/>
              </w:rPr>
              <w:tab/>
            </w:r>
            <w:r w:rsidRPr="00DD783B">
              <w:rPr>
                <w:lang w:val="en-US"/>
              </w:rPr>
              <w:t>Article 3.1.3</w:t>
            </w:r>
            <w:r w:rsidR="00A93248">
              <w:rPr>
                <w:lang w:val="en-US"/>
              </w:rPr>
              <w:t>.</w:t>
            </w:r>
            <w:r w:rsidRPr="00DD783B">
              <w:rPr>
                <w:lang w:val="en-US"/>
              </w:rPr>
              <w:t xml:space="preserve"> of the Cooperation Agreement concerning the payment of costs for the </w:t>
            </w:r>
            <w:r w:rsidR="00857116">
              <w:rPr>
                <w:lang w:val="en-US"/>
              </w:rPr>
              <w:t>MRZ</w:t>
            </w:r>
            <w:r w:rsidRPr="00DD783B">
              <w:rPr>
                <w:lang w:val="en-US"/>
              </w:rPr>
              <w:t xml:space="preserve"> curator </w:t>
            </w:r>
            <w:r w:rsidR="00DB016A">
              <w:rPr>
                <w:lang w:val="en-US"/>
              </w:rPr>
              <w:t>shall be</w:t>
            </w:r>
            <w:r w:rsidRPr="00DD783B">
              <w:rPr>
                <w:lang w:val="en-US"/>
              </w:rPr>
              <w:t xml:space="preserve"> canceled without </w:t>
            </w:r>
            <w:r w:rsidRPr="00852384">
              <w:rPr>
                <w:lang w:val="en-US"/>
              </w:rPr>
              <w:t>compensation</w:t>
            </w:r>
            <w:r w:rsidRPr="007C2DCD">
              <w:rPr>
                <w:lang w:val="en-US"/>
              </w:rPr>
              <w:t>.</w:t>
            </w:r>
          </w:p>
          <w:p w14:paraId="33A550A4" w14:textId="77777777" w:rsidR="00076C64" w:rsidRPr="009009BA" w:rsidRDefault="00076C64" w:rsidP="00843C22">
            <w:pPr>
              <w:spacing w:line="276" w:lineRule="auto"/>
              <w:ind w:left="572" w:hanging="567"/>
              <w:rPr>
                <w:b/>
                <w:lang w:val="en-US"/>
              </w:rPr>
            </w:pPr>
          </w:p>
        </w:tc>
      </w:tr>
      <w:tr w:rsidR="00F9449A" w:rsidRPr="00D6519F" w14:paraId="700BA236" w14:textId="77777777" w:rsidTr="00C96189">
        <w:tc>
          <w:tcPr>
            <w:tcW w:w="4673" w:type="dxa"/>
          </w:tcPr>
          <w:p w14:paraId="4E7D2684" w14:textId="77777777" w:rsidR="00F9449A" w:rsidRPr="00DD783B" w:rsidRDefault="00F9449A" w:rsidP="00F9449A">
            <w:pPr>
              <w:pStyle w:val="Odstavecseseznamem"/>
              <w:numPr>
                <w:ilvl w:val="1"/>
                <w:numId w:val="1"/>
              </w:numPr>
              <w:spacing w:line="276" w:lineRule="auto"/>
              <w:ind w:left="454" w:hanging="567"/>
            </w:pPr>
            <w:r>
              <w:t>Původní datum slavnostního zahájení Výstavy (16. 9. 2021) uvedené v čl. 3.1.10</w:t>
            </w:r>
            <w:r w:rsidR="00A93248">
              <w:t>.</w:t>
            </w:r>
            <w:r>
              <w:t xml:space="preserve"> Smlouvy o spolupráci se nahrazuje datem </w:t>
            </w:r>
            <w:r w:rsidR="00510162">
              <w:t>02. 12.</w:t>
            </w:r>
            <w:r w:rsidR="00510162">
              <w:rPr>
                <w:b/>
              </w:rPr>
              <w:t xml:space="preserve"> </w:t>
            </w:r>
            <w:r w:rsidRPr="001D044F">
              <w:rPr>
                <w:b/>
                <w:bCs/>
              </w:rPr>
              <w:t>2021</w:t>
            </w:r>
          </w:p>
          <w:p w14:paraId="323B8167" w14:textId="77777777" w:rsidR="00F9449A" w:rsidRDefault="00F9449A" w:rsidP="00F9449A">
            <w:pPr>
              <w:pStyle w:val="Odstavecseseznamem"/>
              <w:spacing w:line="276" w:lineRule="auto"/>
              <w:ind w:left="454"/>
              <w:rPr>
                <w:i/>
                <w:iCs/>
              </w:rPr>
            </w:pPr>
          </w:p>
        </w:tc>
        <w:tc>
          <w:tcPr>
            <w:tcW w:w="4536" w:type="dxa"/>
          </w:tcPr>
          <w:p w14:paraId="2FE01207" w14:textId="77777777" w:rsidR="00F9449A" w:rsidRDefault="00F9449A" w:rsidP="00F9449A">
            <w:pPr>
              <w:spacing w:line="276" w:lineRule="auto"/>
              <w:ind w:left="572" w:hanging="567"/>
              <w:rPr>
                <w:lang w:val="en-US"/>
              </w:rPr>
            </w:pPr>
            <w:r w:rsidRPr="00DD783B">
              <w:rPr>
                <w:lang w:val="en-US"/>
              </w:rPr>
              <w:t>2.</w:t>
            </w:r>
            <w:r>
              <w:rPr>
                <w:lang w:val="en-US"/>
              </w:rPr>
              <w:t>3</w:t>
            </w:r>
            <w:r w:rsidR="00947287">
              <w:rPr>
                <w:lang w:val="en-US"/>
              </w:rPr>
              <w:t xml:space="preserve">. </w:t>
            </w:r>
            <w:r w:rsidR="006319A4">
              <w:rPr>
                <w:lang w:val="en-US"/>
              </w:rPr>
              <w:t xml:space="preserve">  </w:t>
            </w:r>
            <w:r w:rsidR="00947287">
              <w:rPr>
                <w:lang w:val="en-US"/>
              </w:rPr>
              <w:t>The original date of the</w:t>
            </w:r>
            <w:r w:rsidRPr="00DD783B">
              <w:rPr>
                <w:lang w:val="en-US"/>
              </w:rPr>
              <w:t xml:space="preserve"> opening of the Exhibition (16 September 2021) referred to in Article 3.1.10</w:t>
            </w:r>
            <w:r w:rsidR="00A93248">
              <w:rPr>
                <w:lang w:val="en-US"/>
              </w:rPr>
              <w:t>.</w:t>
            </w:r>
            <w:r w:rsidRPr="00DD783B">
              <w:rPr>
                <w:lang w:val="en-US"/>
              </w:rPr>
              <w:t xml:space="preserve"> of the Cooperation Agreement </w:t>
            </w:r>
            <w:r w:rsidR="00DB016A">
              <w:rPr>
                <w:lang w:val="en-US"/>
              </w:rPr>
              <w:t>shall be</w:t>
            </w:r>
            <w:r w:rsidRPr="00DD783B">
              <w:rPr>
                <w:lang w:val="en-US"/>
              </w:rPr>
              <w:t xml:space="preserve"> replaced by </w:t>
            </w:r>
            <w:r w:rsidR="00510162">
              <w:t>02. 12.</w:t>
            </w:r>
            <w:r w:rsidR="00510162">
              <w:rPr>
                <w:b/>
              </w:rPr>
              <w:t xml:space="preserve"> </w:t>
            </w:r>
            <w:r w:rsidRPr="001D044F">
              <w:rPr>
                <w:b/>
                <w:lang w:val="en-US"/>
              </w:rPr>
              <w:t>2021</w:t>
            </w:r>
          </w:p>
          <w:p w14:paraId="42206691" w14:textId="77777777" w:rsidR="00F9449A" w:rsidRPr="002C64BF" w:rsidRDefault="00F9449A" w:rsidP="00F9449A">
            <w:pPr>
              <w:spacing w:line="276" w:lineRule="auto"/>
              <w:ind w:left="572" w:hanging="567"/>
              <w:rPr>
                <w:lang w:val="en-US"/>
              </w:rPr>
            </w:pPr>
          </w:p>
        </w:tc>
      </w:tr>
      <w:tr w:rsidR="00076C64" w:rsidRPr="00D6519F" w14:paraId="0BD2FE83" w14:textId="77777777" w:rsidTr="00C96189">
        <w:tc>
          <w:tcPr>
            <w:tcW w:w="4673" w:type="dxa"/>
          </w:tcPr>
          <w:p w14:paraId="095AF425" w14:textId="01286F1D" w:rsidR="00DA1D1E" w:rsidRDefault="00566C49" w:rsidP="00FF7F04">
            <w:pPr>
              <w:pStyle w:val="Odstavecseseznamem"/>
              <w:numPr>
                <w:ilvl w:val="1"/>
                <w:numId w:val="1"/>
              </w:numPr>
              <w:spacing w:line="276" w:lineRule="auto"/>
              <w:ind w:left="454" w:hanging="567"/>
            </w:pPr>
            <w:r w:rsidRPr="00B33702">
              <w:t xml:space="preserve">S ohledem na </w:t>
            </w:r>
            <w:r w:rsidR="00C85C0A">
              <w:t>možný</w:t>
            </w:r>
            <w:r w:rsidR="00CA6313">
              <w:t xml:space="preserve"> vznik </w:t>
            </w:r>
            <w:r w:rsidR="00905BCE">
              <w:t>dodatečných nákladů na straně M</w:t>
            </w:r>
            <w:r w:rsidR="00CA6313">
              <w:t>R</w:t>
            </w:r>
            <w:r w:rsidR="00905BCE">
              <w:t>Z</w:t>
            </w:r>
            <w:r w:rsidR="00CA6313">
              <w:t xml:space="preserve">, spojených s posunutím </w:t>
            </w:r>
            <w:r w:rsidR="00C85C0A">
              <w:t xml:space="preserve">termínu Výstavy (tj. vícenáklady spojené s vybalováním zapůjčených Děl a jejich opětovnou </w:t>
            </w:r>
            <w:r w:rsidR="0099323E">
              <w:t>instalací v prostorách M</w:t>
            </w:r>
            <w:r w:rsidR="00C85C0A">
              <w:t>R</w:t>
            </w:r>
            <w:r w:rsidR="0099323E">
              <w:t>Z</w:t>
            </w:r>
            <w:r w:rsidR="00C85C0A">
              <w:t>)</w:t>
            </w:r>
            <w:r w:rsidR="00CA6313">
              <w:t xml:space="preserve"> </w:t>
            </w:r>
            <w:r w:rsidRPr="00B33702">
              <w:t xml:space="preserve">se smluvní </w:t>
            </w:r>
            <w:r w:rsidRPr="00B33702">
              <w:lastRenderedPageBreak/>
              <w:t>strany dohodly, že z</w:t>
            </w:r>
            <w:r w:rsidR="00DA1D1E" w:rsidRPr="00B33702">
              <w:t>a článek 3.1.13</w:t>
            </w:r>
            <w:r w:rsidR="00A93248">
              <w:t>.</w:t>
            </w:r>
            <w:r w:rsidR="00DA1D1E" w:rsidRPr="00B33702">
              <w:t xml:space="preserve"> Smlouvy o spolupráci se doplňuje</w:t>
            </w:r>
            <w:r w:rsidRPr="00B33702">
              <w:t xml:space="preserve"> nový článek 3.1.14</w:t>
            </w:r>
            <w:r w:rsidR="00A93248">
              <w:t>.</w:t>
            </w:r>
            <w:r w:rsidRPr="00B33702">
              <w:t xml:space="preserve"> upravující povinnost NGP uhradit MRZ skutečně vynaložené dodatečné náklady </w:t>
            </w:r>
            <w:r w:rsidR="006319A4">
              <w:t>,</w:t>
            </w:r>
            <w:r w:rsidRPr="00B33702">
              <w:t xml:space="preserve"> a to až do výše 3.000 EUR</w:t>
            </w:r>
            <w:r w:rsidR="00B33702">
              <w:t xml:space="preserve">. </w:t>
            </w:r>
            <w:r w:rsidR="00B33702" w:rsidRPr="00A93248">
              <w:t>Nový čl</w:t>
            </w:r>
            <w:r w:rsidR="00B33702" w:rsidRPr="00A93248">
              <w:rPr>
                <w:bCs/>
              </w:rPr>
              <w:t>. 3.1.14</w:t>
            </w:r>
            <w:r w:rsidR="00A93248" w:rsidRPr="00A93248">
              <w:rPr>
                <w:bCs/>
              </w:rPr>
              <w:t>.</w:t>
            </w:r>
            <w:r w:rsidR="00B33702" w:rsidRPr="00A93248">
              <w:t xml:space="preserve"> zní</w:t>
            </w:r>
            <w:r w:rsidR="00B33702">
              <w:t>:</w:t>
            </w:r>
          </w:p>
          <w:p w14:paraId="0154F31B" w14:textId="77777777" w:rsidR="00B33702" w:rsidRDefault="00B33702" w:rsidP="00B33702">
            <w:pPr>
              <w:pStyle w:val="Odstavecseseznamem"/>
              <w:spacing w:line="276" w:lineRule="auto"/>
              <w:ind w:left="454"/>
            </w:pPr>
          </w:p>
          <w:p w14:paraId="32FF071C" w14:textId="067AF1E1" w:rsidR="008746F5" w:rsidRDefault="008746F5" w:rsidP="00B33702">
            <w:pPr>
              <w:pStyle w:val="Odstavecseseznamem"/>
              <w:spacing w:line="276" w:lineRule="auto"/>
              <w:ind w:left="454"/>
              <w:rPr>
                <w:i/>
                <w:iCs/>
              </w:rPr>
            </w:pPr>
            <w:r w:rsidRPr="00C85DC4">
              <w:rPr>
                <w:i/>
                <w:iCs/>
              </w:rPr>
              <w:t xml:space="preserve">3.1.14. Uhradit MRZ dodatečné skutečně </w:t>
            </w:r>
            <w:r w:rsidR="008D1695">
              <w:rPr>
                <w:i/>
                <w:iCs/>
              </w:rPr>
              <w:t xml:space="preserve">vynaložené náklady </w:t>
            </w:r>
            <w:r w:rsidR="00CA6313">
              <w:rPr>
                <w:i/>
                <w:iCs/>
              </w:rPr>
              <w:t>spojené s</w:t>
            </w:r>
            <w:r w:rsidR="00C85C0A">
              <w:rPr>
                <w:i/>
                <w:iCs/>
              </w:rPr>
              <w:t> </w:t>
            </w:r>
            <w:r w:rsidR="00CA6313">
              <w:rPr>
                <w:i/>
                <w:iCs/>
              </w:rPr>
              <w:t>posunutím</w:t>
            </w:r>
            <w:r w:rsidR="00C85C0A">
              <w:rPr>
                <w:i/>
                <w:iCs/>
              </w:rPr>
              <w:t xml:space="preserve"> termínu Výstavy (tj. </w:t>
            </w:r>
            <w:r w:rsidR="00C85C0A" w:rsidRPr="00C85C0A">
              <w:rPr>
                <w:i/>
              </w:rPr>
              <w:t>vícenáklady spojené s vybalováním zapůjčených Děl a jejich opě</w:t>
            </w:r>
            <w:r w:rsidR="00427253">
              <w:rPr>
                <w:i/>
              </w:rPr>
              <w:t>tovnou instalací v prostorách M</w:t>
            </w:r>
            <w:r w:rsidR="00C85C0A" w:rsidRPr="00C85C0A">
              <w:rPr>
                <w:i/>
              </w:rPr>
              <w:t>R</w:t>
            </w:r>
            <w:r w:rsidR="00427253">
              <w:rPr>
                <w:i/>
              </w:rPr>
              <w:t>Z</w:t>
            </w:r>
            <w:r w:rsidR="00C85C0A" w:rsidRPr="00C85C0A">
              <w:rPr>
                <w:i/>
              </w:rPr>
              <w:t xml:space="preserve">), </w:t>
            </w:r>
            <w:r w:rsidRPr="00C85C0A">
              <w:rPr>
                <w:i/>
                <w:iCs/>
              </w:rPr>
              <w:t>,</w:t>
            </w:r>
            <w:r w:rsidRPr="00C85DC4">
              <w:rPr>
                <w:i/>
                <w:iCs/>
              </w:rPr>
              <w:t xml:space="preserve"> </w:t>
            </w:r>
            <w:r w:rsidR="00C85DC4" w:rsidRPr="00C85DC4">
              <w:rPr>
                <w:i/>
                <w:iCs/>
              </w:rPr>
              <w:t xml:space="preserve">a </w:t>
            </w:r>
            <w:r w:rsidR="008D1695">
              <w:rPr>
                <w:i/>
                <w:iCs/>
              </w:rPr>
              <w:t xml:space="preserve">to za předpokladu, že </w:t>
            </w:r>
            <w:r w:rsidR="007F09C1">
              <w:rPr>
                <w:i/>
                <w:iCs/>
              </w:rPr>
              <w:t xml:space="preserve"> shora uvedené </w:t>
            </w:r>
            <w:r w:rsidR="00340594">
              <w:rPr>
                <w:i/>
                <w:iCs/>
              </w:rPr>
              <w:t xml:space="preserve">úkony spojené s vrácením Děl  </w:t>
            </w:r>
            <w:r w:rsidR="00415277">
              <w:rPr>
                <w:i/>
                <w:iCs/>
              </w:rPr>
              <w:t>nebude možno</w:t>
            </w:r>
            <w:r w:rsidR="00C85DC4" w:rsidRPr="00C85DC4">
              <w:rPr>
                <w:i/>
                <w:iCs/>
              </w:rPr>
              <w:t xml:space="preserve"> provést </w:t>
            </w:r>
            <w:r w:rsidR="00415277">
              <w:rPr>
                <w:i/>
                <w:iCs/>
              </w:rPr>
              <w:t>prostřednictvím interních zaměstnanců</w:t>
            </w:r>
            <w:r w:rsidR="00C85DC4" w:rsidRPr="00C85DC4">
              <w:rPr>
                <w:i/>
                <w:iCs/>
              </w:rPr>
              <w:t xml:space="preserve"> MRZ</w:t>
            </w:r>
            <w:r w:rsidR="008D1695">
              <w:rPr>
                <w:i/>
                <w:iCs/>
              </w:rPr>
              <w:t>,</w:t>
            </w:r>
            <w:r w:rsidR="00C85DC4" w:rsidRPr="00C85DC4">
              <w:rPr>
                <w:i/>
                <w:iCs/>
              </w:rPr>
              <w:t xml:space="preserve"> nýbrž </w:t>
            </w:r>
            <w:r w:rsidR="002A1A66">
              <w:rPr>
                <w:i/>
                <w:iCs/>
              </w:rPr>
              <w:t>bude nutno využí</w:t>
            </w:r>
            <w:r w:rsidR="008D1695">
              <w:rPr>
                <w:i/>
                <w:iCs/>
              </w:rPr>
              <w:t>t</w:t>
            </w:r>
            <w:r w:rsidR="002A1A66">
              <w:rPr>
                <w:i/>
                <w:iCs/>
              </w:rPr>
              <w:t xml:space="preserve"> </w:t>
            </w:r>
            <w:r w:rsidR="00C85DC4" w:rsidRPr="00C85DC4">
              <w:rPr>
                <w:i/>
                <w:iCs/>
              </w:rPr>
              <w:t xml:space="preserve">externí </w:t>
            </w:r>
            <w:r w:rsidR="000B0C8D">
              <w:rPr>
                <w:i/>
                <w:iCs/>
              </w:rPr>
              <w:t>muzejní tech</w:t>
            </w:r>
            <w:r w:rsidR="00427253">
              <w:rPr>
                <w:i/>
                <w:iCs/>
              </w:rPr>
              <w:t>n</w:t>
            </w:r>
            <w:r w:rsidR="000B0C8D">
              <w:rPr>
                <w:i/>
                <w:iCs/>
              </w:rPr>
              <w:t>iky</w:t>
            </w:r>
            <w:r w:rsidR="00C85DC4" w:rsidRPr="00C85DC4">
              <w:rPr>
                <w:i/>
                <w:iCs/>
              </w:rPr>
              <w:t xml:space="preserve">. Náklady budou uhrazeny až do výše 3.000 EUR, </w:t>
            </w:r>
            <w:r w:rsidR="00C85DC4" w:rsidRPr="007C2DCD">
              <w:rPr>
                <w:i/>
                <w:iCs/>
              </w:rPr>
              <w:t>přičemž o skutečné potřebě vynaložení těchto nákladů a jejich výši je MRZ povi</w:t>
            </w:r>
            <w:r w:rsidR="002A1A66" w:rsidRPr="007C2DCD">
              <w:rPr>
                <w:i/>
                <w:iCs/>
              </w:rPr>
              <w:t xml:space="preserve">nen písemně informovat NGP nejpozději </w:t>
            </w:r>
            <w:r w:rsidR="00852384" w:rsidRPr="007C2DCD">
              <w:rPr>
                <w:i/>
                <w:iCs/>
              </w:rPr>
              <w:t xml:space="preserve">14 </w:t>
            </w:r>
            <w:r w:rsidR="002A1A66" w:rsidRPr="007C2DCD">
              <w:rPr>
                <w:i/>
                <w:iCs/>
              </w:rPr>
              <w:t xml:space="preserve">dnů před </w:t>
            </w:r>
            <w:r w:rsidR="00812D16" w:rsidRPr="007C2DCD">
              <w:rPr>
                <w:i/>
                <w:iCs/>
              </w:rPr>
              <w:t>jejich skutečným vynaložením</w:t>
            </w:r>
            <w:r w:rsidR="00812D16">
              <w:rPr>
                <w:i/>
                <w:iCs/>
              </w:rPr>
              <w:t>. Náklady budou uhrazeny na základě faktury MRZ vystavené po jejich vynaložení</w:t>
            </w:r>
            <w:r w:rsidR="00C5331C">
              <w:rPr>
                <w:i/>
                <w:iCs/>
              </w:rPr>
              <w:t xml:space="preserve">, nejpozději však do </w:t>
            </w:r>
            <w:bookmarkStart w:id="0" w:name="_GoBack"/>
            <w:bookmarkEnd w:id="0"/>
            <w:r w:rsidR="00C5331C" w:rsidRPr="0073566E">
              <w:rPr>
                <w:i/>
                <w:iCs/>
              </w:rPr>
              <w:t>15. </w:t>
            </w:r>
            <w:r w:rsidR="00427253" w:rsidRPr="0073566E">
              <w:rPr>
                <w:i/>
                <w:iCs/>
              </w:rPr>
              <w:t>6</w:t>
            </w:r>
            <w:r w:rsidR="00C5331C" w:rsidRPr="0073566E">
              <w:rPr>
                <w:i/>
                <w:iCs/>
              </w:rPr>
              <w:t>. 202</w:t>
            </w:r>
            <w:r w:rsidR="00F16230" w:rsidRPr="0073566E">
              <w:rPr>
                <w:i/>
                <w:iCs/>
              </w:rPr>
              <w:t>2</w:t>
            </w:r>
            <w:r w:rsidR="00812D16" w:rsidRPr="0073566E">
              <w:rPr>
                <w:i/>
                <w:iCs/>
              </w:rPr>
              <w:t>.</w:t>
            </w:r>
            <w:r w:rsidR="00812D16">
              <w:rPr>
                <w:i/>
                <w:iCs/>
              </w:rPr>
              <w:t xml:space="preserve"> Přílohou faktury bude doklad prokazující skutečnou výši vynaložených nákladů.</w:t>
            </w:r>
          </w:p>
          <w:p w14:paraId="7CC08EC4" w14:textId="77777777" w:rsidR="00076C64" w:rsidRPr="00D6519F" w:rsidRDefault="00076C64" w:rsidP="00F9449A">
            <w:pPr>
              <w:pStyle w:val="Odstavecseseznamem"/>
              <w:spacing w:line="276" w:lineRule="auto"/>
              <w:ind w:left="454"/>
            </w:pPr>
          </w:p>
        </w:tc>
        <w:tc>
          <w:tcPr>
            <w:tcW w:w="4536" w:type="dxa"/>
          </w:tcPr>
          <w:p w14:paraId="0231F97E" w14:textId="0D04290B" w:rsidR="002D48EC" w:rsidRDefault="002D48EC" w:rsidP="006319A4">
            <w:pPr>
              <w:spacing w:line="276" w:lineRule="auto"/>
              <w:ind w:left="603" w:hanging="567"/>
              <w:rPr>
                <w:lang w:val="en-US"/>
              </w:rPr>
            </w:pPr>
            <w:r w:rsidRPr="007C2DCD">
              <w:lastRenderedPageBreak/>
              <w:t>2.</w:t>
            </w:r>
            <w:r w:rsidR="00F9449A" w:rsidRPr="007C2DCD">
              <w:t>4</w:t>
            </w:r>
            <w:r w:rsidR="00857116">
              <w:t>.</w:t>
            </w:r>
            <w:r w:rsidR="00857116">
              <w:tab/>
            </w:r>
            <w:r w:rsidRPr="007F09C1">
              <w:rPr>
                <w:lang w:val="en-BZ"/>
              </w:rPr>
              <w:t xml:space="preserve">In view of the </w:t>
            </w:r>
            <w:r w:rsidR="007F09C1" w:rsidRPr="007F09C1">
              <w:rPr>
                <w:lang w:val="en-BZ"/>
              </w:rPr>
              <w:t xml:space="preserve">possible incurrence of additional </w:t>
            </w:r>
            <w:r w:rsidR="0099323E">
              <w:rPr>
                <w:lang w:val="en-BZ"/>
              </w:rPr>
              <w:t>M</w:t>
            </w:r>
            <w:r w:rsidR="007F09C1">
              <w:rPr>
                <w:lang w:val="en-BZ"/>
              </w:rPr>
              <w:t>R</w:t>
            </w:r>
            <w:r w:rsidR="0099323E">
              <w:rPr>
                <w:lang w:val="en-BZ"/>
              </w:rPr>
              <w:t>Z</w:t>
            </w:r>
            <w:r w:rsidR="007F09C1">
              <w:rPr>
                <w:lang w:val="en-BZ"/>
              </w:rPr>
              <w:t xml:space="preserve"> </w:t>
            </w:r>
            <w:r w:rsidR="0099323E">
              <w:rPr>
                <w:lang w:val="en-BZ"/>
              </w:rPr>
              <w:t xml:space="preserve">costs </w:t>
            </w:r>
            <w:r w:rsidR="007F09C1">
              <w:rPr>
                <w:lang w:val="en-BZ"/>
              </w:rPr>
              <w:t>connected with the change of the date of the Exhibition (ie additional cost</w:t>
            </w:r>
            <w:r w:rsidR="0099323E">
              <w:rPr>
                <w:lang w:val="en-BZ"/>
              </w:rPr>
              <w:t>s</w:t>
            </w:r>
            <w:r w:rsidR="007F09C1">
              <w:rPr>
                <w:lang w:val="en-BZ"/>
              </w:rPr>
              <w:t xml:space="preserve"> associated with unpacking of the  Works and their re</w:t>
            </w:r>
            <w:r w:rsidR="00334597">
              <w:rPr>
                <w:lang w:val="en-BZ"/>
              </w:rPr>
              <w:t>-</w:t>
            </w:r>
            <w:r w:rsidR="007F09C1">
              <w:rPr>
                <w:lang w:val="en-BZ"/>
              </w:rPr>
              <w:t xml:space="preserve"> in</w:t>
            </w:r>
            <w:r w:rsidR="00905BCE">
              <w:rPr>
                <w:lang w:val="en-BZ"/>
              </w:rPr>
              <w:t>stallation in the premises of M</w:t>
            </w:r>
            <w:r w:rsidR="007F09C1">
              <w:rPr>
                <w:lang w:val="en-BZ"/>
              </w:rPr>
              <w:t>R</w:t>
            </w:r>
            <w:r w:rsidR="00905BCE">
              <w:rPr>
                <w:lang w:val="en-BZ"/>
              </w:rPr>
              <w:t>Z</w:t>
            </w:r>
            <w:r w:rsidR="007F09C1">
              <w:rPr>
                <w:lang w:val="en-BZ"/>
              </w:rPr>
              <w:t>)</w:t>
            </w:r>
            <w:r w:rsidRPr="002D48EC">
              <w:rPr>
                <w:lang w:val="en-US"/>
              </w:rPr>
              <w:t xml:space="preserve">, </w:t>
            </w:r>
            <w:r w:rsidRPr="002D48EC">
              <w:rPr>
                <w:lang w:val="en-US"/>
              </w:rPr>
              <w:lastRenderedPageBreak/>
              <w:t xml:space="preserve">the </w:t>
            </w:r>
            <w:r w:rsidR="00A75F27">
              <w:rPr>
                <w:lang w:val="en-US"/>
              </w:rPr>
              <w:t>p</w:t>
            </w:r>
            <w:r w:rsidRPr="002D48EC">
              <w:rPr>
                <w:lang w:val="en-US"/>
              </w:rPr>
              <w:t>arties agree that a new Article 3.1.14</w:t>
            </w:r>
            <w:r w:rsidR="00A93248">
              <w:rPr>
                <w:lang w:val="en-US"/>
              </w:rPr>
              <w:t>.</w:t>
            </w:r>
            <w:r w:rsidRPr="002D48EC">
              <w:rPr>
                <w:lang w:val="en-US"/>
              </w:rPr>
              <w:t xml:space="preserve"> is added after Article 3.1.13</w:t>
            </w:r>
            <w:r w:rsidR="00A93248">
              <w:rPr>
                <w:lang w:val="en-US"/>
              </w:rPr>
              <w:t>.</w:t>
            </w:r>
            <w:r w:rsidRPr="002D48EC">
              <w:rPr>
                <w:lang w:val="en-US"/>
              </w:rPr>
              <w:t xml:space="preserve"> of the Cooperation Agreement, regulating NGP's </w:t>
            </w:r>
            <w:r w:rsidR="009F75ED" w:rsidRPr="009F75ED">
              <w:rPr>
                <w:lang w:val="en-US"/>
              </w:rPr>
              <w:t>obligation to reimburse MRZ for the additional costs actually incurred</w:t>
            </w:r>
            <w:r w:rsidR="00427253">
              <w:rPr>
                <w:lang w:val="en-US"/>
              </w:rPr>
              <w:t>,</w:t>
            </w:r>
            <w:r w:rsidR="009F75ED" w:rsidRPr="009F75ED">
              <w:rPr>
                <w:lang w:val="en-US"/>
              </w:rPr>
              <w:t xml:space="preserve"> </w:t>
            </w:r>
            <w:r w:rsidRPr="002D48EC">
              <w:rPr>
                <w:lang w:val="en-US"/>
              </w:rPr>
              <w:t>up to EUR 3,000. The new Article 3.1.14</w:t>
            </w:r>
            <w:r w:rsidR="00A93248">
              <w:rPr>
                <w:lang w:val="en-US"/>
              </w:rPr>
              <w:t>.</w:t>
            </w:r>
            <w:r w:rsidRPr="002D48EC">
              <w:rPr>
                <w:lang w:val="en-US"/>
              </w:rPr>
              <w:t xml:space="preserve"> reads:</w:t>
            </w:r>
          </w:p>
          <w:p w14:paraId="523D1171" w14:textId="5D4F0D8D" w:rsidR="002D48EC" w:rsidRPr="00D6519F" w:rsidRDefault="002D48EC" w:rsidP="00F16230">
            <w:pPr>
              <w:spacing w:line="276" w:lineRule="auto"/>
              <w:ind w:left="572" w:hanging="567"/>
              <w:rPr>
                <w:lang w:val="en-US"/>
              </w:rPr>
            </w:pPr>
            <w:r w:rsidRPr="002D48EC">
              <w:rPr>
                <w:i/>
                <w:iCs/>
                <w:lang w:val="en-US"/>
              </w:rPr>
              <w:t xml:space="preserve">3.1.14. To reimburse MRZ the additional costs actually incurred </w:t>
            </w:r>
            <w:r w:rsidR="007F09C1">
              <w:rPr>
                <w:i/>
                <w:iCs/>
                <w:lang w:val="en-US"/>
              </w:rPr>
              <w:t xml:space="preserve">in </w:t>
            </w:r>
            <w:r w:rsidR="007F09C1" w:rsidRPr="007F09C1">
              <w:rPr>
                <w:i/>
                <w:lang w:val="en-BZ"/>
              </w:rPr>
              <w:t>connect</w:t>
            </w:r>
            <w:r w:rsidR="007F09C1">
              <w:rPr>
                <w:i/>
                <w:lang w:val="en-BZ"/>
              </w:rPr>
              <w:t xml:space="preserve">ion </w:t>
            </w:r>
            <w:r w:rsidR="007F09C1" w:rsidRPr="007F09C1">
              <w:rPr>
                <w:i/>
                <w:lang w:val="en-BZ"/>
              </w:rPr>
              <w:t>with the change of the date of the Exhibition (ie additional cost</w:t>
            </w:r>
            <w:r w:rsidR="00427253">
              <w:rPr>
                <w:i/>
                <w:lang w:val="en-BZ"/>
              </w:rPr>
              <w:t>s</w:t>
            </w:r>
            <w:r w:rsidR="007F09C1" w:rsidRPr="007F09C1">
              <w:rPr>
                <w:i/>
                <w:lang w:val="en-BZ"/>
              </w:rPr>
              <w:t xml:space="preserve"> associated with unpacking of the  Works and their re</w:t>
            </w:r>
            <w:r w:rsidR="00334597">
              <w:rPr>
                <w:i/>
                <w:lang w:val="en-BZ"/>
              </w:rPr>
              <w:t>-</w:t>
            </w:r>
            <w:r w:rsidR="007F09C1" w:rsidRPr="007F09C1">
              <w:rPr>
                <w:i/>
                <w:lang w:val="en-BZ"/>
              </w:rPr>
              <w:t>in</w:t>
            </w:r>
            <w:r w:rsidR="00427253">
              <w:rPr>
                <w:i/>
                <w:lang w:val="en-BZ"/>
              </w:rPr>
              <w:t>stallation in the premises of M</w:t>
            </w:r>
            <w:r w:rsidR="007F09C1" w:rsidRPr="007F09C1">
              <w:rPr>
                <w:i/>
                <w:lang w:val="en-BZ"/>
              </w:rPr>
              <w:t>R</w:t>
            </w:r>
            <w:r w:rsidR="00427253">
              <w:rPr>
                <w:i/>
                <w:lang w:val="en-BZ"/>
              </w:rPr>
              <w:t>Z</w:t>
            </w:r>
            <w:r w:rsidR="007F09C1" w:rsidRPr="007F09C1">
              <w:rPr>
                <w:i/>
                <w:lang w:val="en-BZ"/>
              </w:rPr>
              <w:t>)</w:t>
            </w:r>
            <w:r w:rsidRPr="002D48EC">
              <w:rPr>
                <w:i/>
                <w:iCs/>
                <w:lang w:val="en-US"/>
              </w:rPr>
              <w:t xml:space="preserve">, </w:t>
            </w:r>
            <w:r w:rsidR="008D1695">
              <w:rPr>
                <w:i/>
                <w:iCs/>
                <w:lang w:val="en-US"/>
              </w:rPr>
              <w:t xml:space="preserve">assuming that the </w:t>
            </w:r>
            <w:r w:rsidR="007F09C1">
              <w:rPr>
                <w:i/>
                <w:iCs/>
                <w:lang w:val="en-US"/>
              </w:rPr>
              <w:t xml:space="preserve">above mentioned actions associated with return of the Works </w:t>
            </w:r>
            <w:r w:rsidRPr="002D48EC">
              <w:rPr>
                <w:i/>
                <w:iCs/>
                <w:lang w:val="en-US"/>
              </w:rPr>
              <w:t xml:space="preserve">will not be possible to carry out with internal MRZ employees, but it will be necessary to use external </w:t>
            </w:r>
            <w:r w:rsidR="00F16230">
              <w:rPr>
                <w:i/>
                <w:iCs/>
                <w:lang w:val="en-US"/>
              </w:rPr>
              <w:t xml:space="preserve"> museum technician</w:t>
            </w:r>
            <w:r w:rsidR="00427253">
              <w:rPr>
                <w:i/>
                <w:iCs/>
                <w:lang w:val="en-US"/>
              </w:rPr>
              <w:t>s</w:t>
            </w:r>
            <w:r w:rsidRPr="002D48EC">
              <w:rPr>
                <w:i/>
                <w:iCs/>
                <w:lang w:val="en-US"/>
              </w:rPr>
              <w:t xml:space="preserve">. The costs will be reimbursed up to the amount of EUR 3,000, </w:t>
            </w:r>
            <w:r w:rsidRPr="007C2DCD">
              <w:rPr>
                <w:i/>
                <w:iCs/>
                <w:lang w:val="en-US"/>
              </w:rPr>
              <w:t xml:space="preserve">and the MRZ is obliged to inform NGP in writing of the actual need to incur these costs and their amount no later than </w:t>
            </w:r>
            <w:r w:rsidR="00852384" w:rsidRPr="007C2DCD">
              <w:rPr>
                <w:i/>
                <w:iCs/>
                <w:lang w:val="en-US"/>
              </w:rPr>
              <w:t xml:space="preserve">14 </w:t>
            </w:r>
            <w:r w:rsidRPr="007C2DCD">
              <w:rPr>
                <w:i/>
                <w:iCs/>
                <w:lang w:val="en-US"/>
              </w:rPr>
              <w:t>days before their actual incurrence</w:t>
            </w:r>
            <w:r w:rsidRPr="002D48EC">
              <w:rPr>
                <w:i/>
                <w:iCs/>
                <w:lang w:val="en-US"/>
              </w:rPr>
              <w:t>. The costs will be reimbursed on the basis of the MRZ invoice issued after they have been incurred</w:t>
            </w:r>
            <w:r w:rsidR="00C5331C">
              <w:rPr>
                <w:i/>
                <w:iCs/>
                <w:lang w:val="en-US"/>
              </w:rPr>
              <w:t xml:space="preserve">, however, not later than on </w:t>
            </w:r>
            <w:r w:rsidR="00C5331C">
              <w:rPr>
                <w:i/>
                <w:iCs/>
              </w:rPr>
              <w:t>15. </w:t>
            </w:r>
            <w:r w:rsidR="00427253">
              <w:rPr>
                <w:i/>
                <w:iCs/>
              </w:rPr>
              <w:t>6</w:t>
            </w:r>
            <w:r w:rsidR="00C5331C">
              <w:rPr>
                <w:i/>
                <w:iCs/>
              </w:rPr>
              <w:t>. 202</w:t>
            </w:r>
            <w:r w:rsidR="00F16230">
              <w:rPr>
                <w:i/>
                <w:iCs/>
              </w:rPr>
              <w:t>2</w:t>
            </w:r>
            <w:r w:rsidRPr="002D48EC">
              <w:rPr>
                <w:i/>
                <w:iCs/>
                <w:lang w:val="en-US"/>
              </w:rPr>
              <w:t>. Attached to the invoice will be a document proving the actual amount of costs incurred.</w:t>
            </w:r>
          </w:p>
        </w:tc>
      </w:tr>
      <w:tr w:rsidR="007C2DCD" w:rsidRPr="00D6519F" w14:paraId="47A1B96C" w14:textId="77777777" w:rsidTr="00C96189">
        <w:tc>
          <w:tcPr>
            <w:tcW w:w="4673" w:type="dxa"/>
          </w:tcPr>
          <w:p w14:paraId="387AA5A2" w14:textId="77777777" w:rsidR="00245BBB" w:rsidRDefault="007C2DCD" w:rsidP="00245BBB">
            <w:pPr>
              <w:pStyle w:val="Odstavecseseznamem"/>
              <w:numPr>
                <w:ilvl w:val="1"/>
                <w:numId w:val="1"/>
              </w:numPr>
              <w:spacing w:line="276" w:lineRule="auto"/>
              <w:ind w:left="454" w:hanging="567"/>
            </w:pPr>
            <w:r>
              <w:lastRenderedPageBreak/>
              <w:t xml:space="preserve">Vzhledem ke změně termínu konání Výstavy se smluvní strany dohodly na změně </w:t>
            </w:r>
            <w:r w:rsidR="00245BBB">
              <w:t>data úhrady</w:t>
            </w:r>
            <w:r>
              <w:t xml:space="preserve"> druhé splátky uvedené v čl. 3.1.13 tak, že tato splátka bude uhrazena na základě faktury doručené </w:t>
            </w:r>
            <w:r w:rsidR="00245BBB">
              <w:t>již po zahájení V</w:t>
            </w:r>
            <w:r>
              <w:t>ýstavy. Poslední odstavec čl.</w:t>
            </w:r>
            <w:r w:rsidR="00245BBB">
              <w:t> </w:t>
            </w:r>
            <w:r>
              <w:t xml:space="preserve">3.1.13 </w:t>
            </w:r>
            <w:r w:rsidR="00245BBB">
              <w:t xml:space="preserve">se </w:t>
            </w:r>
            <w:r>
              <w:t>tedy</w:t>
            </w:r>
            <w:r w:rsidR="00245BBB">
              <w:t xml:space="preserve"> ruší a</w:t>
            </w:r>
            <w:r>
              <w:t xml:space="preserve"> nově zní</w:t>
            </w:r>
            <w:r w:rsidR="00245BBB">
              <w:t>:</w:t>
            </w:r>
          </w:p>
          <w:p w14:paraId="5430FA9D" w14:textId="77777777" w:rsidR="00245BBB" w:rsidRDefault="00245BBB" w:rsidP="008175C4">
            <w:pPr>
              <w:pStyle w:val="Odstavecseseznamem"/>
              <w:spacing w:line="276" w:lineRule="auto"/>
              <w:ind w:left="454"/>
            </w:pPr>
          </w:p>
          <w:p w14:paraId="760B2CCD" w14:textId="77777777" w:rsidR="007C2DCD" w:rsidRPr="00B33702" w:rsidRDefault="00245BBB" w:rsidP="008175C4">
            <w:pPr>
              <w:pStyle w:val="Odstavecseseznamem"/>
              <w:spacing w:line="276" w:lineRule="auto"/>
              <w:ind w:left="454"/>
            </w:pPr>
            <w:r>
              <w:rPr>
                <w:i/>
              </w:rPr>
              <w:t xml:space="preserve">Předmětná částka bude uhrazena na základě faktur vystavených ze strany MRZ. První splátka ve výši </w:t>
            </w:r>
            <w:r>
              <w:rPr>
                <w:b/>
                <w:i/>
              </w:rPr>
              <w:t>25.000 EUR</w:t>
            </w:r>
            <w:r>
              <w:rPr>
                <w:i/>
              </w:rPr>
              <w:t xml:space="preserve"> bude uhrazena na základě doručené faktury se splatností nejpozději ke dni </w:t>
            </w:r>
            <w:r>
              <w:rPr>
                <w:i/>
              </w:rPr>
              <w:lastRenderedPageBreak/>
              <w:t xml:space="preserve">31.12.2020. Druhá splátka ve výši </w:t>
            </w:r>
            <w:r>
              <w:rPr>
                <w:b/>
                <w:i/>
              </w:rPr>
              <w:t>25.000 EUR</w:t>
            </w:r>
            <w:r>
              <w:rPr>
                <w:i/>
              </w:rPr>
              <w:t xml:space="preserve"> bude uhrazena na základě faktury doručené NGP ve lhůtě 14 dnů ode dne zahájení Výstavy. Splatnost této faktury je 30 dní ode dne jejího doručení NGP.</w:t>
            </w:r>
            <w:r w:rsidR="007C2DCD">
              <w:t xml:space="preserve">  </w:t>
            </w:r>
          </w:p>
        </w:tc>
        <w:tc>
          <w:tcPr>
            <w:tcW w:w="4536" w:type="dxa"/>
          </w:tcPr>
          <w:p w14:paraId="25C2B786" w14:textId="77777777" w:rsidR="007C2DCD" w:rsidRDefault="00857116" w:rsidP="00933C27">
            <w:pPr>
              <w:spacing w:line="276" w:lineRule="auto"/>
              <w:ind w:left="603" w:hanging="567"/>
            </w:pPr>
            <w:r>
              <w:lastRenderedPageBreak/>
              <w:t xml:space="preserve">2.5. </w:t>
            </w:r>
            <w:r>
              <w:tab/>
            </w:r>
            <w:r w:rsidR="00245BBB" w:rsidRPr="008175C4">
              <w:rPr>
                <w:lang w:val="en-GB"/>
              </w:rPr>
              <w:t>Due to the change of the</w:t>
            </w:r>
            <w:r w:rsidR="00245BBB">
              <w:rPr>
                <w:lang w:val="en-GB"/>
              </w:rPr>
              <w:t xml:space="preserve"> Exhibition date the contracting parties agreed to change the payment date of the second instalment provided in Art. 3.1.13 hereof</w:t>
            </w:r>
            <w:r w:rsidR="00933C27">
              <w:rPr>
                <w:lang w:val="en-GB"/>
              </w:rPr>
              <w:t>, so that the instalment shall be pa</w:t>
            </w:r>
            <w:r>
              <w:rPr>
                <w:lang w:val="en-GB"/>
              </w:rPr>
              <w:t>i</w:t>
            </w:r>
            <w:r w:rsidR="00933C27">
              <w:rPr>
                <w:lang w:val="en-GB"/>
              </w:rPr>
              <w:t>d according to the Invoice delivered after the Exhibition opening. The last paragraph of the Art. 3.1.13 shall be thus cancelled and replaced by the following wording:</w:t>
            </w:r>
            <w:r w:rsidR="00245BBB">
              <w:rPr>
                <w:lang w:val="en-GB"/>
              </w:rPr>
              <w:t xml:space="preserve"> </w:t>
            </w:r>
            <w:r w:rsidR="00245BBB">
              <w:t xml:space="preserve"> </w:t>
            </w:r>
          </w:p>
          <w:p w14:paraId="3A075DAE" w14:textId="77777777" w:rsidR="00933C27" w:rsidRPr="008175C4" w:rsidRDefault="00933C27" w:rsidP="00855FEE">
            <w:pPr>
              <w:spacing w:line="276" w:lineRule="auto"/>
              <w:ind w:left="603" w:hanging="567"/>
              <w:rPr>
                <w:i/>
                <w:lang w:val="en-GB"/>
              </w:rPr>
            </w:pPr>
            <w:r w:rsidRPr="008175C4">
              <w:rPr>
                <w:lang w:val="en-GB"/>
              </w:rPr>
              <w:t xml:space="preserve">         </w:t>
            </w:r>
            <w:r w:rsidRPr="008175C4">
              <w:rPr>
                <w:i/>
                <w:lang w:val="en-GB"/>
              </w:rPr>
              <w:t>The</w:t>
            </w:r>
            <w:r>
              <w:rPr>
                <w:i/>
                <w:lang w:val="en-GB"/>
              </w:rPr>
              <w:t xml:space="preserve"> specified sum shall be paid based upon invoices issued by MRZ. The first instalment </w:t>
            </w:r>
            <w:r w:rsidR="001244E5">
              <w:rPr>
                <w:i/>
                <w:lang w:val="en-GB"/>
              </w:rPr>
              <w:t xml:space="preserve">in the amount of </w:t>
            </w:r>
            <w:r w:rsidR="001244E5">
              <w:rPr>
                <w:b/>
                <w:i/>
                <w:lang w:val="en-GB"/>
              </w:rPr>
              <w:lastRenderedPageBreak/>
              <w:t>EUR 25,000</w:t>
            </w:r>
            <w:r w:rsidR="001244E5">
              <w:rPr>
                <w:i/>
                <w:lang w:val="en-GB"/>
              </w:rPr>
              <w:t xml:space="preserve"> shall be paid based upon an invoice</w:t>
            </w:r>
            <w:r w:rsidR="00855FEE">
              <w:rPr>
                <w:i/>
                <w:lang w:val="en-GB"/>
              </w:rPr>
              <w:t xml:space="preserve"> delivered to NGP, which shall be mature on 31</w:t>
            </w:r>
            <w:r w:rsidR="00855FEE" w:rsidRPr="008175C4">
              <w:rPr>
                <w:i/>
                <w:vertAlign w:val="superscript"/>
                <w:lang w:val="en-GB"/>
              </w:rPr>
              <w:t>st</w:t>
            </w:r>
            <w:r w:rsidR="00855FEE">
              <w:rPr>
                <w:i/>
                <w:lang w:val="en-GB"/>
              </w:rPr>
              <w:t xml:space="preserve"> December 2020 at the latest. The second instalment in the amount of </w:t>
            </w:r>
            <w:r w:rsidR="00855FEE" w:rsidRPr="008175C4">
              <w:rPr>
                <w:b/>
                <w:i/>
                <w:lang w:val="en-GB"/>
              </w:rPr>
              <w:t>EUR</w:t>
            </w:r>
            <w:r w:rsidR="00855FEE">
              <w:rPr>
                <w:i/>
                <w:lang w:val="en-GB"/>
              </w:rPr>
              <w:t xml:space="preserve"> </w:t>
            </w:r>
            <w:r w:rsidR="00855FEE">
              <w:rPr>
                <w:b/>
                <w:i/>
                <w:lang w:val="en-GB"/>
              </w:rPr>
              <w:t>25,000</w:t>
            </w:r>
            <w:r w:rsidR="00855FEE">
              <w:rPr>
                <w:i/>
                <w:lang w:val="en-GB"/>
              </w:rPr>
              <w:t xml:space="preserve"> shall be paid based upon an invoice delivered to NGP within 14 days after the Exhibition opening. Maturity of this invoice is 30 days from the date of its receipt of NGP. </w:t>
            </w:r>
            <w:r w:rsidR="00855FEE">
              <w:rPr>
                <w:b/>
                <w:i/>
                <w:lang w:val="en-GB"/>
              </w:rPr>
              <w:t xml:space="preserve"> </w:t>
            </w:r>
            <w:r w:rsidRPr="008175C4">
              <w:rPr>
                <w:i/>
                <w:lang w:val="en-GB"/>
              </w:rPr>
              <w:t xml:space="preserve"> </w:t>
            </w:r>
          </w:p>
        </w:tc>
      </w:tr>
      <w:tr w:rsidR="00C57892" w:rsidRPr="00D6519F" w14:paraId="1035905C" w14:textId="77777777" w:rsidTr="00C96189">
        <w:tc>
          <w:tcPr>
            <w:tcW w:w="4673" w:type="dxa"/>
          </w:tcPr>
          <w:p w14:paraId="22533C94" w14:textId="77777777" w:rsidR="00C57892" w:rsidRPr="007C2DCD" w:rsidRDefault="00C454B8" w:rsidP="00F9449A">
            <w:pPr>
              <w:pStyle w:val="Odstavecseseznamem"/>
              <w:numPr>
                <w:ilvl w:val="1"/>
                <w:numId w:val="1"/>
              </w:numPr>
              <w:spacing w:line="276" w:lineRule="auto"/>
              <w:ind w:left="454" w:hanging="567"/>
            </w:pPr>
            <w:r w:rsidRPr="007C2DCD">
              <w:lastRenderedPageBreak/>
              <w:t>Článek 3.2.1</w:t>
            </w:r>
            <w:r w:rsidR="00A93248" w:rsidRPr="007C2DCD">
              <w:t>.</w:t>
            </w:r>
            <w:r w:rsidRPr="007C2DCD">
              <w:t xml:space="preserve"> se doplňuje o větu za středníkem. Celý článek 3.2.1</w:t>
            </w:r>
            <w:r w:rsidR="00A93248" w:rsidRPr="007C2DCD">
              <w:t>.</w:t>
            </w:r>
            <w:r w:rsidRPr="007C2DCD">
              <w:t xml:space="preserve"> nově zní:</w:t>
            </w:r>
          </w:p>
          <w:p w14:paraId="6E47B328" w14:textId="77777777" w:rsidR="00C454B8" w:rsidRPr="007C2DCD" w:rsidRDefault="00C454B8" w:rsidP="00C454B8">
            <w:pPr>
              <w:pStyle w:val="Odstavecseseznamem"/>
              <w:spacing w:line="276" w:lineRule="auto"/>
              <w:ind w:left="454"/>
            </w:pPr>
          </w:p>
          <w:p w14:paraId="4FB10AFA" w14:textId="77777777" w:rsidR="00C454B8" w:rsidRPr="007C2DCD" w:rsidRDefault="00C454B8" w:rsidP="00C454B8">
            <w:pPr>
              <w:pStyle w:val="Odstavecseseznamem"/>
              <w:spacing w:line="276" w:lineRule="auto"/>
              <w:ind w:left="454"/>
              <w:rPr>
                <w:i/>
              </w:rPr>
            </w:pPr>
            <w:r w:rsidRPr="007C2DCD">
              <w:rPr>
                <w:i/>
              </w:rPr>
              <w:t>3.2.1.</w:t>
            </w:r>
            <w:r w:rsidRPr="007C2DCD">
              <w:t xml:space="preserve"> </w:t>
            </w:r>
            <w:r w:rsidRPr="007C2DCD">
              <w:rPr>
                <w:i/>
                <w:iCs/>
              </w:rPr>
              <w:t>Zajistit veškeré restaurátorské práce na Dílech na vlastí náklady a nebezpečí; nejpozději před předání Děl k přepravě připravit protokoly o stavu Děl; tím není dotčeno ustanovení čl. 3.1.14</w:t>
            </w:r>
            <w:r w:rsidR="00DB016A" w:rsidRPr="007C2DCD">
              <w:rPr>
                <w:i/>
                <w:iCs/>
              </w:rPr>
              <w:t xml:space="preserve"> této smlouvy</w:t>
            </w:r>
            <w:r w:rsidRPr="007C2DCD">
              <w:rPr>
                <w:i/>
                <w:iCs/>
              </w:rPr>
              <w:t>.</w:t>
            </w:r>
          </w:p>
        </w:tc>
        <w:tc>
          <w:tcPr>
            <w:tcW w:w="4536" w:type="dxa"/>
          </w:tcPr>
          <w:p w14:paraId="55FF05FD" w14:textId="77777777" w:rsidR="00C454B8" w:rsidRPr="007C2DCD" w:rsidRDefault="000A219A" w:rsidP="00537BA7">
            <w:pPr>
              <w:spacing w:line="276" w:lineRule="auto"/>
              <w:ind w:left="572" w:hanging="567"/>
              <w:rPr>
                <w:lang w:val="en-US"/>
              </w:rPr>
            </w:pPr>
            <w:r w:rsidRPr="007C2DCD">
              <w:rPr>
                <w:lang w:val="en-US"/>
              </w:rPr>
              <w:t>2.</w:t>
            </w:r>
            <w:r w:rsidR="00245BBB">
              <w:rPr>
                <w:lang w:val="en-US"/>
              </w:rPr>
              <w:t>6</w:t>
            </w:r>
            <w:r w:rsidR="00857116">
              <w:rPr>
                <w:lang w:val="en-US"/>
              </w:rPr>
              <w:t>.</w:t>
            </w:r>
            <w:r w:rsidR="00857116">
              <w:rPr>
                <w:lang w:val="en-US"/>
              </w:rPr>
              <w:tab/>
            </w:r>
            <w:r w:rsidRPr="007C2DCD">
              <w:rPr>
                <w:lang w:val="en-US"/>
              </w:rPr>
              <w:t>Article 3.2.1</w:t>
            </w:r>
            <w:r w:rsidR="00A93248" w:rsidRPr="007C2DCD">
              <w:rPr>
                <w:lang w:val="en-US"/>
              </w:rPr>
              <w:t>.</w:t>
            </w:r>
            <w:r w:rsidRPr="007C2DCD">
              <w:rPr>
                <w:lang w:val="en-US"/>
              </w:rPr>
              <w:t xml:space="preserve"> is supplemented by a sentence after the semicolon. The whole of Article 3.2.1</w:t>
            </w:r>
            <w:r w:rsidR="00A93248" w:rsidRPr="007C2DCD">
              <w:rPr>
                <w:lang w:val="en-US"/>
              </w:rPr>
              <w:t>.</w:t>
            </w:r>
            <w:r w:rsidRPr="007C2DCD">
              <w:rPr>
                <w:lang w:val="en-US"/>
              </w:rPr>
              <w:t xml:space="preserve"> reads as follows:</w:t>
            </w:r>
          </w:p>
          <w:p w14:paraId="3395ADB4" w14:textId="77777777" w:rsidR="00C57892" w:rsidRPr="007C2DCD" w:rsidRDefault="00C454B8" w:rsidP="00C454B8">
            <w:pPr>
              <w:spacing w:line="276" w:lineRule="auto"/>
              <w:ind w:left="572" w:hanging="567"/>
              <w:rPr>
                <w:i/>
                <w:iCs/>
                <w:lang w:val="en-US"/>
              </w:rPr>
            </w:pPr>
            <w:r w:rsidRPr="007C2DCD">
              <w:rPr>
                <w:i/>
                <w:iCs/>
                <w:lang w:val="en-US"/>
              </w:rPr>
              <w:t>3.2.1. To secure all restoration works on the Works at its own expense and risk; draft the Work status reports not later than on the handover of the Works to the transporter;</w:t>
            </w:r>
            <w:r w:rsidRPr="007C2DCD">
              <w:t xml:space="preserve"> </w:t>
            </w:r>
            <w:r w:rsidRPr="00857116">
              <w:rPr>
                <w:i/>
              </w:rPr>
              <w:t>t</w:t>
            </w:r>
            <w:r w:rsidRPr="007C2DCD">
              <w:rPr>
                <w:i/>
                <w:iCs/>
                <w:lang w:val="en-US"/>
              </w:rPr>
              <w:t>his does not affect the provisions of Article 3.1.14</w:t>
            </w:r>
            <w:r w:rsidR="00DB016A" w:rsidRPr="007C2DCD">
              <w:rPr>
                <w:i/>
                <w:iCs/>
                <w:lang w:val="en-US"/>
              </w:rPr>
              <w:t xml:space="preserve"> hereof</w:t>
            </w:r>
            <w:r w:rsidRPr="007C2DCD">
              <w:rPr>
                <w:i/>
                <w:iCs/>
                <w:lang w:val="en-US"/>
              </w:rPr>
              <w:t>.</w:t>
            </w:r>
          </w:p>
        </w:tc>
      </w:tr>
      <w:tr w:rsidR="00F9449A" w:rsidRPr="00D6519F" w14:paraId="03842567" w14:textId="77777777" w:rsidTr="00C96189">
        <w:tc>
          <w:tcPr>
            <w:tcW w:w="4673" w:type="dxa"/>
          </w:tcPr>
          <w:p w14:paraId="71EFD536" w14:textId="77777777" w:rsidR="00F9449A" w:rsidRDefault="00F9449A" w:rsidP="00F9449A">
            <w:pPr>
              <w:pStyle w:val="Odstavecseseznamem"/>
              <w:numPr>
                <w:ilvl w:val="1"/>
                <w:numId w:val="1"/>
              </w:numPr>
              <w:spacing w:line="276" w:lineRule="auto"/>
              <w:ind w:left="454" w:hanging="567"/>
            </w:pPr>
            <w:r>
              <w:t>Ostatní ustanovení Smlouvy o spolupráci tímto Dodatkem nedotčená zůstávají beze změny.</w:t>
            </w:r>
          </w:p>
        </w:tc>
        <w:tc>
          <w:tcPr>
            <w:tcW w:w="4536" w:type="dxa"/>
          </w:tcPr>
          <w:p w14:paraId="18D376E0" w14:textId="77777777" w:rsidR="00F9449A" w:rsidRPr="00DD783B" w:rsidRDefault="00F9449A" w:rsidP="00537BA7">
            <w:pPr>
              <w:spacing w:line="276" w:lineRule="auto"/>
              <w:ind w:left="572" w:hanging="567"/>
              <w:rPr>
                <w:lang w:val="en-US"/>
              </w:rPr>
            </w:pPr>
            <w:r w:rsidRPr="002D48EC">
              <w:rPr>
                <w:lang w:val="en-US"/>
              </w:rPr>
              <w:t>2.</w:t>
            </w:r>
            <w:r w:rsidR="00245BBB">
              <w:rPr>
                <w:lang w:val="en-US"/>
              </w:rPr>
              <w:t>7</w:t>
            </w:r>
            <w:r w:rsidRPr="002D48EC">
              <w:rPr>
                <w:lang w:val="en-US"/>
              </w:rPr>
              <w:t>.</w:t>
            </w:r>
            <w:r w:rsidR="008D1695">
              <w:rPr>
                <w:lang w:val="en-US"/>
              </w:rPr>
              <w:t xml:space="preserve">   </w:t>
            </w:r>
            <w:r w:rsidRPr="002D48EC">
              <w:rPr>
                <w:lang w:val="en-US"/>
              </w:rPr>
              <w:t xml:space="preserve"> The other provisions of the Cooperation Agreement remain unaffected by this </w:t>
            </w:r>
            <w:r w:rsidR="008D1695">
              <w:rPr>
                <w:lang w:val="en-US"/>
              </w:rPr>
              <w:t>Appendix</w:t>
            </w:r>
            <w:r w:rsidRPr="002D48EC">
              <w:rPr>
                <w:lang w:val="en-US"/>
              </w:rPr>
              <w:t>.</w:t>
            </w:r>
          </w:p>
        </w:tc>
      </w:tr>
      <w:tr w:rsidR="00076C64" w:rsidRPr="00D6519F" w14:paraId="04CCE0D5" w14:textId="77777777" w:rsidTr="00C96189">
        <w:tc>
          <w:tcPr>
            <w:tcW w:w="4673" w:type="dxa"/>
          </w:tcPr>
          <w:p w14:paraId="7F9B9277" w14:textId="77777777" w:rsidR="00076C64" w:rsidRPr="00A665AB" w:rsidRDefault="00076C64" w:rsidP="00746231">
            <w:pPr>
              <w:pStyle w:val="Odstavecseseznamem"/>
              <w:numPr>
                <w:ilvl w:val="0"/>
                <w:numId w:val="1"/>
              </w:numPr>
              <w:spacing w:line="276" w:lineRule="auto"/>
              <w:rPr>
                <w:b/>
              </w:rPr>
            </w:pPr>
            <w:r w:rsidRPr="00A665AB">
              <w:rPr>
                <w:b/>
              </w:rPr>
              <w:t>Závěrečná ustanovení</w:t>
            </w:r>
          </w:p>
        </w:tc>
        <w:tc>
          <w:tcPr>
            <w:tcW w:w="4536" w:type="dxa"/>
          </w:tcPr>
          <w:p w14:paraId="0E4EEC53" w14:textId="77777777" w:rsidR="00076C64" w:rsidRPr="00D6519F" w:rsidRDefault="00746231" w:rsidP="00FF7F04">
            <w:pPr>
              <w:spacing w:line="276" w:lineRule="auto"/>
              <w:ind w:left="430" w:hanging="425"/>
              <w:rPr>
                <w:lang w:val="en-US"/>
              </w:rPr>
            </w:pPr>
            <w:r>
              <w:rPr>
                <w:b/>
                <w:lang w:val="de-DE"/>
              </w:rPr>
              <w:t>3</w:t>
            </w:r>
            <w:r w:rsidR="00076C64" w:rsidRPr="00D6519F">
              <w:rPr>
                <w:b/>
                <w:lang w:val="de-DE"/>
              </w:rPr>
              <w:t>.</w:t>
            </w:r>
            <w:r w:rsidR="00BA1E73" w:rsidRPr="00D6519F">
              <w:rPr>
                <w:b/>
                <w:lang w:val="de-DE"/>
              </w:rPr>
              <w:tab/>
            </w:r>
            <w:r w:rsidR="00BA1E73" w:rsidRPr="00D6519F">
              <w:rPr>
                <w:b/>
                <w:lang w:val="en-US"/>
              </w:rPr>
              <w:t xml:space="preserve">Final </w:t>
            </w:r>
            <w:r w:rsidR="00805CD5" w:rsidRPr="00D6519F">
              <w:rPr>
                <w:b/>
                <w:lang w:val="en-US"/>
              </w:rPr>
              <w:t>provisions</w:t>
            </w:r>
          </w:p>
        </w:tc>
      </w:tr>
      <w:tr w:rsidR="00076C64" w:rsidRPr="00D6519F" w14:paraId="0F5B64FE" w14:textId="77777777" w:rsidTr="00C96189">
        <w:tc>
          <w:tcPr>
            <w:tcW w:w="4673" w:type="dxa"/>
          </w:tcPr>
          <w:p w14:paraId="42D9F317" w14:textId="77777777" w:rsidR="00076C64" w:rsidRPr="00D6519F" w:rsidRDefault="00746231" w:rsidP="001A5BFF">
            <w:pPr>
              <w:pStyle w:val="Odstavecseseznamem"/>
              <w:numPr>
                <w:ilvl w:val="1"/>
                <w:numId w:val="1"/>
              </w:numPr>
              <w:spacing w:line="276" w:lineRule="auto"/>
              <w:ind w:left="457" w:hanging="567"/>
            </w:pPr>
            <w:r>
              <w:t>Tento Dodatek nabývá</w:t>
            </w:r>
            <w:r w:rsidR="00076C64" w:rsidRPr="00D6519F">
              <w:t xml:space="preserve"> platnosti a účinnosti dnem podpisu oběma smluvními stranami. Pro p</w:t>
            </w:r>
            <w:r w:rsidR="001A5BFF">
              <w:t>řípad povinnosti uveřejnění tohoto</w:t>
            </w:r>
            <w:r w:rsidR="00076C64" w:rsidRPr="00D6519F">
              <w:t xml:space="preserve"> </w:t>
            </w:r>
            <w:r w:rsidR="001A5BFF">
              <w:t>Dodatku v registru smluv nabývá tento</w:t>
            </w:r>
            <w:r w:rsidR="00076C64" w:rsidRPr="00D6519F">
              <w:t xml:space="preserve"> </w:t>
            </w:r>
            <w:r w:rsidR="001A5BFF">
              <w:t>Dodatek</w:t>
            </w:r>
            <w:r w:rsidR="00076C64" w:rsidRPr="00D6519F">
              <w:t xml:space="preserve"> úč</w:t>
            </w:r>
            <w:r w:rsidR="001A5BFF">
              <w:t>innosti dnem jeho</w:t>
            </w:r>
            <w:r w:rsidR="00076C64" w:rsidRPr="00D6519F">
              <w:t xml:space="preserve"> uveřejnění.</w:t>
            </w:r>
          </w:p>
        </w:tc>
        <w:tc>
          <w:tcPr>
            <w:tcW w:w="4536" w:type="dxa"/>
          </w:tcPr>
          <w:p w14:paraId="3E4F9D89" w14:textId="77777777" w:rsidR="00076C64" w:rsidRPr="00D6519F" w:rsidRDefault="004C52AE" w:rsidP="00FF7F04">
            <w:pPr>
              <w:spacing w:line="276" w:lineRule="auto"/>
              <w:ind w:left="572" w:hanging="567"/>
              <w:rPr>
                <w:lang w:val="en-US"/>
              </w:rPr>
            </w:pPr>
            <w:r>
              <w:rPr>
                <w:lang w:val="en-US"/>
              </w:rPr>
              <w:t>3.1</w:t>
            </w:r>
            <w:r w:rsidR="00BA1E73" w:rsidRPr="00AF6194">
              <w:rPr>
                <w:lang w:val="en-US"/>
              </w:rPr>
              <w:t>.</w:t>
            </w:r>
            <w:r w:rsidR="00BA1E73" w:rsidRPr="00AF6194">
              <w:rPr>
                <w:lang w:val="en-US"/>
              </w:rPr>
              <w:tab/>
            </w:r>
            <w:r w:rsidR="00BA1E73" w:rsidRPr="00D6519F">
              <w:rPr>
                <w:lang w:val="en-US"/>
              </w:rPr>
              <w:t xml:space="preserve">This </w:t>
            </w:r>
            <w:r w:rsidR="00CB60C8">
              <w:rPr>
                <w:lang w:val="en-US"/>
              </w:rPr>
              <w:t>Appendix</w:t>
            </w:r>
            <w:r w:rsidR="00BA1E73" w:rsidRPr="00D6519F">
              <w:rPr>
                <w:lang w:val="en-US"/>
              </w:rPr>
              <w:t xml:space="preserve"> shall be valid and effective as of the day of being signed by both parties hereto. </w:t>
            </w:r>
            <w:r w:rsidR="00270BE3" w:rsidRPr="00D6519F">
              <w:rPr>
                <w:lang w:val="en-US"/>
              </w:rPr>
              <w:t xml:space="preserve">If this </w:t>
            </w:r>
            <w:r w:rsidR="001A5BFF">
              <w:rPr>
                <w:lang w:val="en-US"/>
              </w:rPr>
              <w:t>Appendix</w:t>
            </w:r>
            <w:r w:rsidR="00270BE3" w:rsidRPr="00D6519F">
              <w:rPr>
                <w:lang w:val="en-US"/>
              </w:rPr>
              <w:t xml:space="preserve"> needs to be published in the Register of Contracts, it shall not be effective until thus published. </w:t>
            </w:r>
          </w:p>
        </w:tc>
      </w:tr>
      <w:tr w:rsidR="00076C64" w:rsidRPr="00D6519F" w14:paraId="4578B171" w14:textId="77777777" w:rsidTr="00C96189">
        <w:tc>
          <w:tcPr>
            <w:tcW w:w="4673" w:type="dxa"/>
          </w:tcPr>
          <w:p w14:paraId="403E1E0B" w14:textId="77777777" w:rsidR="00076C64" w:rsidRPr="00D6519F" w:rsidRDefault="00076C64" w:rsidP="001A5BFF">
            <w:pPr>
              <w:pStyle w:val="Odstavecseseznamem"/>
              <w:numPr>
                <w:ilvl w:val="1"/>
                <w:numId w:val="1"/>
              </w:numPr>
              <w:spacing w:line="276" w:lineRule="auto"/>
              <w:ind w:left="457" w:hanging="567"/>
            </w:pPr>
            <w:r w:rsidRPr="00D6519F">
              <w:t xml:space="preserve">Pro případ povinnosti uveřejnění </w:t>
            </w:r>
            <w:r w:rsidR="007D3194">
              <w:t>tohoto Dodatku</w:t>
            </w:r>
            <w:r w:rsidRPr="00D6519F">
              <w:t xml:space="preserve"> dle zákona č. 340/2015 Sb., o zvláštních podmínkách účinnosti některých smluv, uveřejňování těchto smluv a o registru smluv (zákon o registru smluv) smluvní strany sjednávají, že uveřejnění provede NGP. Obě strany berou na vědomí, že nebudou uveřejněny pouze ty informace, které nelze poskytnout podle předpisů upravujících svobodný přístup k informacím. Považuje-li druhá smluvní strana některé </w:t>
            </w:r>
            <w:r w:rsidR="001A5BFF">
              <w:t>informace uvedené v tomto</w:t>
            </w:r>
            <w:r w:rsidRPr="00D6519F">
              <w:t xml:space="preserve"> </w:t>
            </w:r>
            <w:r w:rsidR="001A5BFF">
              <w:t>Dodatku</w:t>
            </w:r>
            <w:r w:rsidRPr="00D6519F">
              <w:t xml:space="preserve"> za </w:t>
            </w:r>
            <w:r w:rsidRPr="00D6519F">
              <w:lastRenderedPageBreak/>
              <w:t xml:space="preserve">informace, které nemají být uveřejněny v registru smluv dle zákona o registru smluv, je povinna na to NGP současně s uzavřením </w:t>
            </w:r>
            <w:r w:rsidR="007D3194">
              <w:t xml:space="preserve">tohoto </w:t>
            </w:r>
            <w:r w:rsidR="001A5BFF">
              <w:t>Dodatku</w:t>
            </w:r>
            <w:r w:rsidRPr="00D6519F">
              <w:t xml:space="preserve"> písemně upozornit. Druhá smluvní strana výslovně souhlasí s tím, že NGP v případě pochybností o tom, zda j</w:t>
            </w:r>
            <w:r w:rsidR="001A5BFF">
              <w:t>e dána povinnost uveřejnění tohoto</w:t>
            </w:r>
            <w:r w:rsidRPr="00D6519F">
              <w:t xml:space="preserve"> </w:t>
            </w:r>
            <w:r w:rsidR="001A5BFF">
              <w:t>Dodatku v registru smluv, tento</w:t>
            </w:r>
            <w:r w:rsidRPr="00D6519F">
              <w:t xml:space="preserve"> </w:t>
            </w:r>
            <w:r w:rsidR="001A5BFF">
              <w:t>Dodatek</w:t>
            </w:r>
            <w:r w:rsidRPr="00D6519F">
              <w:t xml:space="preserve"> v zájmu transparentnosti a právní jistoty uveřejní.</w:t>
            </w:r>
          </w:p>
        </w:tc>
        <w:tc>
          <w:tcPr>
            <w:tcW w:w="4536" w:type="dxa"/>
          </w:tcPr>
          <w:p w14:paraId="2A13678F" w14:textId="77777777" w:rsidR="001A5BFF" w:rsidRPr="00D6519F" w:rsidRDefault="004C52AE" w:rsidP="001A5BFF">
            <w:pPr>
              <w:spacing w:line="276" w:lineRule="auto"/>
              <w:ind w:left="572" w:hanging="567"/>
              <w:rPr>
                <w:lang w:val="en-US"/>
              </w:rPr>
            </w:pPr>
            <w:r>
              <w:rPr>
                <w:lang w:val="en-US"/>
              </w:rPr>
              <w:lastRenderedPageBreak/>
              <w:t>3.2</w:t>
            </w:r>
            <w:r w:rsidR="00076C64" w:rsidRPr="00AF6194">
              <w:rPr>
                <w:lang w:val="en-US"/>
              </w:rPr>
              <w:t>.</w:t>
            </w:r>
            <w:r w:rsidR="00076C64" w:rsidRPr="00AF6194">
              <w:rPr>
                <w:lang w:val="en-US"/>
              </w:rPr>
              <w:tab/>
            </w:r>
            <w:r w:rsidR="00270BE3" w:rsidRPr="00D6519F">
              <w:rPr>
                <w:lang w:val="en-US"/>
              </w:rPr>
              <w:t xml:space="preserve">For the case that this </w:t>
            </w:r>
            <w:r w:rsidR="001A5BFF">
              <w:rPr>
                <w:lang w:val="en-US"/>
              </w:rPr>
              <w:t>Appendix</w:t>
            </w:r>
            <w:r w:rsidR="00270BE3" w:rsidRPr="00D6519F">
              <w:rPr>
                <w:lang w:val="en-US"/>
              </w:rPr>
              <w:t xml:space="preserve"> needs to be published according to Act no. 340/2015 Coll., on special terms of effect of certain contracts, publication of such contracts and the register of contracts (Register of Contracts Act), the parties have agreed that NGP shall be the one to carry out the publication. Both parties acknowledge that only information not allowed for disclosure by legislation governing free access to information shall not be disclosed. If the other party considers any </w:t>
            </w:r>
            <w:r w:rsidR="00270BE3" w:rsidRPr="00D6519F">
              <w:rPr>
                <w:lang w:val="en-US"/>
              </w:rPr>
              <w:lastRenderedPageBreak/>
              <w:t xml:space="preserve">information herein contained to be information not to be published in the register of contracts according to the Register of Contracts Act, such party shall notify NGP in writing together with signing of this </w:t>
            </w:r>
            <w:r w:rsidR="001A5BFF" w:rsidRPr="001A5BFF">
              <w:rPr>
                <w:lang w:val="en-US"/>
              </w:rPr>
              <w:t>Appendix</w:t>
            </w:r>
            <w:r w:rsidR="00270BE3" w:rsidRPr="00D6519F">
              <w:rPr>
                <w:lang w:val="en-US"/>
              </w:rPr>
              <w:t xml:space="preserve">. The other party explicitly agrees that, in case of doubt, whether this </w:t>
            </w:r>
            <w:r w:rsidR="001A5BFF">
              <w:rPr>
                <w:lang w:val="en-US"/>
              </w:rPr>
              <w:t>Appendix</w:t>
            </w:r>
            <w:r w:rsidR="00270BE3" w:rsidRPr="00D6519F">
              <w:rPr>
                <w:lang w:val="en-US"/>
              </w:rPr>
              <w:t xml:space="preserve"> must be published in the register of contracts, NGP shall publish this </w:t>
            </w:r>
            <w:r w:rsidR="001A5BFF">
              <w:rPr>
                <w:lang w:val="en-US"/>
              </w:rPr>
              <w:t>Appendix</w:t>
            </w:r>
            <w:r w:rsidR="00270BE3" w:rsidRPr="00D6519F">
              <w:rPr>
                <w:lang w:val="en-US"/>
              </w:rPr>
              <w:t xml:space="preserve"> for the sake of transparency and legal certainty.</w:t>
            </w:r>
          </w:p>
        </w:tc>
      </w:tr>
      <w:tr w:rsidR="00076C64" w:rsidRPr="00D6519F" w14:paraId="1656E5E6" w14:textId="77777777" w:rsidTr="00C96189">
        <w:tc>
          <w:tcPr>
            <w:tcW w:w="4673" w:type="dxa"/>
          </w:tcPr>
          <w:p w14:paraId="423C0362" w14:textId="77777777" w:rsidR="00076C64" w:rsidRPr="00D6519F" w:rsidRDefault="00076C64" w:rsidP="004C52AE">
            <w:pPr>
              <w:pStyle w:val="Odstavecseseznamem"/>
              <w:numPr>
                <w:ilvl w:val="1"/>
                <w:numId w:val="1"/>
              </w:numPr>
              <w:spacing w:line="276" w:lineRule="auto"/>
              <w:ind w:left="457" w:hanging="567"/>
            </w:pPr>
            <w:r w:rsidRPr="00D6519F">
              <w:lastRenderedPageBreak/>
              <w:t xml:space="preserve">Tato </w:t>
            </w:r>
            <w:r w:rsidR="007D3194">
              <w:t>Dodatek</w:t>
            </w:r>
            <w:r w:rsidRPr="00D6519F">
              <w:t xml:space="preserve"> je vyhotoven ve dvou exemplářích s platností originálu v českém a </w:t>
            </w:r>
            <w:r w:rsidR="00FF528B" w:rsidRPr="00D6519F">
              <w:t>anglickém</w:t>
            </w:r>
            <w:r w:rsidRPr="00D6519F">
              <w:t xml:space="preserve"> jazyce. V případě rozporu mezi jednotlivými jazykovými verzemi má česká verze přednos</w:t>
            </w:r>
            <w:r w:rsidR="004C52AE">
              <w:t xml:space="preserve">t. </w:t>
            </w:r>
          </w:p>
        </w:tc>
        <w:tc>
          <w:tcPr>
            <w:tcW w:w="4536" w:type="dxa"/>
          </w:tcPr>
          <w:p w14:paraId="135A9D72" w14:textId="77777777" w:rsidR="00076C64" w:rsidRPr="00AF6194" w:rsidRDefault="004C52AE" w:rsidP="004C52AE">
            <w:pPr>
              <w:spacing w:line="276" w:lineRule="auto"/>
              <w:ind w:left="572" w:hanging="567"/>
              <w:rPr>
                <w:lang w:val="en-US"/>
              </w:rPr>
            </w:pPr>
            <w:r>
              <w:rPr>
                <w:lang w:val="en-US"/>
              </w:rPr>
              <w:t>3.3</w:t>
            </w:r>
            <w:r w:rsidR="00076C64" w:rsidRPr="00AF6194">
              <w:rPr>
                <w:lang w:val="en-US"/>
              </w:rPr>
              <w:t>.</w:t>
            </w:r>
            <w:r w:rsidR="00076C64" w:rsidRPr="00AF6194">
              <w:rPr>
                <w:lang w:val="en-US"/>
              </w:rPr>
              <w:tab/>
            </w:r>
            <w:r w:rsidR="00270BE3" w:rsidRPr="00D6519F">
              <w:rPr>
                <w:lang w:val="en-US"/>
              </w:rPr>
              <w:t xml:space="preserve">This </w:t>
            </w:r>
            <w:r>
              <w:rPr>
                <w:lang w:val="en-US"/>
              </w:rPr>
              <w:t>Appendix</w:t>
            </w:r>
            <w:r w:rsidR="00270BE3" w:rsidRPr="00D6519F">
              <w:rPr>
                <w:lang w:val="en-US"/>
              </w:rPr>
              <w:t xml:space="preserve"> is drafted in two counterparts with the validity of an original in Czech and English. In case of any discrepancies between the language versions, the Czech version shall prevail. </w:t>
            </w:r>
          </w:p>
        </w:tc>
      </w:tr>
      <w:tr w:rsidR="00076C64" w:rsidRPr="00D6519F" w14:paraId="395D1B31" w14:textId="77777777" w:rsidTr="00C96189">
        <w:tc>
          <w:tcPr>
            <w:tcW w:w="4673" w:type="dxa"/>
          </w:tcPr>
          <w:p w14:paraId="1EBE66F9" w14:textId="77777777" w:rsidR="00076C64" w:rsidRPr="00D6519F" w:rsidRDefault="00076C64" w:rsidP="004C52AE">
            <w:pPr>
              <w:pStyle w:val="Odstavecseseznamem"/>
              <w:numPr>
                <w:ilvl w:val="1"/>
                <w:numId w:val="1"/>
              </w:numPr>
              <w:spacing w:line="276" w:lineRule="auto"/>
              <w:ind w:left="457" w:hanging="567"/>
            </w:pPr>
            <w:r w:rsidRPr="00D6519F">
              <w:t xml:space="preserve">Smluvní strany prohlašují, že si </w:t>
            </w:r>
            <w:r w:rsidR="004C52AE">
              <w:t>tento D</w:t>
            </w:r>
            <w:r w:rsidR="007D3194">
              <w:t xml:space="preserve">odatek </w:t>
            </w:r>
            <w:r w:rsidRPr="00D6519F">
              <w:t>přečetly, že s je</w:t>
            </w:r>
            <w:r w:rsidR="007D3194">
              <w:t>ho</w:t>
            </w:r>
            <w:r w:rsidRPr="00D6519F">
              <w:t xml:space="preserve"> obsahem souhlasí a na důkaz toho k ní připojují svoje podpisy</w:t>
            </w:r>
          </w:p>
        </w:tc>
        <w:tc>
          <w:tcPr>
            <w:tcW w:w="4536" w:type="dxa"/>
          </w:tcPr>
          <w:p w14:paraId="09811DB3" w14:textId="77777777" w:rsidR="00076C64" w:rsidRPr="00D6519F" w:rsidRDefault="004C52AE" w:rsidP="004C52AE">
            <w:pPr>
              <w:spacing w:line="276" w:lineRule="auto"/>
              <w:ind w:left="572" w:hanging="567"/>
              <w:rPr>
                <w:lang w:val="en-US"/>
              </w:rPr>
            </w:pPr>
            <w:r>
              <w:rPr>
                <w:lang w:val="en-US"/>
              </w:rPr>
              <w:t>3.4</w:t>
            </w:r>
            <w:r w:rsidR="00076C64" w:rsidRPr="00AF6194">
              <w:rPr>
                <w:lang w:val="en-US"/>
              </w:rPr>
              <w:t>.</w:t>
            </w:r>
            <w:r w:rsidR="00076C64" w:rsidRPr="00AF6194">
              <w:rPr>
                <w:lang w:val="en-US"/>
              </w:rPr>
              <w:tab/>
            </w:r>
            <w:r w:rsidR="00F81550" w:rsidRPr="00D6519F">
              <w:rPr>
                <w:lang w:val="en-US"/>
              </w:rPr>
              <w:t xml:space="preserve">The parties declare to have read this </w:t>
            </w:r>
            <w:r>
              <w:rPr>
                <w:lang w:val="en-US"/>
              </w:rPr>
              <w:t>Appendix</w:t>
            </w:r>
            <w:r w:rsidR="00F81550" w:rsidRPr="00D6519F">
              <w:rPr>
                <w:lang w:val="en-US"/>
              </w:rPr>
              <w:t xml:space="preserve"> and agree to the content hereof, in testimony whereof the parties affix their signatures below. </w:t>
            </w:r>
          </w:p>
        </w:tc>
      </w:tr>
      <w:tr w:rsidR="00076C64" w:rsidRPr="00D6519F" w14:paraId="38E4D0E9" w14:textId="77777777" w:rsidTr="00C96189">
        <w:tc>
          <w:tcPr>
            <w:tcW w:w="4673" w:type="dxa"/>
          </w:tcPr>
          <w:p w14:paraId="43E9055C" w14:textId="77777777" w:rsidR="00076C64" w:rsidRPr="00AF6194" w:rsidRDefault="00076C64" w:rsidP="00FF7F04">
            <w:pPr>
              <w:pStyle w:val="Odstavecseseznamem"/>
              <w:spacing w:line="276" w:lineRule="auto"/>
              <w:ind w:left="792"/>
              <w:rPr>
                <w:snapToGrid w:val="0"/>
                <w:lang w:val="en-US"/>
              </w:rPr>
            </w:pPr>
          </w:p>
          <w:p w14:paraId="5D7F7D1A" w14:textId="77777777" w:rsidR="00076C64" w:rsidRPr="00D6519F" w:rsidRDefault="00076C64" w:rsidP="00FF7F04">
            <w:pPr>
              <w:pStyle w:val="Odstavecseseznamem"/>
              <w:spacing w:line="276" w:lineRule="auto"/>
              <w:ind w:left="792"/>
            </w:pPr>
            <w:r w:rsidRPr="00D6519F">
              <w:rPr>
                <w:snapToGrid w:val="0"/>
              </w:rPr>
              <w:t>V</w:t>
            </w:r>
            <w:r w:rsidR="00805CD5" w:rsidRPr="00D6519F">
              <w:rPr>
                <w:snapToGrid w:val="0"/>
              </w:rPr>
              <w:t> </w:t>
            </w:r>
            <w:r w:rsidRPr="00D6519F">
              <w:rPr>
                <w:snapToGrid w:val="0"/>
              </w:rPr>
              <w:t>Praze</w:t>
            </w:r>
            <w:r w:rsidR="00805CD5" w:rsidRPr="00D6519F">
              <w:rPr>
                <w:snapToGrid w:val="0"/>
              </w:rPr>
              <w:t>/In Prague</w:t>
            </w:r>
            <w:r w:rsidR="005276D1">
              <w:rPr>
                <w:snapToGrid w:val="0"/>
              </w:rPr>
              <w:t xml:space="preserve"> </w:t>
            </w:r>
            <w:r w:rsidRPr="00D6519F">
              <w:rPr>
                <w:snapToGrid w:val="0"/>
              </w:rPr>
              <w:t>dne</w:t>
            </w:r>
            <w:r w:rsidR="00805CD5" w:rsidRPr="00D6519F">
              <w:rPr>
                <w:snapToGrid w:val="0"/>
              </w:rPr>
              <w:t>/on</w:t>
            </w:r>
            <w:r w:rsidRPr="00D6519F">
              <w:rPr>
                <w:snapToGrid w:val="0"/>
              </w:rPr>
              <w:t xml:space="preserve"> ..............</w:t>
            </w:r>
          </w:p>
        </w:tc>
        <w:tc>
          <w:tcPr>
            <w:tcW w:w="4536" w:type="dxa"/>
          </w:tcPr>
          <w:p w14:paraId="7EEF30BF" w14:textId="77777777" w:rsidR="00076C64" w:rsidRPr="00AF6194" w:rsidRDefault="00076C64" w:rsidP="00FF7F04">
            <w:pPr>
              <w:spacing w:line="276" w:lineRule="auto"/>
              <w:rPr>
                <w:lang w:val="en-US"/>
              </w:rPr>
            </w:pPr>
          </w:p>
          <w:p w14:paraId="392E1B94" w14:textId="77777777" w:rsidR="00076C64" w:rsidRPr="00D6519F" w:rsidRDefault="00805CD5" w:rsidP="00805CD5">
            <w:pPr>
              <w:spacing w:line="276" w:lineRule="auto"/>
              <w:jc w:val="center"/>
              <w:rPr>
                <w:lang w:val="de-DE"/>
              </w:rPr>
            </w:pPr>
            <w:r w:rsidRPr="00D6519F">
              <w:rPr>
                <w:lang w:val="de-DE"/>
              </w:rPr>
              <w:t xml:space="preserve">V/In </w:t>
            </w:r>
            <w:r w:rsidR="00076C64" w:rsidRPr="00D6519F">
              <w:rPr>
                <w:lang w:val="de-DE"/>
              </w:rPr>
              <w:t xml:space="preserve">…………, </w:t>
            </w:r>
            <w:r w:rsidRPr="00D6519F">
              <w:rPr>
                <w:lang w:val="de-DE"/>
              </w:rPr>
              <w:t>dne/on</w:t>
            </w:r>
            <w:r w:rsidR="00076C64" w:rsidRPr="00D6519F">
              <w:rPr>
                <w:lang w:val="de-DE"/>
              </w:rPr>
              <w:t xml:space="preserve"> ..............</w:t>
            </w:r>
          </w:p>
        </w:tc>
      </w:tr>
      <w:tr w:rsidR="00076C64" w:rsidRPr="00D6519F" w14:paraId="5BAF0BE2" w14:textId="77777777" w:rsidTr="00C96189">
        <w:tc>
          <w:tcPr>
            <w:tcW w:w="9209" w:type="dxa"/>
            <w:gridSpan w:val="2"/>
          </w:tcPr>
          <w:p w14:paraId="3D2F53CF" w14:textId="77777777" w:rsidR="00076C64" w:rsidRPr="00D6519F" w:rsidRDefault="00076C64" w:rsidP="00FF7F04">
            <w:pPr>
              <w:spacing w:line="240" w:lineRule="auto"/>
              <w:jc w:val="center"/>
              <w:rPr>
                <w:lang w:val="de-DE"/>
              </w:rPr>
            </w:pPr>
          </w:p>
        </w:tc>
      </w:tr>
      <w:tr w:rsidR="00076C64" w:rsidRPr="00BF593F" w14:paraId="513C4CE7" w14:textId="77777777" w:rsidTr="00C96189">
        <w:tc>
          <w:tcPr>
            <w:tcW w:w="4673" w:type="dxa"/>
          </w:tcPr>
          <w:p w14:paraId="6567B537" w14:textId="77777777" w:rsidR="00076C64" w:rsidRPr="006E4C74" w:rsidRDefault="00076C64" w:rsidP="00FF7F04">
            <w:pPr>
              <w:jc w:val="left"/>
              <w:rPr>
                <w:lang w:val="it-IT"/>
              </w:rPr>
            </w:pPr>
          </w:p>
          <w:p w14:paraId="569FF032" w14:textId="77777777" w:rsidR="00076C64" w:rsidRPr="006E4C74" w:rsidRDefault="00076C64" w:rsidP="00FF7F04">
            <w:pPr>
              <w:jc w:val="center"/>
              <w:rPr>
                <w:lang w:val="it-IT"/>
              </w:rPr>
            </w:pPr>
            <w:r w:rsidRPr="006E4C74">
              <w:rPr>
                <w:lang w:val="it-IT"/>
              </w:rPr>
              <w:t>_________________________</w:t>
            </w:r>
          </w:p>
          <w:p w14:paraId="50CE999C" w14:textId="77777777" w:rsidR="00076C64" w:rsidRPr="006E4C74" w:rsidRDefault="00076C64" w:rsidP="00FF7F04">
            <w:pPr>
              <w:spacing w:line="240" w:lineRule="auto"/>
              <w:jc w:val="center"/>
              <w:rPr>
                <w:lang w:val="it-IT"/>
              </w:rPr>
            </w:pPr>
            <w:r w:rsidRPr="006E4C74">
              <w:rPr>
                <w:b/>
                <w:snapToGrid w:val="0"/>
                <w:lang w:val="it-IT"/>
              </w:rPr>
              <w:t>Národní galerie v Praze</w:t>
            </w:r>
          </w:p>
          <w:p w14:paraId="20E7E1A5" w14:textId="77777777" w:rsidR="00076C64" w:rsidRPr="006E4C74" w:rsidRDefault="004C52AE" w:rsidP="00FF7F04">
            <w:pPr>
              <w:spacing w:line="240" w:lineRule="auto"/>
              <w:jc w:val="center"/>
              <w:rPr>
                <w:lang w:val="it-IT"/>
              </w:rPr>
            </w:pPr>
            <w:r>
              <w:rPr>
                <w:lang w:val="it-IT"/>
              </w:rPr>
              <w:t>Alicja Knast</w:t>
            </w:r>
          </w:p>
          <w:p w14:paraId="7AC846F6" w14:textId="77777777" w:rsidR="00076C64" w:rsidRPr="00D6519F" w:rsidRDefault="00076C64" w:rsidP="00FF7F04">
            <w:pPr>
              <w:spacing w:line="240" w:lineRule="auto"/>
              <w:jc w:val="center"/>
              <w:rPr>
                <w:lang w:val="de-DE"/>
              </w:rPr>
            </w:pPr>
            <w:r w:rsidRPr="00D6519F">
              <w:t>Generální</w:t>
            </w:r>
            <w:r w:rsidR="005276D1">
              <w:t xml:space="preserve"> </w:t>
            </w:r>
            <w:r w:rsidRPr="00D6519F">
              <w:t>ředitelka</w:t>
            </w:r>
            <w:r w:rsidRPr="00D6519F">
              <w:rPr>
                <w:lang w:val="de-DE"/>
              </w:rPr>
              <w:t xml:space="preserve"> / </w:t>
            </w:r>
            <w:r w:rsidRPr="00D6519F">
              <w:rPr>
                <w:i/>
                <w:lang w:val="de-DE"/>
              </w:rPr>
              <w:t>General Dire</w:t>
            </w:r>
            <w:r w:rsidR="00C448AF" w:rsidRPr="00D6519F">
              <w:rPr>
                <w:i/>
                <w:lang w:val="de-DE"/>
              </w:rPr>
              <w:t>c</w:t>
            </w:r>
            <w:r w:rsidRPr="00D6519F">
              <w:rPr>
                <w:i/>
                <w:lang w:val="de-DE"/>
              </w:rPr>
              <w:t>tor</w:t>
            </w:r>
          </w:p>
        </w:tc>
        <w:tc>
          <w:tcPr>
            <w:tcW w:w="4536" w:type="dxa"/>
          </w:tcPr>
          <w:p w14:paraId="70574B44" w14:textId="77777777" w:rsidR="00076C64" w:rsidRPr="00D6519F" w:rsidRDefault="00076C64" w:rsidP="00FF7F04">
            <w:pPr>
              <w:jc w:val="left"/>
              <w:rPr>
                <w:lang w:val="de-DE"/>
              </w:rPr>
            </w:pPr>
          </w:p>
          <w:p w14:paraId="5FEF724D" w14:textId="77777777" w:rsidR="00076C64" w:rsidRPr="00D6519F" w:rsidRDefault="00076C64" w:rsidP="00FF7F04">
            <w:pPr>
              <w:jc w:val="center"/>
              <w:rPr>
                <w:lang w:val="de-DE"/>
              </w:rPr>
            </w:pPr>
            <w:r w:rsidRPr="00D6519F">
              <w:rPr>
                <w:lang w:val="de-DE"/>
              </w:rPr>
              <w:t>_______________________________</w:t>
            </w:r>
          </w:p>
          <w:p w14:paraId="0000E4E5" w14:textId="77777777" w:rsidR="00076C64" w:rsidRPr="00D6519F" w:rsidRDefault="00076C64" w:rsidP="00FF7F04">
            <w:pPr>
              <w:spacing w:line="240" w:lineRule="auto"/>
              <w:jc w:val="center"/>
              <w:rPr>
                <w:lang w:val="de-DE"/>
              </w:rPr>
            </w:pPr>
            <w:r w:rsidRPr="00D6519F">
              <w:rPr>
                <w:b/>
                <w:snapToGrid w:val="0"/>
                <w:szCs w:val="24"/>
                <w:lang w:val="de-DE"/>
              </w:rPr>
              <w:t>Museum Rietberg</w:t>
            </w:r>
            <w:r w:rsidR="00B713D9">
              <w:rPr>
                <w:b/>
                <w:snapToGrid w:val="0"/>
                <w:szCs w:val="24"/>
                <w:lang w:val="de-DE"/>
              </w:rPr>
              <w:t xml:space="preserve"> Zurich</w:t>
            </w:r>
          </w:p>
          <w:p w14:paraId="3D59CE67" w14:textId="77777777" w:rsidR="00722F00" w:rsidRPr="00D6519F" w:rsidRDefault="00722F00" w:rsidP="00FF7F04">
            <w:pPr>
              <w:spacing w:line="276" w:lineRule="auto"/>
              <w:jc w:val="center"/>
              <w:rPr>
                <w:snapToGrid w:val="0"/>
                <w:szCs w:val="24"/>
                <w:lang w:val="de-DE"/>
              </w:rPr>
            </w:pPr>
            <w:r w:rsidRPr="00D6519F">
              <w:t>Dr. Annette Bhagwati</w:t>
            </w:r>
          </w:p>
          <w:p w14:paraId="39501B83" w14:textId="77777777" w:rsidR="00076C64" w:rsidRPr="00FF7F04" w:rsidRDefault="00076C64" w:rsidP="00FF7F04">
            <w:pPr>
              <w:spacing w:line="240" w:lineRule="auto"/>
              <w:jc w:val="center"/>
              <w:rPr>
                <w:lang w:val="de-DE"/>
              </w:rPr>
            </w:pPr>
            <w:r w:rsidRPr="00D6519F">
              <w:t>Ředitel</w:t>
            </w:r>
            <w:r w:rsidR="005276D1">
              <w:t xml:space="preserve"> </w:t>
            </w:r>
            <w:r w:rsidRPr="00D6519F">
              <w:rPr>
                <w:i/>
                <w:lang w:val="de-DE"/>
              </w:rPr>
              <w:t>/</w:t>
            </w:r>
            <w:r w:rsidR="005276D1">
              <w:rPr>
                <w:i/>
                <w:lang w:val="de-DE"/>
              </w:rPr>
              <w:t xml:space="preserve"> </w:t>
            </w:r>
            <w:r w:rsidRPr="00D6519F">
              <w:rPr>
                <w:i/>
                <w:lang w:val="de-DE"/>
              </w:rPr>
              <w:t>Dire</w:t>
            </w:r>
            <w:r w:rsidR="00C448AF" w:rsidRPr="00D6519F">
              <w:rPr>
                <w:i/>
                <w:lang w:val="de-DE"/>
              </w:rPr>
              <w:t>c</w:t>
            </w:r>
            <w:r w:rsidRPr="00D6519F">
              <w:rPr>
                <w:i/>
                <w:lang w:val="de-DE"/>
              </w:rPr>
              <w:t>tor</w:t>
            </w:r>
          </w:p>
        </w:tc>
      </w:tr>
    </w:tbl>
    <w:p w14:paraId="115F0B5E" w14:textId="77777777" w:rsidR="00966742" w:rsidRDefault="00966742" w:rsidP="00E874ED"/>
    <w:sectPr w:rsidR="00966742" w:rsidSect="00FF2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76C"/>
    <w:multiLevelType w:val="hybridMultilevel"/>
    <w:tmpl w:val="6B82FB9C"/>
    <w:lvl w:ilvl="0" w:tplc="04050001">
      <w:start w:val="1"/>
      <w:numFmt w:val="bullet"/>
      <w:lvlText w:val=""/>
      <w:lvlJc w:val="left"/>
      <w:pPr>
        <w:ind w:left="924" w:hanging="360"/>
      </w:pPr>
      <w:rPr>
        <w:rFonts w:ascii="Symbol" w:hAnsi="Symbol" w:hint="default"/>
      </w:rPr>
    </w:lvl>
    <w:lvl w:ilvl="1" w:tplc="04050003" w:tentative="1">
      <w:start w:val="1"/>
      <w:numFmt w:val="bullet"/>
      <w:lvlText w:val="o"/>
      <w:lvlJc w:val="left"/>
      <w:pPr>
        <w:ind w:left="1644" w:hanging="360"/>
      </w:pPr>
      <w:rPr>
        <w:rFonts w:ascii="Courier New" w:hAnsi="Courier New" w:cs="Courier New" w:hint="default"/>
      </w:rPr>
    </w:lvl>
    <w:lvl w:ilvl="2" w:tplc="04050005" w:tentative="1">
      <w:start w:val="1"/>
      <w:numFmt w:val="bullet"/>
      <w:lvlText w:val=""/>
      <w:lvlJc w:val="left"/>
      <w:pPr>
        <w:ind w:left="2364" w:hanging="360"/>
      </w:pPr>
      <w:rPr>
        <w:rFonts w:ascii="Wingdings" w:hAnsi="Wingdings" w:hint="default"/>
      </w:rPr>
    </w:lvl>
    <w:lvl w:ilvl="3" w:tplc="04050001" w:tentative="1">
      <w:start w:val="1"/>
      <w:numFmt w:val="bullet"/>
      <w:lvlText w:val=""/>
      <w:lvlJc w:val="left"/>
      <w:pPr>
        <w:ind w:left="3084" w:hanging="360"/>
      </w:pPr>
      <w:rPr>
        <w:rFonts w:ascii="Symbol" w:hAnsi="Symbol" w:hint="default"/>
      </w:rPr>
    </w:lvl>
    <w:lvl w:ilvl="4" w:tplc="04050003" w:tentative="1">
      <w:start w:val="1"/>
      <w:numFmt w:val="bullet"/>
      <w:lvlText w:val="o"/>
      <w:lvlJc w:val="left"/>
      <w:pPr>
        <w:ind w:left="3804" w:hanging="360"/>
      </w:pPr>
      <w:rPr>
        <w:rFonts w:ascii="Courier New" w:hAnsi="Courier New" w:cs="Courier New" w:hint="default"/>
      </w:rPr>
    </w:lvl>
    <w:lvl w:ilvl="5" w:tplc="04050005" w:tentative="1">
      <w:start w:val="1"/>
      <w:numFmt w:val="bullet"/>
      <w:lvlText w:val=""/>
      <w:lvlJc w:val="left"/>
      <w:pPr>
        <w:ind w:left="4524" w:hanging="360"/>
      </w:pPr>
      <w:rPr>
        <w:rFonts w:ascii="Wingdings" w:hAnsi="Wingdings" w:hint="default"/>
      </w:rPr>
    </w:lvl>
    <w:lvl w:ilvl="6" w:tplc="04050001" w:tentative="1">
      <w:start w:val="1"/>
      <w:numFmt w:val="bullet"/>
      <w:lvlText w:val=""/>
      <w:lvlJc w:val="left"/>
      <w:pPr>
        <w:ind w:left="5244" w:hanging="360"/>
      </w:pPr>
      <w:rPr>
        <w:rFonts w:ascii="Symbol" w:hAnsi="Symbol" w:hint="default"/>
      </w:rPr>
    </w:lvl>
    <w:lvl w:ilvl="7" w:tplc="04050003" w:tentative="1">
      <w:start w:val="1"/>
      <w:numFmt w:val="bullet"/>
      <w:lvlText w:val="o"/>
      <w:lvlJc w:val="left"/>
      <w:pPr>
        <w:ind w:left="5964" w:hanging="360"/>
      </w:pPr>
      <w:rPr>
        <w:rFonts w:ascii="Courier New" w:hAnsi="Courier New" w:cs="Courier New" w:hint="default"/>
      </w:rPr>
    </w:lvl>
    <w:lvl w:ilvl="8" w:tplc="04050005" w:tentative="1">
      <w:start w:val="1"/>
      <w:numFmt w:val="bullet"/>
      <w:lvlText w:val=""/>
      <w:lvlJc w:val="left"/>
      <w:pPr>
        <w:ind w:left="6684" w:hanging="360"/>
      </w:pPr>
      <w:rPr>
        <w:rFonts w:ascii="Wingdings" w:hAnsi="Wingdings" w:hint="default"/>
      </w:rPr>
    </w:lvl>
  </w:abstractNum>
  <w:abstractNum w:abstractNumId="1" w15:restartNumberingAfterBreak="0">
    <w:nsid w:val="0DF531E9"/>
    <w:multiLevelType w:val="hybridMultilevel"/>
    <w:tmpl w:val="097AF7A6"/>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2" w15:restartNumberingAfterBreak="0">
    <w:nsid w:val="1D382E85"/>
    <w:multiLevelType w:val="hybridMultilevel"/>
    <w:tmpl w:val="14D81B10"/>
    <w:lvl w:ilvl="0" w:tplc="D1AC3874">
      <w:start w:val="1"/>
      <w:numFmt w:val="decimal"/>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3" w15:restartNumberingAfterBreak="0">
    <w:nsid w:val="1E107D86"/>
    <w:multiLevelType w:val="hybridMultilevel"/>
    <w:tmpl w:val="97344B3E"/>
    <w:lvl w:ilvl="0" w:tplc="04050001">
      <w:start w:val="1"/>
      <w:numFmt w:val="bullet"/>
      <w:lvlText w:val=""/>
      <w:lvlJc w:val="left"/>
      <w:pPr>
        <w:ind w:left="867" w:hanging="360"/>
      </w:pPr>
      <w:rPr>
        <w:rFonts w:ascii="Symbol" w:hAnsi="Symbol" w:hint="default"/>
      </w:rPr>
    </w:lvl>
    <w:lvl w:ilvl="1" w:tplc="04050003" w:tentative="1">
      <w:start w:val="1"/>
      <w:numFmt w:val="bullet"/>
      <w:lvlText w:val="o"/>
      <w:lvlJc w:val="left"/>
      <w:pPr>
        <w:ind w:left="1587" w:hanging="360"/>
      </w:pPr>
      <w:rPr>
        <w:rFonts w:ascii="Courier New" w:hAnsi="Courier New" w:cs="Courier New" w:hint="default"/>
      </w:rPr>
    </w:lvl>
    <w:lvl w:ilvl="2" w:tplc="04050005" w:tentative="1">
      <w:start w:val="1"/>
      <w:numFmt w:val="bullet"/>
      <w:lvlText w:val=""/>
      <w:lvlJc w:val="left"/>
      <w:pPr>
        <w:ind w:left="2307" w:hanging="360"/>
      </w:pPr>
      <w:rPr>
        <w:rFonts w:ascii="Wingdings" w:hAnsi="Wingdings" w:hint="default"/>
      </w:rPr>
    </w:lvl>
    <w:lvl w:ilvl="3" w:tplc="04050001" w:tentative="1">
      <w:start w:val="1"/>
      <w:numFmt w:val="bullet"/>
      <w:lvlText w:val=""/>
      <w:lvlJc w:val="left"/>
      <w:pPr>
        <w:ind w:left="3027" w:hanging="360"/>
      </w:pPr>
      <w:rPr>
        <w:rFonts w:ascii="Symbol" w:hAnsi="Symbol" w:hint="default"/>
      </w:rPr>
    </w:lvl>
    <w:lvl w:ilvl="4" w:tplc="04050003" w:tentative="1">
      <w:start w:val="1"/>
      <w:numFmt w:val="bullet"/>
      <w:lvlText w:val="o"/>
      <w:lvlJc w:val="left"/>
      <w:pPr>
        <w:ind w:left="3747" w:hanging="360"/>
      </w:pPr>
      <w:rPr>
        <w:rFonts w:ascii="Courier New" w:hAnsi="Courier New" w:cs="Courier New" w:hint="default"/>
      </w:rPr>
    </w:lvl>
    <w:lvl w:ilvl="5" w:tplc="04050005" w:tentative="1">
      <w:start w:val="1"/>
      <w:numFmt w:val="bullet"/>
      <w:lvlText w:val=""/>
      <w:lvlJc w:val="left"/>
      <w:pPr>
        <w:ind w:left="4467" w:hanging="360"/>
      </w:pPr>
      <w:rPr>
        <w:rFonts w:ascii="Wingdings" w:hAnsi="Wingdings" w:hint="default"/>
      </w:rPr>
    </w:lvl>
    <w:lvl w:ilvl="6" w:tplc="04050001" w:tentative="1">
      <w:start w:val="1"/>
      <w:numFmt w:val="bullet"/>
      <w:lvlText w:val=""/>
      <w:lvlJc w:val="left"/>
      <w:pPr>
        <w:ind w:left="5187" w:hanging="360"/>
      </w:pPr>
      <w:rPr>
        <w:rFonts w:ascii="Symbol" w:hAnsi="Symbol" w:hint="default"/>
      </w:rPr>
    </w:lvl>
    <w:lvl w:ilvl="7" w:tplc="04050003" w:tentative="1">
      <w:start w:val="1"/>
      <w:numFmt w:val="bullet"/>
      <w:lvlText w:val="o"/>
      <w:lvlJc w:val="left"/>
      <w:pPr>
        <w:ind w:left="5907" w:hanging="360"/>
      </w:pPr>
      <w:rPr>
        <w:rFonts w:ascii="Courier New" w:hAnsi="Courier New" w:cs="Courier New" w:hint="default"/>
      </w:rPr>
    </w:lvl>
    <w:lvl w:ilvl="8" w:tplc="04050005" w:tentative="1">
      <w:start w:val="1"/>
      <w:numFmt w:val="bullet"/>
      <w:lvlText w:val=""/>
      <w:lvlJc w:val="left"/>
      <w:pPr>
        <w:ind w:left="6627" w:hanging="360"/>
      </w:pPr>
      <w:rPr>
        <w:rFonts w:ascii="Wingdings" w:hAnsi="Wingdings" w:hint="default"/>
      </w:rPr>
    </w:lvl>
  </w:abstractNum>
  <w:abstractNum w:abstractNumId="4" w15:restartNumberingAfterBreak="0">
    <w:nsid w:val="221C3ABD"/>
    <w:multiLevelType w:val="multilevel"/>
    <w:tmpl w:val="D4681EBE"/>
    <w:lvl w:ilvl="0">
      <w:start w:val="4"/>
      <w:numFmt w:val="decimal"/>
      <w:lvlText w:val="%1."/>
      <w:lvlJc w:val="left"/>
      <w:pPr>
        <w:ind w:left="360" w:hanging="360"/>
      </w:pPr>
      <w:rPr>
        <w:rFonts w:hint="default"/>
        <w:b/>
      </w:rPr>
    </w:lvl>
    <w:lvl w:ilvl="1">
      <w:start w:val="1"/>
      <w:numFmt w:val="decimal"/>
      <w:lvlText w:val="%1.%2."/>
      <w:lvlJc w:val="left"/>
      <w:pPr>
        <w:ind w:left="454" w:hanging="454"/>
      </w:pPr>
      <w:rPr>
        <w:rFonts w:hint="default"/>
        <w:b w:val="0"/>
      </w:rPr>
    </w:lvl>
    <w:lvl w:ilvl="2">
      <w:start w:val="1"/>
      <w:numFmt w:val="decimal"/>
      <w:lvlText w:val="%1.%2.%3."/>
      <w:lvlJc w:val="left"/>
      <w:pPr>
        <w:ind w:left="794" w:hanging="79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57007F"/>
    <w:multiLevelType w:val="hybridMultilevel"/>
    <w:tmpl w:val="6FC67D80"/>
    <w:lvl w:ilvl="0" w:tplc="04050001">
      <w:start w:val="1"/>
      <w:numFmt w:val="bullet"/>
      <w:lvlText w:val=""/>
      <w:lvlJc w:val="left"/>
      <w:pPr>
        <w:ind w:left="867" w:hanging="360"/>
      </w:pPr>
      <w:rPr>
        <w:rFonts w:ascii="Symbol" w:hAnsi="Symbol" w:hint="default"/>
      </w:rPr>
    </w:lvl>
    <w:lvl w:ilvl="1" w:tplc="04050003" w:tentative="1">
      <w:start w:val="1"/>
      <w:numFmt w:val="bullet"/>
      <w:lvlText w:val="o"/>
      <w:lvlJc w:val="left"/>
      <w:pPr>
        <w:ind w:left="1587" w:hanging="360"/>
      </w:pPr>
      <w:rPr>
        <w:rFonts w:ascii="Courier New" w:hAnsi="Courier New" w:cs="Courier New" w:hint="default"/>
      </w:rPr>
    </w:lvl>
    <w:lvl w:ilvl="2" w:tplc="04050005" w:tentative="1">
      <w:start w:val="1"/>
      <w:numFmt w:val="bullet"/>
      <w:lvlText w:val=""/>
      <w:lvlJc w:val="left"/>
      <w:pPr>
        <w:ind w:left="2307" w:hanging="360"/>
      </w:pPr>
      <w:rPr>
        <w:rFonts w:ascii="Wingdings" w:hAnsi="Wingdings" w:hint="default"/>
      </w:rPr>
    </w:lvl>
    <w:lvl w:ilvl="3" w:tplc="04050001" w:tentative="1">
      <w:start w:val="1"/>
      <w:numFmt w:val="bullet"/>
      <w:lvlText w:val=""/>
      <w:lvlJc w:val="left"/>
      <w:pPr>
        <w:ind w:left="3027" w:hanging="360"/>
      </w:pPr>
      <w:rPr>
        <w:rFonts w:ascii="Symbol" w:hAnsi="Symbol" w:hint="default"/>
      </w:rPr>
    </w:lvl>
    <w:lvl w:ilvl="4" w:tplc="04050003" w:tentative="1">
      <w:start w:val="1"/>
      <w:numFmt w:val="bullet"/>
      <w:lvlText w:val="o"/>
      <w:lvlJc w:val="left"/>
      <w:pPr>
        <w:ind w:left="3747" w:hanging="360"/>
      </w:pPr>
      <w:rPr>
        <w:rFonts w:ascii="Courier New" w:hAnsi="Courier New" w:cs="Courier New" w:hint="default"/>
      </w:rPr>
    </w:lvl>
    <w:lvl w:ilvl="5" w:tplc="04050005" w:tentative="1">
      <w:start w:val="1"/>
      <w:numFmt w:val="bullet"/>
      <w:lvlText w:val=""/>
      <w:lvlJc w:val="left"/>
      <w:pPr>
        <w:ind w:left="4467" w:hanging="360"/>
      </w:pPr>
      <w:rPr>
        <w:rFonts w:ascii="Wingdings" w:hAnsi="Wingdings" w:hint="default"/>
      </w:rPr>
    </w:lvl>
    <w:lvl w:ilvl="6" w:tplc="04050001" w:tentative="1">
      <w:start w:val="1"/>
      <w:numFmt w:val="bullet"/>
      <w:lvlText w:val=""/>
      <w:lvlJc w:val="left"/>
      <w:pPr>
        <w:ind w:left="5187" w:hanging="360"/>
      </w:pPr>
      <w:rPr>
        <w:rFonts w:ascii="Symbol" w:hAnsi="Symbol" w:hint="default"/>
      </w:rPr>
    </w:lvl>
    <w:lvl w:ilvl="7" w:tplc="04050003" w:tentative="1">
      <w:start w:val="1"/>
      <w:numFmt w:val="bullet"/>
      <w:lvlText w:val="o"/>
      <w:lvlJc w:val="left"/>
      <w:pPr>
        <w:ind w:left="5907" w:hanging="360"/>
      </w:pPr>
      <w:rPr>
        <w:rFonts w:ascii="Courier New" w:hAnsi="Courier New" w:cs="Courier New" w:hint="default"/>
      </w:rPr>
    </w:lvl>
    <w:lvl w:ilvl="8" w:tplc="04050005" w:tentative="1">
      <w:start w:val="1"/>
      <w:numFmt w:val="bullet"/>
      <w:lvlText w:val=""/>
      <w:lvlJc w:val="left"/>
      <w:pPr>
        <w:ind w:left="6627" w:hanging="360"/>
      </w:pPr>
      <w:rPr>
        <w:rFonts w:ascii="Wingdings" w:hAnsi="Wingdings" w:hint="default"/>
      </w:rPr>
    </w:lvl>
  </w:abstractNum>
  <w:abstractNum w:abstractNumId="6" w15:restartNumberingAfterBreak="0">
    <w:nsid w:val="2B784B59"/>
    <w:multiLevelType w:val="hybridMultilevel"/>
    <w:tmpl w:val="AFACF5D4"/>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7" w15:restartNumberingAfterBreak="0">
    <w:nsid w:val="3A033729"/>
    <w:multiLevelType w:val="multilevel"/>
    <w:tmpl w:val="48A4077E"/>
    <w:lvl w:ilvl="0">
      <w:start w:val="3"/>
      <w:numFmt w:val="decimal"/>
      <w:lvlText w:val="%1."/>
      <w:lvlJc w:val="left"/>
      <w:pPr>
        <w:ind w:left="360" w:hanging="360"/>
      </w:pPr>
      <w:rPr>
        <w:rFonts w:hint="default"/>
        <w:b/>
      </w:rPr>
    </w:lvl>
    <w:lvl w:ilvl="1">
      <w:start w:val="1"/>
      <w:numFmt w:val="decimal"/>
      <w:lvlText w:val="%1.%2."/>
      <w:lvlJc w:val="left"/>
      <w:pPr>
        <w:ind w:left="1992" w:hanging="432"/>
      </w:pPr>
      <w:rPr>
        <w:rFonts w:hint="default"/>
        <w:b w:val="0"/>
      </w:rPr>
    </w:lvl>
    <w:lvl w:ilvl="2">
      <w:start w:val="3"/>
      <w:numFmt w:val="decimal"/>
      <w:lvlText w:val="%1.%2.%3."/>
      <w:lvlJc w:val="left"/>
      <w:pPr>
        <w:ind w:left="794" w:hanging="79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68184D"/>
    <w:multiLevelType w:val="hybridMultilevel"/>
    <w:tmpl w:val="253E1506"/>
    <w:lvl w:ilvl="0" w:tplc="9C9A43E6">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9E8161F"/>
    <w:multiLevelType w:val="hybridMultilevel"/>
    <w:tmpl w:val="9464465C"/>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0" w15:restartNumberingAfterBreak="0">
    <w:nsid w:val="50D42076"/>
    <w:multiLevelType w:val="multilevel"/>
    <w:tmpl w:val="41A25288"/>
    <w:lvl w:ilvl="0">
      <w:start w:val="3"/>
      <w:numFmt w:val="decimal"/>
      <w:lvlText w:val="%1."/>
      <w:lvlJc w:val="left"/>
      <w:pPr>
        <w:ind w:left="360" w:hanging="360"/>
      </w:pPr>
      <w:rPr>
        <w:rFonts w:hint="default"/>
        <w:b/>
      </w:rPr>
    </w:lvl>
    <w:lvl w:ilvl="1">
      <w:start w:val="2"/>
      <w:numFmt w:val="decimal"/>
      <w:lvlText w:val="%1.%2."/>
      <w:lvlJc w:val="left"/>
      <w:pPr>
        <w:ind w:left="1992" w:hanging="432"/>
      </w:pPr>
      <w:rPr>
        <w:rFonts w:hint="default"/>
        <w:b w:val="0"/>
      </w:rPr>
    </w:lvl>
    <w:lvl w:ilvl="2">
      <w:start w:val="1"/>
      <w:numFmt w:val="decimal"/>
      <w:lvlText w:val="%1.%2.%3."/>
      <w:lvlJc w:val="left"/>
      <w:pPr>
        <w:ind w:left="794" w:hanging="79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3674AE7"/>
    <w:multiLevelType w:val="hybridMultilevel"/>
    <w:tmpl w:val="ABF08FA2"/>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2" w15:restartNumberingAfterBreak="0">
    <w:nsid w:val="6EC952E6"/>
    <w:multiLevelType w:val="multilevel"/>
    <w:tmpl w:val="62328866"/>
    <w:lvl w:ilvl="0">
      <w:start w:val="1"/>
      <w:numFmt w:val="decimal"/>
      <w:lvlText w:val="%1."/>
      <w:lvlJc w:val="left"/>
      <w:pPr>
        <w:ind w:left="360" w:hanging="360"/>
      </w:pPr>
      <w:rPr>
        <w:b/>
      </w:rPr>
    </w:lvl>
    <w:lvl w:ilvl="1">
      <w:start w:val="1"/>
      <w:numFmt w:val="decimal"/>
      <w:lvlText w:val="%1.%2."/>
      <w:lvlJc w:val="left"/>
      <w:pPr>
        <w:ind w:left="1992" w:hanging="432"/>
      </w:pPr>
      <w:rPr>
        <w:b w:val="0"/>
      </w:rPr>
    </w:lvl>
    <w:lvl w:ilvl="2">
      <w:start w:val="1"/>
      <w:numFmt w:val="decimal"/>
      <w:lvlText w:val="%1.%2.%3."/>
      <w:lvlJc w:val="left"/>
      <w:pPr>
        <w:ind w:left="135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
  </w:num>
  <w:num w:numId="3">
    <w:abstractNumId w:val="11"/>
  </w:num>
  <w:num w:numId="4">
    <w:abstractNumId w:val="6"/>
  </w:num>
  <w:num w:numId="5">
    <w:abstractNumId w:val="9"/>
  </w:num>
  <w:num w:numId="6">
    <w:abstractNumId w:val="8"/>
  </w:num>
  <w:num w:numId="7">
    <w:abstractNumId w:val="3"/>
  </w:num>
  <w:num w:numId="8">
    <w:abstractNumId w:val="0"/>
  </w:num>
  <w:num w:numId="9">
    <w:abstractNumId w:val="5"/>
  </w:num>
  <w:num w:numId="10">
    <w:abstractNumId w:val="2"/>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en-AU" w:vendorID="64" w:dllVersion="6" w:nlCheck="1" w:checkStyle="1"/>
  <w:activeWritingStyle w:appName="MSWord" w:lang="de-CH" w:vendorID="64" w:dllVersion="6" w:nlCheck="1" w:checkStyle="0"/>
  <w:activeWritingStyle w:appName="MSWord" w:lang="es-PE" w:vendorID="64" w:dllVersion="6" w:nlCheck="1" w:checkStyle="0"/>
  <w:activeWritingStyle w:appName="MSWord" w:lang="en-IN" w:vendorID="64" w:dllVersion="6" w:nlCheck="1" w:checkStyle="1"/>
  <w:activeWritingStyle w:appName="MSWord" w:lang="en-US" w:vendorID="64" w:dllVersion="4096" w:nlCheck="1" w:checkStyle="0"/>
  <w:activeWritingStyle w:appName="MSWord" w:lang="cs-CZ" w:vendorID="64" w:dllVersion="4096" w:nlCheck="1" w:checkStyle="0"/>
  <w:activeWritingStyle w:appName="MSWord" w:lang="en-AU" w:vendorID="64" w:dllVersion="4096" w:nlCheck="1" w:checkStyle="0"/>
  <w:activeWritingStyle w:appName="MSWord" w:lang="en-IN" w:vendorID="64" w:dllVersion="4096" w:nlCheck="1" w:checkStyle="0"/>
  <w:activeWritingStyle w:appName="MSWord" w:lang="en-GB" w:vendorID="64" w:dllVersion="6" w:nlCheck="1" w:checkStyle="1"/>
  <w:activeWritingStyle w:appName="MSWord" w:lang="cs-CZ"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it-IT" w:vendorID="64" w:dllVersion="131078" w:nlCheck="1" w:checkStyle="0"/>
  <w:activeWritingStyle w:appName="MSWord" w:lang="en-BZ"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64"/>
    <w:rsid w:val="00003979"/>
    <w:rsid w:val="000100C8"/>
    <w:rsid w:val="000231EE"/>
    <w:rsid w:val="00030934"/>
    <w:rsid w:val="000350B0"/>
    <w:rsid w:val="000408EC"/>
    <w:rsid w:val="00051C6A"/>
    <w:rsid w:val="00054BC1"/>
    <w:rsid w:val="000561AD"/>
    <w:rsid w:val="00060FC1"/>
    <w:rsid w:val="0006463F"/>
    <w:rsid w:val="00076C64"/>
    <w:rsid w:val="000832B8"/>
    <w:rsid w:val="00090315"/>
    <w:rsid w:val="00096141"/>
    <w:rsid w:val="000A0446"/>
    <w:rsid w:val="000A219A"/>
    <w:rsid w:val="000A6DD5"/>
    <w:rsid w:val="000A70C6"/>
    <w:rsid w:val="000A7FC1"/>
    <w:rsid w:val="000B0C8D"/>
    <w:rsid w:val="000B4684"/>
    <w:rsid w:val="000B52F3"/>
    <w:rsid w:val="000B62E5"/>
    <w:rsid w:val="000C57A6"/>
    <w:rsid w:val="000C666B"/>
    <w:rsid w:val="000C77E0"/>
    <w:rsid w:val="000D2F6D"/>
    <w:rsid w:val="000F0002"/>
    <w:rsid w:val="00105C1C"/>
    <w:rsid w:val="00107206"/>
    <w:rsid w:val="00107E74"/>
    <w:rsid w:val="00111872"/>
    <w:rsid w:val="0011748B"/>
    <w:rsid w:val="001244E5"/>
    <w:rsid w:val="001353CF"/>
    <w:rsid w:val="001366DB"/>
    <w:rsid w:val="00136D60"/>
    <w:rsid w:val="00164BEC"/>
    <w:rsid w:val="001659AB"/>
    <w:rsid w:val="001754C4"/>
    <w:rsid w:val="0017606D"/>
    <w:rsid w:val="00177E39"/>
    <w:rsid w:val="00191FFB"/>
    <w:rsid w:val="0019467C"/>
    <w:rsid w:val="00197051"/>
    <w:rsid w:val="001A37EC"/>
    <w:rsid w:val="001A5BFF"/>
    <w:rsid w:val="001B7598"/>
    <w:rsid w:val="001C2DC3"/>
    <w:rsid w:val="001C4805"/>
    <w:rsid w:val="001C6BE9"/>
    <w:rsid w:val="001D044F"/>
    <w:rsid w:val="0020185F"/>
    <w:rsid w:val="0021161E"/>
    <w:rsid w:val="0022188A"/>
    <w:rsid w:val="00222A48"/>
    <w:rsid w:val="002259CE"/>
    <w:rsid w:val="0023212B"/>
    <w:rsid w:val="002410F0"/>
    <w:rsid w:val="0024243A"/>
    <w:rsid w:val="00245BBB"/>
    <w:rsid w:val="00254507"/>
    <w:rsid w:val="00266835"/>
    <w:rsid w:val="00270BE3"/>
    <w:rsid w:val="002726CE"/>
    <w:rsid w:val="00275CF1"/>
    <w:rsid w:val="00276BE4"/>
    <w:rsid w:val="002800B1"/>
    <w:rsid w:val="0028702F"/>
    <w:rsid w:val="002A1473"/>
    <w:rsid w:val="002A155A"/>
    <w:rsid w:val="002A1A66"/>
    <w:rsid w:val="002B2593"/>
    <w:rsid w:val="002B3A41"/>
    <w:rsid w:val="002C64BF"/>
    <w:rsid w:val="002D3E68"/>
    <w:rsid w:val="002D48EC"/>
    <w:rsid w:val="002D52D9"/>
    <w:rsid w:val="002D58B6"/>
    <w:rsid w:val="002E0BD3"/>
    <w:rsid w:val="002E3F4E"/>
    <w:rsid w:val="002E4D8A"/>
    <w:rsid w:val="002E7BA0"/>
    <w:rsid w:val="002F6763"/>
    <w:rsid w:val="003055C5"/>
    <w:rsid w:val="00310C2D"/>
    <w:rsid w:val="003208B6"/>
    <w:rsid w:val="00332BED"/>
    <w:rsid w:val="00334597"/>
    <w:rsid w:val="003352CB"/>
    <w:rsid w:val="00340594"/>
    <w:rsid w:val="003429DC"/>
    <w:rsid w:val="0034340B"/>
    <w:rsid w:val="003472B9"/>
    <w:rsid w:val="00347D3D"/>
    <w:rsid w:val="0035030D"/>
    <w:rsid w:val="00352ACF"/>
    <w:rsid w:val="003628AA"/>
    <w:rsid w:val="0036644A"/>
    <w:rsid w:val="00370C20"/>
    <w:rsid w:val="00373B76"/>
    <w:rsid w:val="00376465"/>
    <w:rsid w:val="0038292C"/>
    <w:rsid w:val="00390E0B"/>
    <w:rsid w:val="003948E7"/>
    <w:rsid w:val="00396870"/>
    <w:rsid w:val="003A2754"/>
    <w:rsid w:val="003B1712"/>
    <w:rsid w:val="003B3F39"/>
    <w:rsid w:val="003B49FE"/>
    <w:rsid w:val="003C1C93"/>
    <w:rsid w:val="003C5337"/>
    <w:rsid w:val="003D4871"/>
    <w:rsid w:val="003E0F5E"/>
    <w:rsid w:val="003E21D7"/>
    <w:rsid w:val="003E42D1"/>
    <w:rsid w:val="003E5442"/>
    <w:rsid w:val="003F1CB7"/>
    <w:rsid w:val="003F3932"/>
    <w:rsid w:val="003F5244"/>
    <w:rsid w:val="00405DAC"/>
    <w:rsid w:val="004070E1"/>
    <w:rsid w:val="00413B28"/>
    <w:rsid w:val="00415277"/>
    <w:rsid w:val="00420198"/>
    <w:rsid w:val="004223B7"/>
    <w:rsid w:val="00427253"/>
    <w:rsid w:val="00432A87"/>
    <w:rsid w:val="004522C1"/>
    <w:rsid w:val="00460E3C"/>
    <w:rsid w:val="00461C86"/>
    <w:rsid w:val="00464973"/>
    <w:rsid w:val="0047420F"/>
    <w:rsid w:val="0048236B"/>
    <w:rsid w:val="00483261"/>
    <w:rsid w:val="004920D1"/>
    <w:rsid w:val="00494AFA"/>
    <w:rsid w:val="004A4BC1"/>
    <w:rsid w:val="004B7323"/>
    <w:rsid w:val="004C52AE"/>
    <w:rsid w:val="004C6D76"/>
    <w:rsid w:val="004D250B"/>
    <w:rsid w:val="004D76FD"/>
    <w:rsid w:val="004E01CB"/>
    <w:rsid w:val="004E0D6F"/>
    <w:rsid w:val="004E53C7"/>
    <w:rsid w:val="004F7CAE"/>
    <w:rsid w:val="005010DD"/>
    <w:rsid w:val="005060DB"/>
    <w:rsid w:val="00510162"/>
    <w:rsid w:val="005125BA"/>
    <w:rsid w:val="005129F6"/>
    <w:rsid w:val="00513718"/>
    <w:rsid w:val="005179D4"/>
    <w:rsid w:val="005221F5"/>
    <w:rsid w:val="005247DB"/>
    <w:rsid w:val="00524E17"/>
    <w:rsid w:val="005276D1"/>
    <w:rsid w:val="00534D81"/>
    <w:rsid w:val="00537BA7"/>
    <w:rsid w:val="00541A57"/>
    <w:rsid w:val="005669D0"/>
    <w:rsid w:val="00566C49"/>
    <w:rsid w:val="005769FF"/>
    <w:rsid w:val="00580323"/>
    <w:rsid w:val="005A08C8"/>
    <w:rsid w:val="005A2E37"/>
    <w:rsid w:val="005C269D"/>
    <w:rsid w:val="005D0418"/>
    <w:rsid w:val="005D4B55"/>
    <w:rsid w:val="006145D3"/>
    <w:rsid w:val="00617867"/>
    <w:rsid w:val="006209FB"/>
    <w:rsid w:val="006319A4"/>
    <w:rsid w:val="00641103"/>
    <w:rsid w:val="0064125B"/>
    <w:rsid w:val="00643EAB"/>
    <w:rsid w:val="006609FA"/>
    <w:rsid w:val="0068395E"/>
    <w:rsid w:val="00690338"/>
    <w:rsid w:val="006903F2"/>
    <w:rsid w:val="00690F34"/>
    <w:rsid w:val="006B195A"/>
    <w:rsid w:val="006D1777"/>
    <w:rsid w:val="006D3B56"/>
    <w:rsid w:val="006E2331"/>
    <w:rsid w:val="006E4C74"/>
    <w:rsid w:val="006F2BC5"/>
    <w:rsid w:val="006F441F"/>
    <w:rsid w:val="006F7EEC"/>
    <w:rsid w:val="007062F0"/>
    <w:rsid w:val="0070683B"/>
    <w:rsid w:val="00706AC0"/>
    <w:rsid w:val="00706C8F"/>
    <w:rsid w:val="007127B2"/>
    <w:rsid w:val="00722F00"/>
    <w:rsid w:val="0073566E"/>
    <w:rsid w:val="0074050E"/>
    <w:rsid w:val="007449E8"/>
    <w:rsid w:val="00746231"/>
    <w:rsid w:val="00751A7F"/>
    <w:rsid w:val="00753276"/>
    <w:rsid w:val="007556A5"/>
    <w:rsid w:val="00761966"/>
    <w:rsid w:val="007672C3"/>
    <w:rsid w:val="00774210"/>
    <w:rsid w:val="007969D3"/>
    <w:rsid w:val="007A1BFB"/>
    <w:rsid w:val="007B34DD"/>
    <w:rsid w:val="007C2DCD"/>
    <w:rsid w:val="007C6957"/>
    <w:rsid w:val="007C6C3A"/>
    <w:rsid w:val="007C7C4B"/>
    <w:rsid w:val="007D3194"/>
    <w:rsid w:val="007D59DE"/>
    <w:rsid w:val="007D5B00"/>
    <w:rsid w:val="007D7C1F"/>
    <w:rsid w:val="007E09AF"/>
    <w:rsid w:val="007E30BF"/>
    <w:rsid w:val="007F09C1"/>
    <w:rsid w:val="007F34E3"/>
    <w:rsid w:val="00805CD5"/>
    <w:rsid w:val="00812D16"/>
    <w:rsid w:val="008175C4"/>
    <w:rsid w:val="00820D86"/>
    <w:rsid w:val="008217D0"/>
    <w:rsid w:val="00824003"/>
    <w:rsid w:val="00825B7A"/>
    <w:rsid w:val="00831109"/>
    <w:rsid w:val="00831A2A"/>
    <w:rsid w:val="00834F42"/>
    <w:rsid w:val="00837981"/>
    <w:rsid w:val="00843C22"/>
    <w:rsid w:val="00852384"/>
    <w:rsid w:val="00854DE7"/>
    <w:rsid w:val="00855FEE"/>
    <w:rsid w:val="00857116"/>
    <w:rsid w:val="0086420A"/>
    <w:rsid w:val="008642CF"/>
    <w:rsid w:val="008746F5"/>
    <w:rsid w:val="0087615E"/>
    <w:rsid w:val="0088084E"/>
    <w:rsid w:val="00881B8F"/>
    <w:rsid w:val="008859A2"/>
    <w:rsid w:val="00887161"/>
    <w:rsid w:val="0089673D"/>
    <w:rsid w:val="008A11F0"/>
    <w:rsid w:val="008A2B02"/>
    <w:rsid w:val="008B4183"/>
    <w:rsid w:val="008B4234"/>
    <w:rsid w:val="008B70ED"/>
    <w:rsid w:val="008D1695"/>
    <w:rsid w:val="008D657B"/>
    <w:rsid w:val="008E35F5"/>
    <w:rsid w:val="009009BA"/>
    <w:rsid w:val="00905BCE"/>
    <w:rsid w:val="00914D7C"/>
    <w:rsid w:val="009160C3"/>
    <w:rsid w:val="00925C02"/>
    <w:rsid w:val="009277C2"/>
    <w:rsid w:val="00932D1B"/>
    <w:rsid w:val="00933C27"/>
    <w:rsid w:val="00933DA5"/>
    <w:rsid w:val="00934890"/>
    <w:rsid w:val="009356D5"/>
    <w:rsid w:val="00935B93"/>
    <w:rsid w:val="009443E2"/>
    <w:rsid w:val="0094450C"/>
    <w:rsid w:val="00944EC2"/>
    <w:rsid w:val="00947287"/>
    <w:rsid w:val="00947CC8"/>
    <w:rsid w:val="0095201B"/>
    <w:rsid w:val="00964892"/>
    <w:rsid w:val="009658D0"/>
    <w:rsid w:val="00966742"/>
    <w:rsid w:val="009756CE"/>
    <w:rsid w:val="00976598"/>
    <w:rsid w:val="00981E5E"/>
    <w:rsid w:val="0099323E"/>
    <w:rsid w:val="00994774"/>
    <w:rsid w:val="009B2507"/>
    <w:rsid w:val="009B60A1"/>
    <w:rsid w:val="009C392A"/>
    <w:rsid w:val="009C459D"/>
    <w:rsid w:val="009D4FE1"/>
    <w:rsid w:val="009D5927"/>
    <w:rsid w:val="009E494B"/>
    <w:rsid w:val="009E5CA7"/>
    <w:rsid w:val="009F5037"/>
    <w:rsid w:val="009F75ED"/>
    <w:rsid w:val="00A00F32"/>
    <w:rsid w:val="00A05338"/>
    <w:rsid w:val="00A0658D"/>
    <w:rsid w:val="00A07D6C"/>
    <w:rsid w:val="00A11C7E"/>
    <w:rsid w:val="00A14251"/>
    <w:rsid w:val="00A1737C"/>
    <w:rsid w:val="00A32696"/>
    <w:rsid w:val="00A345D3"/>
    <w:rsid w:val="00A35953"/>
    <w:rsid w:val="00A35A30"/>
    <w:rsid w:val="00A46B4E"/>
    <w:rsid w:val="00A5289E"/>
    <w:rsid w:val="00A606DC"/>
    <w:rsid w:val="00A62B9F"/>
    <w:rsid w:val="00A64A27"/>
    <w:rsid w:val="00A64CC9"/>
    <w:rsid w:val="00A665AB"/>
    <w:rsid w:val="00A70791"/>
    <w:rsid w:val="00A75F27"/>
    <w:rsid w:val="00A857FB"/>
    <w:rsid w:val="00A921F1"/>
    <w:rsid w:val="00A93248"/>
    <w:rsid w:val="00A93486"/>
    <w:rsid w:val="00A965D8"/>
    <w:rsid w:val="00AB3061"/>
    <w:rsid w:val="00AB36AF"/>
    <w:rsid w:val="00AC428E"/>
    <w:rsid w:val="00AC6352"/>
    <w:rsid w:val="00AC6C41"/>
    <w:rsid w:val="00AD0535"/>
    <w:rsid w:val="00AE0A77"/>
    <w:rsid w:val="00AE2289"/>
    <w:rsid w:val="00AF14E6"/>
    <w:rsid w:val="00AF6194"/>
    <w:rsid w:val="00B110A5"/>
    <w:rsid w:val="00B21101"/>
    <w:rsid w:val="00B22D79"/>
    <w:rsid w:val="00B2365C"/>
    <w:rsid w:val="00B245D4"/>
    <w:rsid w:val="00B30013"/>
    <w:rsid w:val="00B33702"/>
    <w:rsid w:val="00B34790"/>
    <w:rsid w:val="00B3597D"/>
    <w:rsid w:val="00B4255C"/>
    <w:rsid w:val="00B57357"/>
    <w:rsid w:val="00B57A0C"/>
    <w:rsid w:val="00B62A61"/>
    <w:rsid w:val="00B63480"/>
    <w:rsid w:val="00B713D9"/>
    <w:rsid w:val="00B833ED"/>
    <w:rsid w:val="00B92156"/>
    <w:rsid w:val="00B95B98"/>
    <w:rsid w:val="00BA1E6A"/>
    <w:rsid w:val="00BA1E73"/>
    <w:rsid w:val="00BA1F6A"/>
    <w:rsid w:val="00BA1FBE"/>
    <w:rsid w:val="00BA4272"/>
    <w:rsid w:val="00BA4A62"/>
    <w:rsid w:val="00BA593B"/>
    <w:rsid w:val="00BA6E8A"/>
    <w:rsid w:val="00BB35C2"/>
    <w:rsid w:val="00BB4865"/>
    <w:rsid w:val="00BC5A85"/>
    <w:rsid w:val="00BC7159"/>
    <w:rsid w:val="00BD11F2"/>
    <w:rsid w:val="00BD269D"/>
    <w:rsid w:val="00BD63F2"/>
    <w:rsid w:val="00BD6B9D"/>
    <w:rsid w:val="00BF4065"/>
    <w:rsid w:val="00C30C3E"/>
    <w:rsid w:val="00C3235C"/>
    <w:rsid w:val="00C35B41"/>
    <w:rsid w:val="00C36386"/>
    <w:rsid w:val="00C41FC8"/>
    <w:rsid w:val="00C42BE0"/>
    <w:rsid w:val="00C448AF"/>
    <w:rsid w:val="00C454B8"/>
    <w:rsid w:val="00C45D25"/>
    <w:rsid w:val="00C5331C"/>
    <w:rsid w:val="00C57892"/>
    <w:rsid w:val="00C736DF"/>
    <w:rsid w:val="00C778E3"/>
    <w:rsid w:val="00C858FF"/>
    <w:rsid w:val="00C85C0A"/>
    <w:rsid w:val="00C85DC4"/>
    <w:rsid w:val="00C86660"/>
    <w:rsid w:val="00C96189"/>
    <w:rsid w:val="00C97536"/>
    <w:rsid w:val="00CA0635"/>
    <w:rsid w:val="00CA6313"/>
    <w:rsid w:val="00CB60C8"/>
    <w:rsid w:val="00CC4194"/>
    <w:rsid w:val="00CC7134"/>
    <w:rsid w:val="00CD4353"/>
    <w:rsid w:val="00CD52D0"/>
    <w:rsid w:val="00CD5EB9"/>
    <w:rsid w:val="00CD6C28"/>
    <w:rsid w:val="00CD78D6"/>
    <w:rsid w:val="00CD7D05"/>
    <w:rsid w:val="00CF0A80"/>
    <w:rsid w:val="00CF5E5D"/>
    <w:rsid w:val="00CF686E"/>
    <w:rsid w:val="00D00B78"/>
    <w:rsid w:val="00D03240"/>
    <w:rsid w:val="00D07E83"/>
    <w:rsid w:val="00D102F1"/>
    <w:rsid w:val="00D11DBF"/>
    <w:rsid w:val="00D229A5"/>
    <w:rsid w:val="00D33474"/>
    <w:rsid w:val="00D37B8E"/>
    <w:rsid w:val="00D41C45"/>
    <w:rsid w:val="00D576ED"/>
    <w:rsid w:val="00D6519F"/>
    <w:rsid w:val="00D6682B"/>
    <w:rsid w:val="00D857B1"/>
    <w:rsid w:val="00DA1D1E"/>
    <w:rsid w:val="00DB016A"/>
    <w:rsid w:val="00DB19EB"/>
    <w:rsid w:val="00DB4D37"/>
    <w:rsid w:val="00DD500A"/>
    <w:rsid w:val="00DD783B"/>
    <w:rsid w:val="00DE614C"/>
    <w:rsid w:val="00DE7DFA"/>
    <w:rsid w:val="00DF6ED5"/>
    <w:rsid w:val="00E10AB4"/>
    <w:rsid w:val="00E1471F"/>
    <w:rsid w:val="00E167D1"/>
    <w:rsid w:val="00E208F8"/>
    <w:rsid w:val="00E220F5"/>
    <w:rsid w:val="00E22474"/>
    <w:rsid w:val="00E352CA"/>
    <w:rsid w:val="00E36E56"/>
    <w:rsid w:val="00E477A4"/>
    <w:rsid w:val="00E52127"/>
    <w:rsid w:val="00E6143F"/>
    <w:rsid w:val="00E66571"/>
    <w:rsid w:val="00E82210"/>
    <w:rsid w:val="00E84603"/>
    <w:rsid w:val="00E874ED"/>
    <w:rsid w:val="00E90893"/>
    <w:rsid w:val="00E90970"/>
    <w:rsid w:val="00E958BE"/>
    <w:rsid w:val="00E966AE"/>
    <w:rsid w:val="00E9736F"/>
    <w:rsid w:val="00EA17CD"/>
    <w:rsid w:val="00EB6971"/>
    <w:rsid w:val="00EB6E5A"/>
    <w:rsid w:val="00EC1E44"/>
    <w:rsid w:val="00EC2C27"/>
    <w:rsid w:val="00ED2093"/>
    <w:rsid w:val="00EE2041"/>
    <w:rsid w:val="00EE3C8B"/>
    <w:rsid w:val="00EF2AD0"/>
    <w:rsid w:val="00F00E7E"/>
    <w:rsid w:val="00F05B65"/>
    <w:rsid w:val="00F16230"/>
    <w:rsid w:val="00F2029C"/>
    <w:rsid w:val="00F43B32"/>
    <w:rsid w:val="00F44E4A"/>
    <w:rsid w:val="00F4608F"/>
    <w:rsid w:val="00F6582E"/>
    <w:rsid w:val="00F72665"/>
    <w:rsid w:val="00F75672"/>
    <w:rsid w:val="00F81550"/>
    <w:rsid w:val="00F910FF"/>
    <w:rsid w:val="00F92389"/>
    <w:rsid w:val="00F933F0"/>
    <w:rsid w:val="00F9449A"/>
    <w:rsid w:val="00FA282D"/>
    <w:rsid w:val="00FA34C3"/>
    <w:rsid w:val="00FB2D1A"/>
    <w:rsid w:val="00FC2F59"/>
    <w:rsid w:val="00FD23B8"/>
    <w:rsid w:val="00FD24FB"/>
    <w:rsid w:val="00FD3384"/>
    <w:rsid w:val="00FD3531"/>
    <w:rsid w:val="00FE02A6"/>
    <w:rsid w:val="00FE1E3B"/>
    <w:rsid w:val="00FE605A"/>
    <w:rsid w:val="00FE6A60"/>
    <w:rsid w:val="00FF2161"/>
    <w:rsid w:val="00FF40B7"/>
    <w:rsid w:val="00FF528B"/>
    <w:rsid w:val="00FF704E"/>
    <w:rsid w:val="00FF7F04"/>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6A46"/>
  <w15:docId w15:val="{C0044807-A9F9-4EAA-8A35-2BCB4886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6C64"/>
    <w:pPr>
      <w:spacing w:line="360" w:lineRule="auto"/>
      <w:jc w:val="both"/>
    </w:pPr>
    <w:rPr>
      <w:rFonts w:ascii="Times New Roman" w:eastAsia="Times New Roman" w:hAnsi="Times New Roman"/>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076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76C64"/>
    <w:pPr>
      <w:ind w:left="720"/>
      <w:contextualSpacing/>
    </w:pPr>
  </w:style>
  <w:style w:type="character" w:styleId="Odkaznakoment">
    <w:name w:val="annotation reference"/>
    <w:rsid w:val="00076C64"/>
    <w:rPr>
      <w:sz w:val="16"/>
      <w:szCs w:val="16"/>
    </w:rPr>
  </w:style>
  <w:style w:type="paragraph" w:styleId="Textkomente">
    <w:name w:val="annotation text"/>
    <w:basedOn w:val="Normln"/>
    <w:link w:val="TextkomenteChar"/>
    <w:rsid w:val="00076C64"/>
    <w:pPr>
      <w:keepLines/>
      <w:spacing w:after="120"/>
      <w:ind w:firstLine="709"/>
    </w:pPr>
    <w:rPr>
      <w:rFonts w:ascii="Calibri" w:hAnsi="Calibri"/>
      <w:sz w:val="20"/>
    </w:rPr>
  </w:style>
  <w:style w:type="character" w:customStyle="1" w:styleId="TextkomenteChar">
    <w:name w:val="Text komentáře Char"/>
    <w:link w:val="Textkomente"/>
    <w:rsid w:val="00076C64"/>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unhideWhenUsed/>
    <w:rsid w:val="00076C64"/>
    <w:pPr>
      <w:spacing w:line="240" w:lineRule="auto"/>
    </w:pPr>
    <w:rPr>
      <w:rFonts w:ascii="Segoe UI" w:hAnsi="Segoe UI" w:cs="Segoe UI"/>
      <w:sz w:val="18"/>
      <w:szCs w:val="18"/>
    </w:rPr>
  </w:style>
  <w:style w:type="character" w:customStyle="1" w:styleId="TextbublinyChar">
    <w:name w:val="Text bubliny Char"/>
    <w:link w:val="Textbubliny"/>
    <w:uiPriority w:val="99"/>
    <w:semiHidden/>
    <w:rsid w:val="00076C64"/>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E605A"/>
    <w:pPr>
      <w:keepLines w:val="0"/>
      <w:spacing w:after="0" w:line="240" w:lineRule="auto"/>
      <w:ind w:firstLine="0"/>
    </w:pPr>
    <w:rPr>
      <w:rFonts w:ascii="Times New Roman" w:hAnsi="Times New Roman"/>
      <w:b/>
      <w:bCs/>
    </w:rPr>
  </w:style>
  <w:style w:type="character" w:customStyle="1" w:styleId="PedmtkomenteChar">
    <w:name w:val="Předmět komentáře Char"/>
    <w:link w:val="Pedmtkomente"/>
    <w:uiPriority w:val="99"/>
    <w:semiHidden/>
    <w:rsid w:val="00FE605A"/>
    <w:rPr>
      <w:rFonts w:ascii="Times New Roman" w:eastAsia="Times New Roman" w:hAnsi="Times New Roman" w:cs="Times New Roman"/>
      <w:b/>
      <w:bCs/>
      <w:sz w:val="20"/>
      <w:szCs w:val="20"/>
      <w:lang w:eastAsia="cs-CZ"/>
    </w:rPr>
  </w:style>
  <w:style w:type="character" w:styleId="Hypertextovodkaz">
    <w:name w:val="Hyperlink"/>
    <w:uiPriority w:val="99"/>
    <w:unhideWhenUsed/>
    <w:rsid w:val="00AB3061"/>
    <w:rPr>
      <w:color w:val="0563C1"/>
      <w:u w:val="single"/>
    </w:rPr>
  </w:style>
  <w:style w:type="paragraph" w:styleId="Revize">
    <w:name w:val="Revision"/>
    <w:hidden/>
    <w:uiPriority w:val="99"/>
    <w:semiHidden/>
    <w:rsid w:val="00FC2F59"/>
    <w:rPr>
      <w:rFonts w:ascii="Times New Roman" w:eastAsia="Times New Roman" w:hAnsi="Times New Roman"/>
      <w:sz w:val="24"/>
      <w:lang w:eastAsia="cs-CZ"/>
    </w:rPr>
  </w:style>
  <w:style w:type="paragraph" w:styleId="FormtovanvHTML">
    <w:name w:val="HTML Preformatted"/>
    <w:basedOn w:val="Normln"/>
    <w:link w:val="FormtovanvHTMLChar"/>
    <w:uiPriority w:val="99"/>
    <w:unhideWhenUsed/>
    <w:rsid w:val="00B2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FormtovanvHTMLChar">
    <w:name w:val="Formátovaný v HTML Char"/>
    <w:basedOn w:val="Standardnpsmoodstavce"/>
    <w:link w:val="FormtovanvHTML"/>
    <w:uiPriority w:val="99"/>
    <w:rsid w:val="00B21101"/>
    <w:rPr>
      <w:rFonts w:ascii="Courier New" w:eastAsia="Times New Roman" w:hAnsi="Courier New" w:cs="Courier New"/>
      <w:lang w:eastAsia="cs-CZ"/>
    </w:rPr>
  </w:style>
  <w:style w:type="paragraph" w:customStyle="1" w:styleId="xmsonormal">
    <w:name w:val="x_msonormal"/>
    <w:basedOn w:val="Normln"/>
    <w:rsid w:val="00136D60"/>
    <w:pPr>
      <w:spacing w:before="100" w:beforeAutospacing="1" w:after="100" w:afterAutospacing="1" w:line="240" w:lineRule="auto"/>
      <w:jc w:val="left"/>
    </w:pPr>
    <w:rPr>
      <w:szCs w:val="24"/>
    </w:rPr>
  </w:style>
  <w:style w:type="paragraph" w:customStyle="1" w:styleId="xmsolistparagraph">
    <w:name w:val="x_msolistparagraph"/>
    <w:basedOn w:val="Normln"/>
    <w:rsid w:val="00136D60"/>
    <w:pPr>
      <w:spacing w:before="100" w:beforeAutospacing="1" w:after="100" w:afterAutospacing="1" w:line="240" w:lineRule="auto"/>
      <w:jc w:val="left"/>
    </w:pPr>
    <w:rPr>
      <w:szCs w:val="24"/>
    </w:rPr>
  </w:style>
  <w:style w:type="character" w:customStyle="1" w:styleId="y2iqfc">
    <w:name w:val="y2iqfc"/>
    <w:basedOn w:val="Standardnpsmoodstavce"/>
    <w:rsid w:val="0017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749">
      <w:bodyDiv w:val="1"/>
      <w:marLeft w:val="0"/>
      <w:marRight w:val="0"/>
      <w:marTop w:val="0"/>
      <w:marBottom w:val="0"/>
      <w:divBdr>
        <w:top w:val="none" w:sz="0" w:space="0" w:color="auto"/>
        <w:left w:val="none" w:sz="0" w:space="0" w:color="auto"/>
        <w:bottom w:val="none" w:sz="0" w:space="0" w:color="auto"/>
        <w:right w:val="none" w:sz="0" w:space="0" w:color="auto"/>
      </w:divBdr>
    </w:div>
    <w:div w:id="84616498">
      <w:bodyDiv w:val="1"/>
      <w:marLeft w:val="0"/>
      <w:marRight w:val="0"/>
      <w:marTop w:val="0"/>
      <w:marBottom w:val="0"/>
      <w:divBdr>
        <w:top w:val="none" w:sz="0" w:space="0" w:color="auto"/>
        <w:left w:val="none" w:sz="0" w:space="0" w:color="auto"/>
        <w:bottom w:val="none" w:sz="0" w:space="0" w:color="auto"/>
        <w:right w:val="none" w:sz="0" w:space="0" w:color="auto"/>
      </w:divBdr>
    </w:div>
    <w:div w:id="105203549">
      <w:bodyDiv w:val="1"/>
      <w:marLeft w:val="0"/>
      <w:marRight w:val="0"/>
      <w:marTop w:val="0"/>
      <w:marBottom w:val="0"/>
      <w:divBdr>
        <w:top w:val="none" w:sz="0" w:space="0" w:color="auto"/>
        <w:left w:val="none" w:sz="0" w:space="0" w:color="auto"/>
        <w:bottom w:val="none" w:sz="0" w:space="0" w:color="auto"/>
        <w:right w:val="none" w:sz="0" w:space="0" w:color="auto"/>
      </w:divBdr>
    </w:div>
    <w:div w:id="147674971">
      <w:bodyDiv w:val="1"/>
      <w:marLeft w:val="0"/>
      <w:marRight w:val="0"/>
      <w:marTop w:val="0"/>
      <w:marBottom w:val="0"/>
      <w:divBdr>
        <w:top w:val="none" w:sz="0" w:space="0" w:color="auto"/>
        <w:left w:val="none" w:sz="0" w:space="0" w:color="auto"/>
        <w:bottom w:val="none" w:sz="0" w:space="0" w:color="auto"/>
        <w:right w:val="none" w:sz="0" w:space="0" w:color="auto"/>
      </w:divBdr>
    </w:div>
    <w:div w:id="150872354">
      <w:bodyDiv w:val="1"/>
      <w:marLeft w:val="0"/>
      <w:marRight w:val="0"/>
      <w:marTop w:val="0"/>
      <w:marBottom w:val="0"/>
      <w:divBdr>
        <w:top w:val="none" w:sz="0" w:space="0" w:color="auto"/>
        <w:left w:val="none" w:sz="0" w:space="0" w:color="auto"/>
        <w:bottom w:val="none" w:sz="0" w:space="0" w:color="auto"/>
        <w:right w:val="none" w:sz="0" w:space="0" w:color="auto"/>
      </w:divBdr>
    </w:div>
    <w:div w:id="297564919">
      <w:bodyDiv w:val="1"/>
      <w:marLeft w:val="0"/>
      <w:marRight w:val="0"/>
      <w:marTop w:val="0"/>
      <w:marBottom w:val="0"/>
      <w:divBdr>
        <w:top w:val="none" w:sz="0" w:space="0" w:color="auto"/>
        <w:left w:val="none" w:sz="0" w:space="0" w:color="auto"/>
        <w:bottom w:val="none" w:sz="0" w:space="0" w:color="auto"/>
        <w:right w:val="none" w:sz="0" w:space="0" w:color="auto"/>
      </w:divBdr>
      <w:divsChild>
        <w:div w:id="301886262">
          <w:marLeft w:val="-133"/>
          <w:marRight w:val="-133"/>
          <w:marTop w:val="0"/>
          <w:marBottom w:val="0"/>
          <w:divBdr>
            <w:top w:val="none" w:sz="0" w:space="0" w:color="auto"/>
            <w:left w:val="none" w:sz="0" w:space="0" w:color="auto"/>
            <w:bottom w:val="none" w:sz="0" w:space="0" w:color="auto"/>
            <w:right w:val="none" w:sz="0" w:space="0" w:color="auto"/>
          </w:divBdr>
          <w:divsChild>
            <w:div w:id="296838365">
              <w:marLeft w:val="0"/>
              <w:marRight w:val="0"/>
              <w:marTop w:val="0"/>
              <w:marBottom w:val="0"/>
              <w:divBdr>
                <w:top w:val="none" w:sz="0" w:space="0" w:color="auto"/>
                <w:left w:val="none" w:sz="0" w:space="0" w:color="auto"/>
                <w:bottom w:val="none" w:sz="0" w:space="0" w:color="auto"/>
                <w:right w:val="none" w:sz="0" w:space="0" w:color="auto"/>
              </w:divBdr>
              <w:divsChild>
                <w:div w:id="148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5365">
      <w:bodyDiv w:val="1"/>
      <w:marLeft w:val="0"/>
      <w:marRight w:val="0"/>
      <w:marTop w:val="0"/>
      <w:marBottom w:val="0"/>
      <w:divBdr>
        <w:top w:val="none" w:sz="0" w:space="0" w:color="auto"/>
        <w:left w:val="none" w:sz="0" w:space="0" w:color="auto"/>
        <w:bottom w:val="none" w:sz="0" w:space="0" w:color="auto"/>
        <w:right w:val="none" w:sz="0" w:space="0" w:color="auto"/>
      </w:divBdr>
    </w:div>
    <w:div w:id="415254112">
      <w:bodyDiv w:val="1"/>
      <w:marLeft w:val="0"/>
      <w:marRight w:val="0"/>
      <w:marTop w:val="0"/>
      <w:marBottom w:val="0"/>
      <w:divBdr>
        <w:top w:val="none" w:sz="0" w:space="0" w:color="auto"/>
        <w:left w:val="none" w:sz="0" w:space="0" w:color="auto"/>
        <w:bottom w:val="none" w:sz="0" w:space="0" w:color="auto"/>
        <w:right w:val="none" w:sz="0" w:space="0" w:color="auto"/>
      </w:divBdr>
      <w:divsChild>
        <w:div w:id="2067601917">
          <w:marLeft w:val="-160"/>
          <w:marRight w:val="-160"/>
          <w:marTop w:val="0"/>
          <w:marBottom w:val="0"/>
          <w:divBdr>
            <w:top w:val="none" w:sz="0" w:space="0" w:color="auto"/>
            <w:left w:val="none" w:sz="0" w:space="0" w:color="auto"/>
            <w:bottom w:val="none" w:sz="0" w:space="0" w:color="auto"/>
            <w:right w:val="none" w:sz="0" w:space="0" w:color="auto"/>
          </w:divBdr>
          <w:divsChild>
            <w:div w:id="1534073077">
              <w:marLeft w:val="0"/>
              <w:marRight w:val="0"/>
              <w:marTop w:val="0"/>
              <w:marBottom w:val="0"/>
              <w:divBdr>
                <w:top w:val="none" w:sz="0" w:space="0" w:color="auto"/>
                <w:left w:val="none" w:sz="0" w:space="0" w:color="auto"/>
                <w:bottom w:val="none" w:sz="0" w:space="0" w:color="auto"/>
                <w:right w:val="none" w:sz="0" w:space="0" w:color="auto"/>
              </w:divBdr>
              <w:divsChild>
                <w:div w:id="4645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6253">
      <w:bodyDiv w:val="1"/>
      <w:marLeft w:val="0"/>
      <w:marRight w:val="0"/>
      <w:marTop w:val="0"/>
      <w:marBottom w:val="0"/>
      <w:divBdr>
        <w:top w:val="none" w:sz="0" w:space="0" w:color="auto"/>
        <w:left w:val="none" w:sz="0" w:space="0" w:color="auto"/>
        <w:bottom w:val="none" w:sz="0" w:space="0" w:color="auto"/>
        <w:right w:val="none" w:sz="0" w:space="0" w:color="auto"/>
      </w:divBdr>
    </w:div>
    <w:div w:id="439033248">
      <w:bodyDiv w:val="1"/>
      <w:marLeft w:val="0"/>
      <w:marRight w:val="0"/>
      <w:marTop w:val="0"/>
      <w:marBottom w:val="0"/>
      <w:divBdr>
        <w:top w:val="none" w:sz="0" w:space="0" w:color="auto"/>
        <w:left w:val="none" w:sz="0" w:space="0" w:color="auto"/>
        <w:bottom w:val="none" w:sz="0" w:space="0" w:color="auto"/>
        <w:right w:val="none" w:sz="0" w:space="0" w:color="auto"/>
      </w:divBdr>
    </w:div>
    <w:div w:id="506866739">
      <w:bodyDiv w:val="1"/>
      <w:marLeft w:val="0"/>
      <w:marRight w:val="0"/>
      <w:marTop w:val="0"/>
      <w:marBottom w:val="0"/>
      <w:divBdr>
        <w:top w:val="none" w:sz="0" w:space="0" w:color="auto"/>
        <w:left w:val="none" w:sz="0" w:space="0" w:color="auto"/>
        <w:bottom w:val="none" w:sz="0" w:space="0" w:color="auto"/>
        <w:right w:val="none" w:sz="0" w:space="0" w:color="auto"/>
      </w:divBdr>
    </w:div>
    <w:div w:id="557790846">
      <w:bodyDiv w:val="1"/>
      <w:marLeft w:val="0"/>
      <w:marRight w:val="0"/>
      <w:marTop w:val="0"/>
      <w:marBottom w:val="0"/>
      <w:divBdr>
        <w:top w:val="none" w:sz="0" w:space="0" w:color="auto"/>
        <w:left w:val="none" w:sz="0" w:space="0" w:color="auto"/>
        <w:bottom w:val="none" w:sz="0" w:space="0" w:color="auto"/>
        <w:right w:val="none" w:sz="0" w:space="0" w:color="auto"/>
      </w:divBdr>
      <w:divsChild>
        <w:div w:id="503715032">
          <w:marLeft w:val="-240"/>
          <w:marRight w:val="-240"/>
          <w:marTop w:val="0"/>
          <w:marBottom w:val="0"/>
          <w:divBdr>
            <w:top w:val="none" w:sz="0" w:space="0" w:color="auto"/>
            <w:left w:val="none" w:sz="0" w:space="0" w:color="auto"/>
            <w:bottom w:val="none" w:sz="0" w:space="0" w:color="auto"/>
            <w:right w:val="none" w:sz="0" w:space="0" w:color="auto"/>
          </w:divBdr>
          <w:divsChild>
            <w:div w:id="992757812">
              <w:marLeft w:val="0"/>
              <w:marRight w:val="0"/>
              <w:marTop w:val="0"/>
              <w:marBottom w:val="0"/>
              <w:divBdr>
                <w:top w:val="none" w:sz="0" w:space="0" w:color="auto"/>
                <w:left w:val="none" w:sz="0" w:space="0" w:color="auto"/>
                <w:bottom w:val="none" w:sz="0" w:space="0" w:color="auto"/>
                <w:right w:val="none" w:sz="0" w:space="0" w:color="auto"/>
              </w:divBdr>
              <w:divsChild>
                <w:div w:id="16335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4141">
      <w:bodyDiv w:val="1"/>
      <w:marLeft w:val="0"/>
      <w:marRight w:val="0"/>
      <w:marTop w:val="0"/>
      <w:marBottom w:val="0"/>
      <w:divBdr>
        <w:top w:val="none" w:sz="0" w:space="0" w:color="auto"/>
        <w:left w:val="none" w:sz="0" w:space="0" w:color="auto"/>
        <w:bottom w:val="none" w:sz="0" w:space="0" w:color="auto"/>
        <w:right w:val="none" w:sz="0" w:space="0" w:color="auto"/>
      </w:divBdr>
    </w:div>
    <w:div w:id="638538286">
      <w:bodyDiv w:val="1"/>
      <w:marLeft w:val="0"/>
      <w:marRight w:val="0"/>
      <w:marTop w:val="0"/>
      <w:marBottom w:val="0"/>
      <w:divBdr>
        <w:top w:val="none" w:sz="0" w:space="0" w:color="auto"/>
        <w:left w:val="none" w:sz="0" w:space="0" w:color="auto"/>
        <w:bottom w:val="none" w:sz="0" w:space="0" w:color="auto"/>
        <w:right w:val="none" w:sz="0" w:space="0" w:color="auto"/>
      </w:divBdr>
      <w:divsChild>
        <w:div w:id="1901357484">
          <w:marLeft w:val="-129"/>
          <w:marRight w:val="-129"/>
          <w:marTop w:val="0"/>
          <w:marBottom w:val="0"/>
          <w:divBdr>
            <w:top w:val="none" w:sz="0" w:space="0" w:color="auto"/>
            <w:left w:val="none" w:sz="0" w:space="0" w:color="auto"/>
            <w:bottom w:val="none" w:sz="0" w:space="0" w:color="auto"/>
            <w:right w:val="none" w:sz="0" w:space="0" w:color="auto"/>
          </w:divBdr>
          <w:divsChild>
            <w:div w:id="1077171325">
              <w:marLeft w:val="0"/>
              <w:marRight w:val="0"/>
              <w:marTop w:val="0"/>
              <w:marBottom w:val="0"/>
              <w:divBdr>
                <w:top w:val="none" w:sz="0" w:space="0" w:color="auto"/>
                <w:left w:val="none" w:sz="0" w:space="0" w:color="auto"/>
                <w:bottom w:val="none" w:sz="0" w:space="0" w:color="auto"/>
                <w:right w:val="none" w:sz="0" w:space="0" w:color="auto"/>
              </w:divBdr>
              <w:divsChild>
                <w:div w:id="13188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7816">
      <w:bodyDiv w:val="1"/>
      <w:marLeft w:val="0"/>
      <w:marRight w:val="0"/>
      <w:marTop w:val="0"/>
      <w:marBottom w:val="0"/>
      <w:divBdr>
        <w:top w:val="none" w:sz="0" w:space="0" w:color="auto"/>
        <w:left w:val="none" w:sz="0" w:space="0" w:color="auto"/>
        <w:bottom w:val="none" w:sz="0" w:space="0" w:color="auto"/>
        <w:right w:val="none" w:sz="0" w:space="0" w:color="auto"/>
      </w:divBdr>
    </w:div>
    <w:div w:id="790781729">
      <w:bodyDiv w:val="1"/>
      <w:marLeft w:val="0"/>
      <w:marRight w:val="0"/>
      <w:marTop w:val="0"/>
      <w:marBottom w:val="0"/>
      <w:divBdr>
        <w:top w:val="none" w:sz="0" w:space="0" w:color="auto"/>
        <w:left w:val="none" w:sz="0" w:space="0" w:color="auto"/>
        <w:bottom w:val="none" w:sz="0" w:space="0" w:color="auto"/>
        <w:right w:val="none" w:sz="0" w:space="0" w:color="auto"/>
      </w:divBdr>
    </w:div>
    <w:div w:id="810246551">
      <w:bodyDiv w:val="1"/>
      <w:marLeft w:val="0"/>
      <w:marRight w:val="0"/>
      <w:marTop w:val="0"/>
      <w:marBottom w:val="0"/>
      <w:divBdr>
        <w:top w:val="none" w:sz="0" w:space="0" w:color="auto"/>
        <w:left w:val="none" w:sz="0" w:space="0" w:color="auto"/>
        <w:bottom w:val="none" w:sz="0" w:space="0" w:color="auto"/>
        <w:right w:val="none" w:sz="0" w:space="0" w:color="auto"/>
      </w:divBdr>
    </w:div>
    <w:div w:id="831142124">
      <w:bodyDiv w:val="1"/>
      <w:marLeft w:val="0"/>
      <w:marRight w:val="0"/>
      <w:marTop w:val="0"/>
      <w:marBottom w:val="0"/>
      <w:divBdr>
        <w:top w:val="none" w:sz="0" w:space="0" w:color="auto"/>
        <w:left w:val="none" w:sz="0" w:space="0" w:color="auto"/>
        <w:bottom w:val="none" w:sz="0" w:space="0" w:color="auto"/>
        <w:right w:val="none" w:sz="0" w:space="0" w:color="auto"/>
      </w:divBdr>
      <w:divsChild>
        <w:div w:id="1245606371">
          <w:marLeft w:val="-160"/>
          <w:marRight w:val="-160"/>
          <w:marTop w:val="0"/>
          <w:marBottom w:val="0"/>
          <w:divBdr>
            <w:top w:val="none" w:sz="0" w:space="0" w:color="auto"/>
            <w:left w:val="none" w:sz="0" w:space="0" w:color="auto"/>
            <w:bottom w:val="none" w:sz="0" w:space="0" w:color="auto"/>
            <w:right w:val="none" w:sz="0" w:space="0" w:color="auto"/>
          </w:divBdr>
          <w:divsChild>
            <w:div w:id="1735352425">
              <w:marLeft w:val="0"/>
              <w:marRight w:val="0"/>
              <w:marTop w:val="0"/>
              <w:marBottom w:val="0"/>
              <w:divBdr>
                <w:top w:val="none" w:sz="0" w:space="0" w:color="auto"/>
                <w:left w:val="none" w:sz="0" w:space="0" w:color="auto"/>
                <w:bottom w:val="none" w:sz="0" w:space="0" w:color="auto"/>
                <w:right w:val="none" w:sz="0" w:space="0" w:color="auto"/>
              </w:divBdr>
              <w:divsChild>
                <w:div w:id="12003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6042">
      <w:bodyDiv w:val="1"/>
      <w:marLeft w:val="0"/>
      <w:marRight w:val="0"/>
      <w:marTop w:val="0"/>
      <w:marBottom w:val="0"/>
      <w:divBdr>
        <w:top w:val="none" w:sz="0" w:space="0" w:color="auto"/>
        <w:left w:val="none" w:sz="0" w:space="0" w:color="auto"/>
        <w:bottom w:val="none" w:sz="0" w:space="0" w:color="auto"/>
        <w:right w:val="none" w:sz="0" w:space="0" w:color="auto"/>
      </w:divBdr>
    </w:div>
    <w:div w:id="1064718350">
      <w:bodyDiv w:val="1"/>
      <w:marLeft w:val="0"/>
      <w:marRight w:val="0"/>
      <w:marTop w:val="0"/>
      <w:marBottom w:val="0"/>
      <w:divBdr>
        <w:top w:val="none" w:sz="0" w:space="0" w:color="auto"/>
        <w:left w:val="none" w:sz="0" w:space="0" w:color="auto"/>
        <w:bottom w:val="none" w:sz="0" w:space="0" w:color="auto"/>
        <w:right w:val="none" w:sz="0" w:space="0" w:color="auto"/>
      </w:divBdr>
    </w:div>
    <w:div w:id="1432243334">
      <w:bodyDiv w:val="1"/>
      <w:marLeft w:val="0"/>
      <w:marRight w:val="0"/>
      <w:marTop w:val="0"/>
      <w:marBottom w:val="0"/>
      <w:divBdr>
        <w:top w:val="none" w:sz="0" w:space="0" w:color="auto"/>
        <w:left w:val="none" w:sz="0" w:space="0" w:color="auto"/>
        <w:bottom w:val="none" w:sz="0" w:space="0" w:color="auto"/>
        <w:right w:val="none" w:sz="0" w:space="0" w:color="auto"/>
      </w:divBdr>
      <w:divsChild>
        <w:div w:id="1397779552">
          <w:marLeft w:val="-160"/>
          <w:marRight w:val="-160"/>
          <w:marTop w:val="0"/>
          <w:marBottom w:val="0"/>
          <w:divBdr>
            <w:top w:val="none" w:sz="0" w:space="0" w:color="auto"/>
            <w:left w:val="none" w:sz="0" w:space="0" w:color="auto"/>
            <w:bottom w:val="none" w:sz="0" w:space="0" w:color="auto"/>
            <w:right w:val="none" w:sz="0" w:space="0" w:color="auto"/>
          </w:divBdr>
          <w:divsChild>
            <w:div w:id="861094251">
              <w:marLeft w:val="0"/>
              <w:marRight w:val="0"/>
              <w:marTop w:val="0"/>
              <w:marBottom w:val="0"/>
              <w:divBdr>
                <w:top w:val="none" w:sz="0" w:space="0" w:color="auto"/>
                <w:left w:val="none" w:sz="0" w:space="0" w:color="auto"/>
                <w:bottom w:val="none" w:sz="0" w:space="0" w:color="auto"/>
                <w:right w:val="none" w:sz="0" w:space="0" w:color="auto"/>
              </w:divBdr>
              <w:divsChild>
                <w:div w:id="7781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3303">
      <w:bodyDiv w:val="1"/>
      <w:marLeft w:val="0"/>
      <w:marRight w:val="0"/>
      <w:marTop w:val="0"/>
      <w:marBottom w:val="0"/>
      <w:divBdr>
        <w:top w:val="none" w:sz="0" w:space="0" w:color="auto"/>
        <w:left w:val="none" w:sz="0" w:space="0" w:color="auto"/>
        <w:bottom w:val="none" w:sz="0" w:space="0" w:color="auto"/>
        <w:right w:val="none" w:sz="0" w:space="0" w:color="auto"/>
      </w:divBdr>
    </w:div>
    <w:div w:id="1947157041">
      <w:bodyDiv w:val="1"/>
      <w:marLeft w:val="390"/>
      <w:marRight w:val="390"/>
      <w:marTop w:val="0"/>
      <w:marBottom w:val="0"/>
      <w:divBdr>
        <w:top w:val="none" w:sz="0" w:space="0" w:color="auto"/>
        <w:left w:val="none" w:sz="0" w:space="0" w:color="auto"/>
        <w:bottom w:val="none" w:sz="0" w:space="0" w:color="auto"/>
        <w:right w:val="none" w:sz="0" w:space="0" w:color="auto"/>
      </w:divBdr>
      <w:divsChild>
        <w:div w:id="855969486">
          <w:marLeft w:val="0"/>
          <w:marRight w:val="0"/>
          <w:marTop w:val="0"/>
          <w:marBottom w:val="0"/>
          <w:divBdr>
            <w:top w:val="none" w:sz="0" w:space="0" w:color="auto"/>
            <w:left w:val="none" w:sz="0" w:space="0" w:color="auto"/>
            <w:bottom w:val="none" w:sz="0" w:space="0" w:color="auto"/>
            <w:right w:val="none" w:sz="0" w:space="0" w:color="auto"/>
          </w:divBdr>
          <w:divsChild>
            <w:div w:id="342129093">
              <w:marLeft w:val="0"/>
              <w:marRight w:val="0"/>
              <w:marTop w:val="0"/>
              <w:marBottom w:val="0"/>
              <w:divBdr>
                <w:top w:val="none" w:sz="0" w:space="0" w:color="auto"/>
                <w:left w:val="none" w:sz="0" w:space="0" w:color="auto"/>
                <w:bottom w:val="none" w:sz="0" w:space="0" w:color="auto"/>
                <w:right w:val="none" w:sz="0" w:space="0" w:color="auto"/>
              </w:divBdr>
              <w:divsChild>
                <w:div w:id="1835678434">
                  <w:marLeft w:val="-150"/>
                  <w:marRight w:val="-150"/>
                  <w:marTop w:val="0"/>
                  <w:marBottom w:val="0"/>
                  <w:divBdr>
                    <w:top w:val="none" w:sz="0" w:space="0" w:color="auto"/>
                    <w:left w:val="none" w:sz="0" w:space="0" w:color="auto"/>
                    <w:bottom w:val="none" w:sz="0" w:space="0" w:color="auto"/>
                    <w:right w:val="none" w:sz="0" w:space="0" w:color="auto"/>
                  </w:divBdr>
                  <w:divsChild>
                    <w:div w:id="2469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96171">
      <w:bodyDiv w:val="1"/>
      <w:marLeft w:val="0"/>
      <w:marRight w:val="0"/>
      <w:marTop w:val="0"/>
      <w:marBottom w:val="0"/>
      <w:divBdr>
        <w:top w:val="none" w:sz="0" w:space="0" w:color="auto"/>
        <w:left w:val="none" w:sz="0" w:space="0" w:color="auto"/>
        <w:bottom w:val="none" w:sz="0" w:space="0" w:color="auto"/>
        <w:right w:val="none" w:sz="0" w:space="0" w:color="auto"/>
      </w:divBdr>
    </w:div>
    <w:div w:id="2108503976">
      <w:bodyDiv w:val="1"/>
      <w:marLeft w:val="0"/>
      <w:marRight w:val="0"/>
      <w:marTop w:val="0"/>
      <w:marBottom w:val="0"/>
      <w:divBdr>
        <w:top w:val="none" w:sz="0" w:space="0" w:color="auto"/>
        <w:left w:val="none" w:sz="0" w:space="0" w:color="auto"/>
        <w:bottom w:val="none" w:sz="0" w:space="0" w:color="auto"/>
        <w:right w:val="none" w:sz="0" w:space="0" w:color="auto"/>
      </w:divBdr>
    </w:div>
    <w:div w:id="212638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6EFA4-88A3-44EB-AC13-238A1828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1747</Words>
  <Characters>10312</Characters>
  <Application>Microsoft Office Word</Application>
  <DocSecurity>0</DocSecurity>
  <Lines>85</Lines>
  <Paragraphs>24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12035</CharactersWithSpaces>
  <SharedDoc>false</SharedDoc>
  <HLinks>
    <vt:vector size="24" baseType="variant">
      <vt:variant>
        <vt:i4>3539024</vt:i4>
      </vt:variant>
      <vt:variant>
        <vt:i4>9</vt:i4>
      </vt:variant>
      <vt:variant>
        <vt:i4>0</vt:i4>
      </vt:variant>
      <vt:variant>
        <vt:i4>5</vt:i4>
      </vt:variant>
      <vt:variant>
        <vt:lpwstr>mailto:johannes.beltz@zuerich.ch</vt:lpwstr>
      </vt:variant>
      <vt:variant>
        <vt:lpwstr/>
      </vt:variant>
      <vt:variant>
        <vt:i4>3539024</vt:i4>
      </vt:variant>
      <vt:variant>
        <vt:i4>6</vt:i4>
      </vt:variant>
      <vt:variant>
        <vt:i4>0</vt:i4>
      </vt:variant>
      <vt:variant>
        <vt:i4>5</vt:i4>
      </vt:variant>
      <vt:variant>
        <vt:lpwstr>mailto:johannes.beltz@zuerich.ch</vt:lpwstr>
      </vt:variant>
      <vt:variant>
        <vt:lpwstr/>
      </vt:variant>
      <vt:variant>
        <vt:i4>3997777</vt:i4>
      </vt:variant>
      <vt:variant>
        <vt:i4>3</vt:i4>
      </vt:variant>
      <vt:variant>
        <vt:i4>0</vt:i4>
      </vt:variant>
      <vt:variant>
        <vt:i4>5</vt:i4>
      </vt:variant>
      <vt:variant>
        <vt:lpwstr>mailto:marketa.hanova@ngprague.cz</vt:lpwstr>
      </vt:variant>
      <vt:variant>
        <vt:lpwstr/>
      </vt:variant>
      <vt:variant>
        <vt:i4>3997777</vt:i4>
      </vt:variant>
      <vt:variant>
        <vt:i4>0</vt:i4>
      </vt:variant>
      <vt:variant>
        <vt:i4>0</vt:i4>
      </vt:variant>
      <vt:variant>
        <vt:i4>5</vt:i4>
      </vt:variant>
      <vt:variant>
        <vt:lpwstr>mailto:marketa.hanova@ngprague.cz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P-2411</dc:subject>
  <dc:creator>Uživatel</dc:creator>
  <cp:lastModifiedBy>Pavlína Malásková</cp:lastModifiedBy>
  <cp:revision>5</cp:revision>
  <cp:lastPrinted>2021-07-20T11:21:00Z</cp:lastPrinted>
  <dcterms:created xsi:type="dcterms:W3CDTF">2021-07-20T09:25:00Z</dcterms:created>
  <dcterms:modified xsi:type="dcterms:W3CDTF">2021-08-20T10:33:00Z</dcterms:modified>
</cp:coreProperties>
</file>