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EC" w:rsidRPr="00D827EC" w:rsidRDefault="00D827EC" w:rsidP="00D827EC">
      <w:pPr>
        <w:jc w:val="center"/>
        <w:rPr>
          <w:rFonts w:ascii="Times New Roman" w:hAnsi="Times New Roman" w:cs="Times New Roman"/>
          <w:b/>
          <w:sz w:val="28"/>
        </w:rPr>
      </w:pPr>
      <w:bookmarkStart w:id="0" w:name="_Toc196810167"/>
      <w:bookmarkStart w:id="1" w:name="_GoBack"/>
      <w:bookmarkEnd w:id="1"/>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rsidR="00D827EC" w:rsidRPr="00D827EC" w:rsidRDefault="00D827EC" w:rsidP="00D827EC">
      <w:pPr>
        <w:jc w:val="both"/>
        <w:rPr>
          <w:rFonts w:ascii="Times New Roman" w:hAnsi="Times New Roman" w:cs="Times New Roman"/>
          <w:b/>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8"/>
      <w:r w:rsidRPr="00D827EC">
        <w:rPr>
          <w:rFonts w:ascii="Times New Roman" w:eastAsia="Times New Roman" w:hAnsi="Times New Roman" w:cs="Times New Roman"/>
          <w:b/>
          <w:sz w:val="24"/>
          <w:szCs w:val="24"/>
          <w:lang w:eastAsia="cs-CZ"/>
        </w:rPr>
        <w:t>Článek I</w:t>
      </w:r>
      <w:bookmarkEnd w:id="2"/>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3" w:name="_Toc196810169"/>
      <w:r w:rsidRPr="00D827EC">
        <w:rPr>
          <w:rFonts w:ascii="Times New Roman" w:eastAsia="Times New Roman" w:hAnsi="Times New Roman" w:cs="Times New Roman"/>
          <w:b/>
          <w:sz w:val="24"/>
          <w:szCs w:val="24"/>
          <w:lang w:eastAsia="cs-CZ"/>
        </w:rPr>
        <w:t>Smluvní strany</w:t>
      </w:r>
      <w:bookmarkEnd w:id="3"/>
    </w:p>
    <w:p w:rsidR="00D827EC" w:rsidRPr="00D827EC" w:rsidRDefault="00D827EC" w:rsidP="00D827EC">
      <w:pPr>
        <w:jc w:val="both"/>
        <w:rPr>
          <w:rFonts w:ascii="Times New Roman" w:hAnsi="Times New Roman" w:cs="Times New Roman"/>
          <w:sz w:val="24"/>
          <w:szCs w:val="24"/>
        </w:rPr>
      </w:pPr>
    </w:p>
    <w:p w:rsidR="00B37630" w:rsidRPr="00B37630" w:rsidRDefault="00B37630" w:rsidP="00D827EC">
      <w:pPr>
        <w:spacing w:after="0" w:line="240" w:lineRule="auto"/>
        <w:rPr>
          <w:rFonts w:ascii="Times New Roman" w:eastAsia="Times New Roman" w:hAnsi="Times New Roman" w:cs="Times New Roman"/>
          <w:b/>
          <w:bCs/>
          <w:color w:val="000000"/>
          <w:sz w:val="24"/>
          <w:szCs w:val="24"/>
          <w:lang w:eastAsia="cs-CZ"/>
        </w:rPr>
      </w:pPr>
      <w:r w:rsidRPr="00B37630">
        <w:rPr>
          <w:rFonts w:ascii="Times New Roman" w:eastAsia="Times New Roman" w:hAnsi="Times New Roman" w:cs="Times New Roman"/>
          <w:b/>
          <w:bCs/>
          <w:color w:val="000000"/>
          <w:sz w:val="24"/>
          <w:szCs w:val="24"/>
          <w:lang w:eastAsia="cs-CZ"/>
        </w:rPr>
        <w:t>VKV Tools s.r.o.</w:t>
      </w:r>
    </w:p>
    <w:p w:rsidR="00B37630"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B37630" w:rsidRPr="00B37630">
        <w:rPr>
          <w:rFonts w:ascii="Times New Roman" w:eastAsia="Times New Roman" w:hAnsi="Times New Roman" w:cs="Times New Roman"/>
          <w:bCs/>
          <w:color w:val="000000"/>
          <w:sz w:val="24"/>
          <w:szCs w:val="24"/>
          <w:lang w:eastAsia="cs-CZ"/>
        </w:rPr>
        <w:t>Purkyňova 648/125, Medlánky, 612 00 Brno</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023FCA" w:rsidRPr="00023FCA">
        <w:rPr>
          <w:rFonts w:ascii="Times New Roman" w:eastAsia="Times New Roman" w:hAnsi="Times New Roman" w:cs="Times New Roman"/>
          <w:bCs/>
          <w:color w:val="000000"/>
          <w:sz w:val="24"/>
          <w:szCs w:val="24"/>
          <w:lang w:eastAsia="cs-CZ"/>
        </w:rPr>
        <w:t>Ing. K</w:t>
      </w:r>
      <w:r w:rsidR="00023FCA">
        <w:rPr>
          <w:rFonts w:ascii="Times New Roman" w:eastAsia="Times New Roman" w:hAnsi="Times New Roman" w:cs="Times New Roman"/>
          <w:bCs/>
          <w:color w:val="000000"/>
          <w:sz w:val="24"/>
          <w:szCs w:val="24"/>
          <w:lang w:eastAsia="cs-CZ"/>
        </w:rPr>
        <w:t>arlem Kouřilem</w:t>
      </w:r>
      <w:r w:rsidR="00023FCA" w:rsidRPr="00023FCA">
        <w:rPr>
          <w:rFonts w:ascii="Times New Roman" w:eastAsia="Times New Roman" w:hAnsi="Times New Roman" w:cs="Times New Roman"/>
          <w:bCs/>
          <w:color w:val="000000"/>
          <w:sz w:val="24"/>
          <w:szCs w:val="24"/>
          <w:lang w:eastAsia="cs-CZ"/>
        </w:rPr>
        <w:t>, Ph.D</w:t>
      </w:r>
      <w:r w:rsidR="00023FCA">
        <w:rPr>
          <w:rFonts w:ascii="Times New Roman" w:eastAsia="Times New Roman" w:hAnsi="Times New Roman" w:cs="Times New Roman"/>
          <w:bCs/>
          <w:color w:val="000000"/>
          <w:sz w:val="24"/>
          <w:szCs w:val="24"/>
          <w:lang w:eastAsia="cs-CZ"/>
        </w:rPr>
        <w:t>., jednatelem</w:t>
      </w:r>
    </w:p>
    <w:p w:rsidR="00D827EC" w:rsidRPr="00D827EC" w:rsidRDefault="00D827EC" w:rsidP="00023FCA">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zapsaná</w:t>
      </w:r>
      <w:r w:rsidR="00023FCA">
        <w:rPr>
          <w:rFonts w:ascii="Times New Roman" w:eastAsia="Times New Roman" w:hAnsi="Times New Roman" w:cs="Times New Roman"/>
          <w:bCs/>
          <w:color w:val="000000"/>
          <w:sz w:val="24"/>
          <w:szCs w:val="24"/>
          <w:lang w:eastAsia="cs-CZ"/>
        </w:rPr>
        <w:t xml:space="preserve"> v</w:t>
      </w:r>
      <w:r w:rsidRPr="00D827EC">
        <w:rPr>
          <w:rFonts w:ascii="Times New Roman" w:eastAsia="Times New Roman" w:hAnsi="Times New Roman" w:cs="Times New Roman"/>
          <w:bCs/>
          <w:color w:val="000000"/>
          <w:sz w:val="24"/>
          <w:szCs w:val="24"/>
          <w:lang w:eastAsia="cs-CZ"/>
        </w:rPr>
        <w:t xml:space="preserve"> </w:t>
      </w:r>
      <w:r w:rsidR="00023FCA" w:rsidRPr="00023FCA">
        <w:rPr>
          <w:rFonts w:ascii="Times New Roman" w:eastAsia="Times New Roman" w:hAnsi="Times New Roman" w:cs="Times New Roman"/>
          <w:bCs/>
          <w:color w:val="000000"/>
          <w:sz w:val="24"/>
          <w:szCs w:val="24"/>
          <w:lang w:eastAsia="cs-CZ"/>
        </w:rPr>
        <w:t>obchodní</w:t>
      </w:r>
      <w:r w:rsidR="00023FCA">
        <w:rPr>
          <w:rFonts w:ascii="Times New Roman" w:eastAsia="Times New Roman" w:hAnsi="Times New Roman" w:cs="Times New Roman"/>
          <w:bCs/>
          <w:color w:val="000000"/>
          <w:sz w:val="24"/>
          <w:szCs w:val="24"/>
          <w:lang w:eastAsia="cs-CZ"/>
        </w:rPr>
        <w:t>m</w:t>
      </w:r>
      <w:r w:rsidR="00023FCA" w:rsidRPr="00023FCA">
        <w:rPr>
          <w:rFonts w:ascii="Times New Roman" w:eastAsia="Times New Roman" w:hAnsi="Times New Roman" w:cs="Times New Roman"/>
          <w:bCs/>
          <w:color w:val="000000"/>
          <w:sz w:val="24"/>
          <w:szCs w:val="24"/>
          <w:lang w:eastAsia="cs-CZ"/>
        </w:rPr>
        <w:t xml:space="preserve"> rejstříku</w:t>
      </w:r>
      <w:r w:rsidR="00023FCA">
        <w:rPr>
          <w:rFonts w:ascii="Times New Roman" w:eastAsia="Times New Roman" w:hAnsi="Times New Roman" w:cs="Times New Roman"/>
          <w:bCs/>
          <w:color w:val="000000"/>
          <w:sz w:val="24"/>
          <w:szCs w:val="24"/>
          <w:lang w:eastAsia="cs-CZ"/>
        </w:rPr>
        <w:t xml:space="preserve"> u </w:t>
      </w:r>
      <w:r w:rsidR="00023FCA" w:rsidRPr="00023FCA">
        <w:rPr>
          <w:rFonts w:ascii="Times New Roman" w:eastAsia="Times New Roman" w:hAnsi="Times New Roman" w:cs="Times New Roman"/>
          <w:bCs/>
          <w:color w:val="000000"/>
          <w:sz w:val="24"/>
          <w:szCs w:val="24"/>
          <w:lang w:eastAsia="cs-CZ"/>
        </w:rPr>
        <w:t>Krajsk</w:t>
      </w:r>
      <w:r w:rsidR="00023FCA">
        <w:rPr>
          <w:rFonts w:ascii="Times New Roman" w:eastAsia="Times New Roman" w:hAnsi="Times New Roman" w:cs="Times New Roman"/>
          <w:bCs/>
          <w:color w:val="000000"/>
          <w:sz w:val="24"/>
          <w:szCs w:val="24"/>
          <w:lang w:eastAsia="cs-CZ"/>
        </w:rPr>
        <w:t>ého</w:t>
      </w:r>
      <w:r w:rsidR="00023FCA" w:rsidRPr="00023FCA">
        <w:rPr>
          <w:rFonts w:ascii="Times New Roman" w:eastAsia="Times New Roman" w:hAnsi="Times New Roman" w:cs="Times New Roman"/>
          <w:bCs/>
          <w:color w:val="000000"/>
          <w:sz w:val="24"/>
          <w:szCs w:val="24"/>
          <w:lang w:eastAsia="cs-CZ"/>
        </w:rPr>
        <w:t xml:space="preserve"> soud</w:t>
      </w:r>
      <w:r w:rsidR="00023FCA">
        <w:rPr>
          <w:rFonts w:ascii="Times New Roman" w:eastAsia="Times New Roman" w:hAnsi="Times New Roman" w:cs="Times New Roman"/>
          <w:bCs/>
          <w:color w:val="000000"/>
          <w:sz w:val="24"/>
          <w:szCs w:val="24"/>
          <w:lang w:eastAsia="cs-CZ"/>
        </w:rPr>
        <w:t>u</w:t>
      </w:r>
      <w:r w:rsidR="00023FCA" w:rsidRPr="00023FCA">
        <w:rPr>
          <w:rFonts w:ascii="Times New Roman" w:eastAsia="Times New Roman" w:hAnsi="Times New Roman" w:cs="Times New Roman"/>
          <w:bCs/>
          <w:color w:val="000000"/>
          <w:sz w:val="24"/>
          <w:szCs w:val="24"/>
          <w:lang w:eastAsia="cs-CZ"/>
        </w:rPr>
        <w:t xml:space="preserve"> v</w:t>
      </w:r>
      <w:r w:rsidR="00023FCA">
        <w:rPr>
          <w:rFonts w:ascii="Times New Roman" w:eastAsia="Times New Roman" w:hAnsi="Times New Roman" w:cs="Times New Roman"/>
          <w:bCs/>
          <w:color w:val="000000"/>
          <w:sz w:val="24"/>
          <w:szCs w:val="24"/>
          <w:lang w:eastAsia="cs-CZ"/>
        </w:rPr>
        <w:t> </w:t>
      </w:r>
      <w:r w:rsidR="00023FCA" w:rsidRPr="00023FCA">
        <w:rPr>
          <w:rFonts w:ascii="Times New Roman" w:eastAsia="Times New Roman" w:hAnsi="Times New Roman" w:cs="Times New Roman"/>
          <w:bCs/>
          <w:color w:val="000000"/>
          <w:sz w:val="24"/>
          <w:szCs w:val="24"/>
          <w:lang w:eastAsia="cs-CZ"/>
        </w:rPr>
        <w:t>Brně</w:t>
      </w:r>
      <w:r w:rsidR="00023FCA">
        <w:rPr>
          <w:rFonts w:ascii="Times New Roman" w:eastAsia="Times New Roman" w:hAnsi="Times New Roman" w:cs="Times New Roman"/>
          <w:bCs/>
          <w:color w:val="000000"/>
          <w:sz w:val="24"/>
          <w:szCs w:val="24"/>
          <w:lang w:eastAsia="cs-CZ"/>
        </w:rPr>
        <w:t xml:space="preserve">, </w:t>
      </w:r>
      <w:r w:rsidR="00023FCA" w:rsidRPr="00023FCA">
        <w:rPr>
          <w:rFonts w:ascii="Times New Roman" w:eastAsia="Times New Roman" w:hAnsi="Times New Roman" w:cs="Times New Roman"/>
          <w:bCs/>
          <w:color w:val="000000"/>
          <w:sz w:val="24"/>
          <w:szCs w:val="24"/>
          <w:lang w:eastAsia="cs-CZ"/>
        </w:rPr>
        <w:t>oddíl C, vložka 105298</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IČ: </w:t>
      </w:r>
      <w:r w:rsidR="00B37630" w:rsidRPr="00B37630">
        <w:rPr>
          <w:rFonts w:ascii="Times New Roman" w:eastAsia="Times New Roman" w:hAnsi="Times New Roman" w:cs="Times New Roman"/>
          <w:bCs/>
          <w:color w:val="000000"/>
          <w:sz w:val="24"/>
          <w:szCs w:val="24"/>
          <w:lang w:eastAsia="cs-CZ"/>
        </w:rPr>
        <w:t>069 51 597</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zastoupená doc. Ing. Luďkem Hynčíkem, Ph.D., prorektorem pro výzkum a vývoj</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0"/>
      <w:r w:rsidRPr="00D827EC">
        <w:rPr>
          <w:rFonts w:ascii="Times New Roman" w:eastAsia="Times New Roman" w:hAnsi="Times New Roman" w:cs="Times New Roman"/>
          <w:bCs/>
          <w:color w:val="000000"/>
          <w:sz w:val="24"/>
          <w:szCs w:val="24"/>
          <w:lang w:eastAsia="cs-CZ"/>
        </w:rPr>
        <w:t xml:space="preserve">IČ: </w:t>
      </w:r>
      <w:bookmarkEnd w:id="4"/>
      <w:r w:rsidRPr="00D827EC">
        <w:rPr>
          <w:rFonts w:ascii="Times New Roman" w:eastAsia="Times New Roman" w:hAnsi="Times New Roman" w:cs="Times New Roman"/>
          <w:bCs/>
          <w:color w:val="000000"/>
          <w:sz w:val="24"/>
          <w:szCs w:val="24"/>
          <w:lang w:eastAsia="cs-CZ"/>
        </w:rPr>
        <w:t>49777513</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1"/>
      <w:r w:rsidRPr="00D827EC">
        <w:rPr>
          <w:rFonts w:ascii="Times New Roman" w:eastAsia="Times New Roman" w:hAnsi="Times New Roman" w:cs="Times New Roman"/>
          <w:bCs/>
          <w:color w:val="000000"/>
          <w:sz w:val="24"/>
          <w:szCs w:val="24"/>
          <w:lang w:eastAsia="cs-CZ"/>
        </w:rPr>
        <w:t xml:space="preserve">bankovní spojení: </w:t>
      </w:r>
      <w:bookmarkEnd w:id="5"/>
      <w:r w:rsidRPr="00D827EC">
        <w:rPr>
          <w:rFonts w:ascii="Times New Roman" w:eastAsia="Times New Roman" w:hAnsi="Times New Roman" w:cs="Times New Roman"/>
          <w:bCs/>
          <w:color w:val="000000"/>
          <w:sz w:val="24"/>
          <w:szCs w:val="24"/>
          <w:lang w:eastAsia="cs-CZ"/>
        </w:rPr>
        <w:t>Komerční banka a.s., pobočka Plzeň – město, č. účtu: 4811530257/0100</w:t>
      </w:r>
    </w:p>
    <w:p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6" w:name="_Toc196810172"/>
      <w:r w:rsidRPr="00D827EC">
        <w:rPr>
          <w:rFonts w:ascii="Times New Roman" w:eastAsia="Times New Roman" w:hAnsi="Times New Roman" w:cs="Times New Roman"/>
          <w:bCs/>
          <w:color w:val="000000"/>
          <w:sz w:val="24"/>
          <w:szCs w:val="24"/>
          <w:lang w:eastAsia="cs-CZ"/>
        </w:rPr>
        <w:t>(dále jen „další účastník projektu“)</w:t>
      </w:r>
      <w:bookmarkEnd w:id="6"/>
    </w:p>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7" w:name="_Toc196810176"/>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7"/>
    </w:p>
    <w:p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rsidR="00D827EC" w:rsidRPr="00B37630" w:rsidRDefault="00D827EC" w:rsidP="00B37630">
      <w:pPr>
        <w:numPr>
          <w:ilvl w:val="0"/>
          <w:numId w:val="1"/>
        </w:numPr>
        <w:spacing w:after="120" w:line="240" w:lineRule="auto"/>
        <w:jc w:val="both"/>
        <w:rPr>
          <w:rFonts w:ascii="Times New Roman" w:hAnsi="Times New Roman" w:cs="Times New Roman"/>
          <w:sz w:val="24"/>
          <w:szCs w:val="24"/>
        </w:rPr>
      </w:pPr>
      <w:r w:rsidRPr="00B37630">
        <w:rPr>
          <w:rFonts w:ascii="Times New Roman" w:hAnsi="Times New Roman" w:cs="Times New Roman"/>
          <w:sz w:val="24"/>
          <w:szCs w:val="24"/>
        </w:rPr>
        <w:t>Smluvní strany usilují o poskytnutí dotace pro projekt s názvem "</w:t>
      </w:r>
      <w:r w:rsidR="00B37630" w:rsidRPr="00B37630">
        <w:rPr>
          <w:rFonts w:ascii="Times New Roman" w:hAnsi="Times New Roman" w:cs="Times New Roman"/>
          <w:b/>
          <w:sz w:val="24"/>
          <w:szCs w:val="24"/>
        </w:rPr>
        <w:t>VÝVOJ HONOVACÍCH NÁSTROJŮ A TECHNOLOGIÍ S VYUZÍTÍM SUPERTVRDÝCH ŘEZNÝCH MATERIÁLŮ</w:t>
      </w:r>
      <w:r w:rsidRPr="00B37630">
        <w:rPr>
          <w:rFonts w:ascii="Times New Roman" w:hAnsi="Times New Roman" w:cs="Times New Roman"/>
          <w:sz w:val="24"/>
          <w:szCs w:val="24"/>
        </w:rPr>
        <w:t xml:space="preserve">" (dále jen „projekt“) v rámci Operačního programu Podnikání a inovace pro konkurenceschopnost, Programu podpory Aplikace VIII. výzvy. V této souvislosti smluvní strany pro případ, že Ministerstvo průmyslu a obchodu (dále jen „poskytovatel“) rozhodne o podpoření projektu a vydá Rozhodnutí o poskytnutí dotace, uzavírají tuto smlouvu. </w:t>
      </w:r>
    </w:p>
    <w:p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rsidR="00D827EC" w:rsidRDefault="00D827EC" w:rsidP="00D827EC">
      <w:pPr>
        <w:numPr>
          <w:ilvl w:val="0"/>
          <w:numId w:val="1"/>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Příjemce a další účastník projektu jsou povinni při realizaci projektu postupovat v souladu s podnikatelským záměrem, který je přílohou žádosti o podporu projektu, touto smlouvou, Rozhodnutím o poskytnutí dotace na projekt, vč. jeho příloh (zejména Pravidla pro žadatele a příjemce z OP PIK – obecná a zvláštní část, Pravidla způsobilosti a publicity, Pravidla pro výběr dodavatelů, rozpočet projektu), Výzvou VIII programu podpory APLIKACE, vč. jejích příloh a navazující dokumentace (dále 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sidR="00B80F28">
        <w:rPr>
          <w:rFonts w:ascii="Times New Roman" w:hAnsi="Times New Roman" w:cs="Times New Roman"/>
          <w:sz w:val="24"/>
          <w:szCs w:val="24"/>
        </w:rPr>
        <w:t>s</w:t>
      </w:r>
      <w:r w:rsidR="00B7097D" w:rsidRPr="00D827EC">
        <w:rPr>
          <w:rFonts w:ascii="Times New Roman" w:hAnsi="Times New Roman" w:cs="Times New Roman"/>
          <w:sz w:val="24"/>
          <w:szCs w:val="24"/>
          <w:lang w:val="x-none"/>
        </w:rPr>
        <w:t>mlouvě</w:t>
      </w:r>
      <w:r w:rsidRPr="00D827EC">
        <w:rPr>
          <w:rFonts w:ascii="Times New Roman" w:hAnsi="Times New Roman" w:cs="Times New Roman"/>
          <w:sz w:val="24"/>
          <w:szCs w:val="24"/>
        </w:rPr>
        <w:t xml:space="preserve">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Rozhodnutí o poskytnutí dotace na projekt, vč. jeho příloh, a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účastník projektu se řídí výše uvedenými dokumenty s výjimkou ustanovení, z jejichž podstaty vyplývá, že se nemohou vztahovat na dalšího účastníka projektu.</w:t>
      </w:r>
    </w:p>
    <w:p w:rsidR="009472CF" w:rsidRPr="00D827EC" w:rsidRDefault="009472CF" w:rsidP="009472CF">
      <w:pPr>
        <w:spacing w:line="240" w:lineRule="auto"/>
        <w:ind w:left="357"/>
        <w:jc w:val="both"/>
        <w:rPr>
          <w:rFonts w:ascii="Times New Roman" w:hAnsi="Times New Roman" w:cs="Times New Roman"/>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6054B2">
        <w:rPr>
          <w:rFonts w:ascii="Times New Roman" w:hAnsi="Times New Roman" w:cs="Times New Roman"/>
          <w:sz w:val="24"/>
          <w:szCs w:val="24"/>
        </w:rPr>
        <w:t>b</w:t>
      </w:r>
      <w:r w:rsidRPr="00D827EC">
        <w:rPr>
          <w:rFonts w:ascii="Times New Roman" w:hAnsi="Times New Roman" w:cs="Times New Roman"/>
          <w:sz w:val="24"/>
          <w:szCs w:val="24"/>
        </w:rPr>
        <w:t>ou na projekt. Cílem této povinnosti je zajistit, aby další účastník projektu byl schopen na vyžádání předložit kontrolním a auditním orgánům úplný přehled způsobilých výdajů (účetních operací nebo záznamů v daňové evidenci),</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na žádost příjemce bezodkladně písemně poskytnout požadované doplňující informace související s realizací projektu,</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zároveň však </w:t>
      </w:r>
      <w:r w:rsidRPr="00D827EC">
        <w:rPr>
          <w:rFonts w:ascii="Times New Roman" w:hAnsi="Times New Roman" w:cs="Times New Roman"/>
          <w:sz w:val="24"/>
          <w:szCs w:val="24"/>
        </w:rPr>
        <w:lastRenderedPageBreak/>
        <w:t xml:space="preserve">nejméně do doby uplynutí tří (3) let od uzávěrky Operačního programu Podnikání a inovace pro konkurenceschopnost,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(dále jen „zákon o zadávání veřejných zakázek“)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která tvoří přílohu Rozhodnutí o poskytnutí dotace,</w:t>
      </w:r>
      <w:r w:rsidRPr="00D827EC" w:rsidDel="008C2847">
        <w:rPr>
          <w:rFonts w:ascii="Times New Roman" w:hAnsi="Times New Roman" w:cs="Times New Roman"/>
          <w:sz w:val="24"/>
          <w:szCs w:val="24"/>
        </w:rPr>
        <w:t xml:space="preserve">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dodržovat povinnost publicity dle Pravidel způsobilosti a publicity, které tvoří přílohu Rozhodnutí o poskytnutí dotace,</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 xml:space="preserve">Po vydání Rozhodnutí o poskytnutí dotace není Příjemce oprávněn vzdát se práva na čerpání dotace přiznané Rozhodnutím o poskytnutí dotace bez předchozího písemného souhlasu dalšího účastníka projektu. </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Projekt bude financován z prostředků, které budou poskytnuty příjemci formou dotace z Operačního programu Podnikání a inovace pro konkurenceschopnost.</w:t>
      </w:r>
    </w:p>
    <w:p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2.1. Způsobilé výdaje jsou vymezeny v "Rozpočtu projektu v programu APLIKACE", který je přílohou žádosti o podporu a tvoří přílohu č. 1 této smlouvy. </w:t>
      </w:r>
    </w:p>
    <w:p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lastRenderedPageBreak/>
        <w:t>2.2.  Celková částka dotace na projekt za celou dobu jeho řešení je uvedena v příloze č. 1 této Smlouvy. V příloze č. 1 je taktéž stanoven:</w:t>
      </w:r>
    </w:p>
    <w:p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rozdělení Průmyslového výzkumu a Experimentálního vývoje mezi jednotlivé smluvní strany</w:t>
      </w:r>
      <w:r w:rsidR="00A375E1">
        <w:rPr>
          <w:rFonts w:ascii="Times New Roman" w:hAnsi="Times New Roman" w:cs="Times New Roman"/>
          <w:sz w:val="24"/>
          <w:szCs w:val="24"/>
        </w:rPr>
        <w:t>.</w:t>
      </w:r>
    </w:p>
    <w:p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V případě rozporu přílohy č. 1 této smlouvy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 v programu APLIKACE</w:t>
      </w:r>
      <w:r w:rsidR="00A375E1">
        <w:rPr>
          <w:rFonts w:ascii="Times New Roman" w:hAnsi="Times New Roman" w:cs="Times New Roman"/>
          <w:sz w:val="24"/>
          <w:szCs w:val="24"/>
        </w:rPr>
        <w:t xml:space="preserve">“ </w:t>
      </w:r>
      <w:r w:rsidRPr="00D827EC">
        <w:rPr>
          <w:rFonts w:ascii="Times New Roman" w:hAnsi="Times New Roman" w:cs="Times New Roman"/>
          <w:sz w:val="24"/>
          <w:szCs w:val="24"/>
        </w:rPr>
        <w:t xml:space="preserve">a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r w:rsidRPr="00D827EC">
        <w:rPr>
          <w:rFonts w:ascii="Times New Roman" w:hAnsi="Times New Roman" w:cs="Times New Roman"/>
          <w:sz w:val="24"/>
          <w:szCs w:val="24"/>
        </w:rPr>
        <w:t xml:space="preserve"> se postupuje dle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sidR="008B0CEC">
        <w:rPr>
          <w:rFonts w:ascii="Times New Roman" w:hAnsi="Times New Roman" w:cs="Times New Roman"/>
          <w:sz w:val="24"/>
          <w:szCs w:val="24"/>
        </w:rPr>
        <w:t xml:space="preserve"> uvedené zejm. </w:t>
      </w:r>
      <w:r w:rsidRPr="009E4007">
        <w:rPr>
          <w:rFonts w:ascii="Times New Roman" w:hAnsi="Times New Roman" w:cs="Times New Roman"/>
          <w:sz w:val="24"/>
          <w:szCs w:val="24"/>
        </w:rPr>
        <w:t xml:space="preserve">v Pravidlech způsobilosti a publicity, která jsou přílohou Rozhodnutí o poskytnutí dotace. Další účastník projektu je povinen poskytnout příjemci veškeré podklady potřebné pro vypracování žádosti o platbu.   </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vliv na nárok na náhradu škody. </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rsidR="00D827EC" w:rsidRPr="00D827EC" w:rsidRDefault="00D827EC" w:rsidP="00D827EC">
      <w:pPr>
        <w:spacing w:line="240" w:lineRule="auto"/>
        <w:jc w:val="both"/>
        <w:rPr>
          <w:rFonts w:ascii="Times New Roman" w:hAnsi="Times New Roman" w:cs="Times New Roman"/>
          <w:i/>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společně jak </w:t>
      </w:r>
      <w:r w:rsidRPr="00D827EC">
        <w:rPr>
          <w:rFonts w:ascii="Times New Roman" w:hAnsi="Times New Roman" w:cs="Times New Roman"/>
          <w:sz w:val="24"/>
          <w:szCs w:val="24"/>
        </w:rPr>
        <w:lastRenderedPageBreak/>
        <w:t>příjemcem, tak i dalším účastníkem projektu, je předmětný hmotný majetek v podílovém spoluvlastnictví příjemce a dalšího účastníka projektu, přičemž jejich podíl na vlastnictví hmotného majetku se stanoví podle poměru finančních prostředků vynaložených příjemcem a dalším účastníkem projektu na pořízení předmětného hmotného majetku.</w:t>
      </w:r>
    </w:p>
    <w:p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Za vnesená práva jsou považována taková autorská práva, práva průmyslového vlastnictví a know-how, která mají smluvní strany v době uzavření této smlouvy nebo je získají později nezávisle na řešení projektu a tato práva jsou nezbytná pro řešení projektu.</w:t>
      </w:r>
    </w:p>
    <w:p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mohou smluvní strany užívat bezplatně pro potřeby projektu. K jiným účelům může smluvní strana užívat vnesená práva druhé smluvní strany pouze na základě předchozí písemné licenční smlouvy za běžných tržních podmínek. </w:t>
      </w:r>
    </w:p>
    <w:p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rsidR="00D827EC" w:rsidRPr="00D827EC" w:rsidRDefault="00D827EC" w:rsidP="00D827EC">
      <w:pPr>
        <w:spacing w:line="240" w:lineRule="auto"/>
        <w:jc w:val="both"/>
        <w:rPr>
          <w:rFonts w:ascii="Times New Roman" w:hAnsi="Times New Roman" w:cs="Times New Roman"/>
          <w:b/>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 výsledkům Projektu</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zákona č. 130/2002 Sb., o podpoře výzkumu, experimentálního vývoje a inovací, </w:t>
      </w:r>
      <w:r w:rsidR="00B7097D" w:rsidRPr="00D827EC">
        <w:rPr>
          <w:rFonts w:ascii="Times New Roman" w:hAnsi="Times New Roman" w:cs="Times New Roman"/>
          <w:sz w:val="24"/>
          <w:szCs w:val="24"/>
        </w:rPr>
        <w:t>ve znění pozdějších předpisů</w:t>
      </w:r>
      <w:r w:rsidRPr="00D827EC">
        <w:rPr>
          <w:rFonts w:ascii="Times New Roman" w:hAnsi="Times New Roman" w:cs="Times New Roman"/>
          <w:sz w:val="24"/>
          <w:szCs w:val="24"/>
        </w:rPr>
        <w:t>, vzniklé samostatnou činností příjemce nebo dalšího účastníka projektu nebo společným spolupůsobením příjemce a dalšího účastníka projektu v rámci řešení projektu (dále jen „výsledek projektu“).</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p>
    <w:p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rsidR="00D827EC" w:rsidRDefault="00D827EC" w:rsidP="00D827EC">
      <w:pPr>
        <w:spacing w:line="240" w:lineRule="auto"/>
        <w:jc w:val="both"/>
        <w:rPr>
          <w:rFonts w:ascii="Times New Roman" w:hAnsi="Times New Roman" w:cs="Times New Roman"/>
          <w:b/>
          <w:sz w:val="24"/>
          <w:szCs w:val="24"/>
        </w:rPr>
      </w:pPr>
    </w:p>
    <w:p w:rsidR="009472CF" w:rsidRDefault="009472CF" w:rsidP="00D827EC">
      <w:pPr>
        <w:spacing w:line="240" w:lineRule="auto"/>
        <w:jc w:val="both"/>
        <w:rPr>
          <w:rFonts w:ascii="Times New Roman" w:hAnsi="Times New Roman" w:cs="Times New Roman"/>
          <w:b/>
          <w:sz w:val="24"/>
          <w:szCs w:val="24"/>
        </w:rPr>
      </w:pPr>
    </w:p>
    <w:p w:rsidR="008B0CEC" w:rsidRPr="00D827EC" w:rsidRDefault="008B0CEC" w:rsidP="00D827EC">
      <w:pPr>
        <w:spacing w:line="240" w:lineRule="auto"/>
        <w:jc w:val="both"/>
        <w:rPr>
          <w:rFonts w:ascii="Times New Roman" w:hAnsi="Times New Roman" w:cs="Times New Roman"/>
          <w:b/>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rsidR="009472CF" w:rsidRDefault="009472CF" w:rsidP="00D827EC">
      <w:pPr>
        <w:spacing w:after="0" w:line="240" w:lineRule="auto"/>
        <w:jc w:val="center"/>
        <w:rPr>
          <w:rFonts w:ascii="Times New Roman" w:eastAsia="Times New Roman" w:hAnsi="Times New Roman" w:cs="Times New Roman"/>
          <w:b/>
          <w:sz w:val="24"/>
          <w:szCs w:val="24"/>
          <w:lang w:eastAsia="cs-CZ"/>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Podstatným porušením povinnosti se přitom ve vztahu k příjemci zejména rozumí </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III odst. 7 této smlouvy se vzdá práva na čerpání dotace přiznané rozhodnutím o poskytnutí dotace bez předchozího písemného souhlasu dalšího účastníka projektu,</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5 je v prodlení s poskytnutím dotace pro dalšího účastníka projektu déle než 30 dní,</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6 této smlouvy nepodá žádost o platbu nebo neodstraní nedostatky žádosti o platbu ve lhůtě stanovené poskytovatelem,</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8 této smlouvy odstoupí od žádosti o platbu ve vztahu k dotaci příslušící dalšímu účastníkovi projektu bez předchozího písemného souhlasu dalšího účastníka projektu</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vztahu k dalšímu účastníkovi projektu zejména rozumí</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dalšího účastníka projektu, které zásadně ohrožuje realizaci projektu, nezjedná-li další účastník projektu na základě písemné výzvy příjemce nápravu takového jednání v dodatečné přiměřené lhůtě </w:t>
      </w:r>
    </w:p>
    <w:p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rsidR="00D827EC" w:rsidRPr="00D827EC" w:rsidRDefault="00D827EC" w:rsidP="00D827EC">
      <w:pPr>
        <w:spacing w:line="240" w:lineRule="auto"/>
        <w:jc w:val="both"/>
        <w:rPr>
          <w:rFonts w:ascii="Times New Roman" w:hAnsi="Times New Roman" w:cs="Times New Roman"/>
          <w:b/>
          <w:sz w:val="24"/>
          <w:szCs w:val="24"/>
        </w:rPr>
      </w:pPr>
    </w:p>
    <w:p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Jakékoliv změny této smlouvy lze provádět pouze na základě dohody smluvních stran formou písemných dodatků podepsaných oprávněnými zástupci smluvních stran.</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podpořen, tato smlouva zaniká ke dni rozhodnutí poskytovatele. </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 které zajistí další účastník projektu. Smluvní strany se dohodly, že neuveřejní-li další účastník projektu tuto smlouvu v registru smluv do 30 dnů od jejího podpisu, uveřejní ji příjemce.</w:t>
      </w:r>
    </w:p>
    <w:p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Tato smlouva je vyhotovena ve třech vyhotoveních, z nichž příjemce obdrží dvě vyhotovení a další účastník projektu jedno vyhotovení.</w:t>
      </w:r>
    </w:p>
    <w:p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rsidR="00C45C69" w:rsidRPr="00D827EC" w:rsidRDefault="00C45C69" w:rsidP="009E4007">
      <w:pPr>
        <w:numPr>
          <w:ilvl w:val="0"/>
          <w:numId w:val="16"/>
        </w:numPr>
        <w:spacing w:after="120" w:line="240" w:lineRule="auto"/>
        <w:ind w:left="357" w:hanging="357"/>
        <w:jc w:val="both"/>
        <w:rPr>
          <w:rFonts w:ascii="Times New Roman" w:hAnsi="Times New Roman" w:cs="Times New Roman"/>
          <w:sz w:val="24"/>
          <w:szCs w:val="24"/>
        </w:rPr>
      </w:pPr>
      <w:r w:rsidRPr="00C45C69">
        <w:rPr>
          <w:rFonts w:ascii="Times New Roman" w:hAnsi="Times New Roman" w:cs="Times New Roman"/>
          <w:sz w:val="24"/>
          <w:szCs w:val="24"/>
        </w:rPr>
        <w:t>Nedílnou součástí této smlouvy je příloha č.1 Rozpočet projektu v programu Aplikace.</w:t>
      </w:r>
    </w:p>
    <w:p w:rsidR="00D827EC" w:rsidRPr="00D827EC" w:rsidRDefault="00D827EC" w:rsidP="009E4007">
      <w:pPr>
        <w:spacing w:after="120" w:line="240" w:lineRule="auto"/>
        <w:ind w:left="357"/>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4061"/>
        <w:gridCol w:w="1051"/>
        <w:gridCol w:w="4176"/>
      </w:tblGrid>
      <w:tr w:rsidR="00D827EC" w:rsidRPr="00D827EC" w:rsidTr="003867E8">
        <w:trPr>
          <w:jc w:val="center"/>
        </w:trPr>
        <w:tc>
          <w:tcPr>
            <w:tcW w:w="4156" w:type="dxa"/>
          </w:tcPr>
          <w:p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 dne………..</w:t>
            </w:r>
          </w:p>
        </w:tc>
        <w:tc>
          <w:tcPr>
            <w:tcW w:w="1080" w:type="dxa"/>
          </w:tcPr>
          <w:p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rsidTr="003867E8">
        <w:trPr>
          <w:jc w:val="center"/>
        </w:trPr>
        <w:tc>
          <w:tcPr>
            <w:tcW w:w="4156" w:type="dxa"/>
          </w:tcPr>
          <w:p w:rsidR="00D827EC" w:rsidRPr="00D827EC" w:rsidRDefault="00D827EC" w:rsidP="00D827EC">
            <w:pPr>
              <w:spacing w:line="240" w:lineRule="auto"/>
              <w:jc w:val="both"/>
              <w:rPr>
                <w:rFonts w:ascii="Times New Roman" w:hAnsi="Times New Roman" w:cs="Times New Roman"/>
                <w:sz w:val="24"/>
                <w:szCs w:val="24"/>
              </w:rPr>
            </w:pPr>
          </w:p>
        </w:tc>
        <w:tc>
          <w:tcPr>
            <w:tcW w:w="1080" w:type="dxa"/>
          </w:tcPr>
          <w:p w:rsidR="00D827EC" w:rsidRPr="00D827EC" w:rsidRDefault="00D827EC" w:rsidP="00D827EC">
            <w:pPr>
              <w:spacing w:line="240" w:lineRule="auto"/>
              <w:jc w:val="both"/>
              <w:rPr>
                <w:rFonts w:ascii="Times New Roman" w:hAnsi="Times New Roman" w:cs="Times New Roman"/>
                <w:sz w:val="24"/>
                <w:szCs w:val="24"/>
              </w:rPr>
            </w:pPr>
          </w:p>
        </w:tc>
        <w:tc>
          <w:tcPr>
            <w:tcW w:w="4227" w:type="dxa"/>
          </w:tcPr>
          <w:p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rsidTr="003867E8">
        <w:trPr>
          <w:trHeight w:val="947"/>
          <w:jc w:val="center"/>
        </w:trPr>
        <w:tc>
          <w:tcPr>
            <w:tcW w:w="4156" w:type="dxa"/>
            <w:tcBorders>
              <w:bottom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p>
        </w:tc>
        <w:tc>
          <w:tcPr>
            <w:tcW w:w="1080" w:type="dxa"/>
          </w:tcPr>
          <w:p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p>
        </w:tc>
      </w:tr>
      <w:tr w:rsidR="00D827EC" w:rsidRPr="00D827EC" w:rsidTr="003867E8">
        <w:trPr>
          <w:jc w:val="center"/>
        </w:trPr>
        <w:tc>
          <w:tcPr>
            <w:tcW w:w="4156" w:type="dxa"/>
            <w:tcBorders>
              <w:top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rsidR="00D827EC" w:rsidRPr="00D827EC" w:rsidRDefault="00D827EC" w:rsidP="00D827EC">
            <w:pPr>
              <w:spacing w:line="240" w:lineRule="auto"/>
              <w:jc w:val="both"/>
              <w:rPr>
                <w:rFonts w:ascii="Times New Roman" w:hAnsi="Times New Roman" w:cs="Times New Roman"/>
                <w:sz w:val="24"/>
                <w:szCs w:val="24"/>
              </w:rPr>
            </w:pPr>
          </w:p>
        </w:tc>
        <w:tc>
          <w:tcPr>
            <w:tcW w:w="1080" w:type="dxa"/>
          </w:tcPr>
          <w:p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rsidR="00D827EC" w:rsidRPr="00D827EC" w:rsidRDefault="00D827EC" w:rsidP="00D827EC">
      <w:pPr>
        <w:spacing w:line="240" w:lineRule="auto"/>
        <w:jc w:val="both"/>
        <w:rPr>
          <w:rFonts w:ascii="Times New Roman" w:hAnsi="Times New Roman" w:cs="Times New Roman"/>
          <w:sz w:val="24"/>
          <w:szCs w:val="24"/>
        </w:rPr>
      </w:pPr>
    </w:p>
    <w:p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FA33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41" w:rsidRDefault="00871441">
      <w:pPr>
        <w:spacing w:after="0" w:line="240" w:lineRule="auto"/>
      </w:pPr>
      <w:r>
        <w:separator/>
      </w:r>
    </w:p>
  </w:endnote>
  <w:endnote w:type="continuationSeparator" w:id="0">
    <w:p w:rsidR="00871441" w:rsidRDefault="0087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94" w:rsidRDefault="009E4007">
    <w:pPr>
      <w:pStyle w:val="Zpat"/>
      <w:jc w:val="right"/>
    </w:pPr>
    <w:r>
      <w:fldChar w:fldCharType="begin"/>
    </w:r>
    <w:r>
      <w:instrText xml:space="preserve"> PAGE   \* MERGEFORMAT </w:instrText>
    </w:r>
    <w:r>
      <w:fldChar w:fldCharType="separate"/>
    </w:r>
    <w:r w:rsidR="00782362">
      <w:rPr>
        <w:noProof/>
      </w:rPr>
      <w:t>2</w:t>
    </w:r>
    <w:r>
      <w:fldChar w:fldCharType="end"/>
    </w:r>
  </w:p>
  <w:p w:rsidR="006C6194" w:rsidRDefault="0087144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41" w:rsidRDefault="00871441">
      <w:pPr>
        <w:spacing w:after="0" w:line="240" w:lineRule="auto"/>
      </w:pPr>
      <w:r>
        <w:separator/>
      </w:r>
    </w:p>
  </w:footnote>
  <w:footnote w:type="continuationSeparator" w:id="0">
    <w:p w:rsidR="00871441" w:rsidRDefault="00871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94" w:rsidRDefault="00871441">
    <w:pPr>
      <w:pStyle w:val="Zhlav"/>
    </w:pPr>
  </w:p>
  <w:p w:rsidR="006C6194" w:rsidRDefault="008714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abstractNumId w:val="8"/>
  </w:num>
  <w:num w:numId="2">
    <w:abstractNumId w:val="15"/>
  </w:num>
  <w:num w:numId="3">
    <w:abstractNumId w:val="6"/>
  </w:num>
  <w:num w:numId="4">
    <w:abstractNumId w:val="16"/>
  </w:num>
  <w:num w:numId="5">
    <w:abstractNumId w:val="11"/>
  </w:num>
  <w:num w:numId="6">
    <w:abstractNumId w:val="7"/>
  </w:num>
  <w:num w:numId="7">
    <w:abstractNumId w:val="10"/>
  </w:num>
  <w:num w:numId="8">
    <w:abstractNumId w:val="3"/>
  </w:num>
  <w:num w:numId="9">
    <w:abstractNumId w:val="14"/>
  </w:num>
  <w:num w:numId="10">
    <w:abstractNumId w:val="12"/>
  </w:num>
  <w:num w:numId="11">
    <w:abstractNumId w:val="1"/>
  </w:num>
  <w:num w:numId="12">
    <w:abstractNumId w:val="13"/>
  </w:num>
  <w:num w:numId="13">
    <w:abstractNumId w:val="2"/>
  </w:num>
  <w:num w:numId="14">
    <w:abstractNumId w:val="9"/>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EC"/>
    <w:rsid w:val="00023FCA"/>
    <w:rsid w:val="000C574C"/>
    <w:rsid w:val="00122E2F"/>
    <w:rsid w:val="002169CF"/>
    <w:rsid w:val="002F7391"/>
    <w:rsid w:val="00334778"/>
    <w:rsid w:val="004826BE"/>
    <w:rsid w:val="00523F0B"/>
    <w:rsid w:val="006054B2"/>
    <w:rsid w:val="006E0A53"/>
    <w:rsid w:val="00782362"/>
    <w:rsid w:val="00871441"/>
    <w:rsid w:val="008B0CEC"/>
    <w:rsid w:val="008E708D"/>
    <w:rsid w:val="00902F1C"/>
    <w:rsid w:val="009472CF"/>
    <w:rsid w:val="009E4007"/>
    <w:rsid w:val="00A13CD7"/>
    <w:rsid w:val="00A375E1"/>
    <w:rsid w:val="00B37630"/>
    <w:rsid w:val="00B5748F"/>
    <w:rsid w:val="00B7097D"/>
    <w:rsid w:val="00B80F28"/>
    <w:rsid w:val="00BA26FC"/>
    <w:rsid w:val="00C45C69"/>
    <w:rsid w:val="00D827EC"/>
    <w:rsid w:val="00DD1C79"/>
    <w:rsid w:val="00E83CF1"/>
    <w:rsid w:val="00F65E34"/>
    <w:rsid w:val="00FA1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3055</Words>
  <Characters>18028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2021-09-15T09:51:00Z</dcterms:created>
  <dcterms:modified xsi:type="dcterms:W3CDTF">2021-09-15T09:51:00Z</dcterms:modified>
</cp:coreProperties>
</file>