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50" w:rsidRDefault="00FF6950">
      <w:pPr>
        <w:pStyle w:val="Normln1"/>
        <w:pBdr>
          <w:top w:val="nil"/>
          <w:left w:val="nil"/>
          <w:bottom w:val="nil"/>
          <w:right w:val="nil"/>
          <w:between w:val="nil"/>
        </w:pBdr>
        <w:spacing w:before="120" w:after="120"/>
        <w:jc w:val="center"/>
        <w:rPr>
          <w:color w:val="000000"/>
          <w:sz w:val="28"/>
          <w:szCs w:val="28"/>
        </w:rPr>
      </w:pPr>
    </w:p>
    <w:p w:rsidR="00FF6950" w:rsidRDefault="00A6769F">
      <w:pPr>
        <w:pStyle w:val="Normln1"/>
        <w:pBdr>
          <w:top w:val="nil"/>
          <w:left w:val="nil"/>
          <w:bottom w:val="nil"/>
          <w:right w:val="nil"/>
          <w:between w:val="nil"/>
        </w:pBdr>
        <w:spacing w:before="120" w:after="120"/>
        <w:jc w:val="center"/>
        <w:rPr>
          <w:color w:val="000000"/>
          <w:sz w:val="28"/>
          <w:szCs w:val="28"/>
        </w:rPr>
      </w:pPr>
      <w:r>
        <w:rPr>
          <w:b/>
          <w:color w:val="000000"/>
          <w:sz w:val="28"/>
          <w:szCs w:val="28"/>
        </w:rPr>
        <w:t>SMLOUVA O UDĚLENÍ SOUHLASU S UŽITÍM</w:t>
      </w:r>
    </w:p>
    <w:p w:rsidR="00FF6950" w:rsidRDefault="00FF6950">
      <w:pPr>
        <w:pStyle w:val="Normln1"/>
        <w:pBdr>
          <w:top w:val="nil"/>
          <w:left w:val="nil"/>
          <w:bottom w:val="nil"/>
          <w:right w:val="nil"/>
          <w:between w:val="nil"/>
        </w:pBdr>
        <w:spacing w:before="120" w:after="120"/>
        <w:jc w:val="both"/>
        <w:rPr>
          <w:color w:val="000000"/>
          <w:sz w:val="24"/>
          <w:szCs w:val="24"/>
        </w:rPr>
      </w:pP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I.</w:t>
      </w: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Smluvní strany</w:t>
      </w:r>
    </w:p>
    <w:p w:rsidR="00FF6950" w:rsidRDefault="00FF6950">
      <w:pPr>
        <w:pStyle w:val="Normln1"/>
        <w:pBdr>
          <w:top w:val="nil"/>
          <w:left w:val="nil"/>
          <w:bottom w:val="nil"/>
          <w:right w:val="nil"/>
          <w:between w:val="nil"/>
        </w:pBdr>
        <w:jc w:val="center"/>
        <w:rPr>
          <w:color w:val="000000"/>
          <w:sz w:val="22"/>
          <w:szCs w:val="22"/>
        </w:rPr>
      </w:pPr>
    </w:p>
    <w:p w:rsidR="00FF6950" w:rsidRDefault="00FF6950">
      <w:pPr>
        <w:pStyle w:val="Normln1"/>
        <w:pBdr>
          <w:top w:val="nil"/>
          <w:left w:val="nil"/>
          <w:bottom w:val="nil"/>
          <w:right w:val="nil"/>
          <w:between w:val="nil"/>
        </w:pBdr>
        <w:jc w:val="center"/>
        <w:rPr>
          <w:color w:val="000000"/>
          <w:sz w:val="22"/>
          <w:szCs w:val="22"/>
        </w:rPr>
      </w:pPr>
    </w:p>
    <w:p w:rsidR="00FF6950" w:rsidRDefault="00A6769F">
      <w:pPr>
        <w:pStyle w:val="Normln1"/>
        <w:rPr>
          <w:sz w:val="22"/>
          <w:szCs w:val="22"/>
        </w:rPr>
      </w:pPr>
      <w:r>
        <w:rPr>
          <w:b/>
          <w:sz w:val="22"/>
          <w:szCs w:val="22"/>
        </w:rPr>
        <w:t>Národní filmový archiv</w:t>
      </w:r>
      <w:r>
        <w:rPr>
          <w:sz w:val="22"/>
          <w:szCs w:val="22"/>
        </w:rPr>
        <w:t>, příspěvková organizace</w:t>
      </w:r>
    </w:p>
    <w:p w:rsidR="00FF6950" w:rsidRDefault="00A6769F">
      <w:pPr>
        <w:pStyle w:val="Normln1"/>
        <w:rPr>
          <w:b/>
          <w:sz w:val="22"/>
          <w:szCs w:val="22"/>
        </w:rPr>
      </w:pPr>
      <w:r>
        <w:rPr>
          <w:sz w:val="22"/>
          <w:szCs w:val="22"/>
        </w:rPr>
        <w:t>nepodléhající zápisu do obchodního rejstříku, zřízená Ministerstvem kultury ČR, zřizovací listina č. j. MK 13526/2013 OMA ve znění pozdějších změn a doplňků  </w:t>
      </w:r>
      <w:r>
        <w:rPr>
          <w:sz w:val="22"/>
          <w:szCs w:val="22"/>
        </w:rPr>
        <w:br/>
        <w:t>se sídlem Praha 3, Malešická 12</w:t>
      </w:r>
      <w:r>
        <w:rPr>
          <w:sz w:val="22"/>
          <w:szCs w:val="22"/>
        </w:rPr>
        <w:br/>
        <w:t>IČ: 000 57 266,</w:t>
      </w:r>
      <w:r>
        <w:rPr>
          <w:sz w:val="22"/>
          <w:szCs w:val="22"/>
        </w:rPr>
        <w:br/>
        <w:t>DIČ: CZ 000 57 266</w:t>
      </w:r>
      <w:r>
        <w:rPr>
          <w:sz w:val="22"/>
          <w:szCs w:val="22"/>
        </w:rPr>
        <w:br/>
        <w:t>Bankovní spojení: Česká národní banka, Na Příkopě 28, 115 03 Praha 1</w:t>
      </w:r>
      <w:r>
        <w:rPr>
          <w:sz w:val="22"/>
          <w:szCs w:val="22"/>
        </w:rPr>
        <w:br/>
        <w:t>Č.</w:t>
      </w:r>
      <w:r w:rsidR="00095CF7">
        <w:rPr>
          <w:sz w:val="22"/>
          <w:szCs w:val="22"/>
        </w:rPr>
        <w:t xml:space="preserve"> </w:t>
      </w:r>
      <w:r>
        <w:rPr>
          <w:sz w:val="22"/>
          <w:szCs w:val="22"/>
        </w:rPr>
        <w:t>ú</w:t>
      </w:r>
      <w:r w:rsidR="00095CF7">
        <w:rPr>
          <w:sz w:val="22"/>
          <w:szCs w:val="22"/>
        </w:rPr>
        <w:t>.</w:t>
      </w:r>
      <w:r>
        <w:rPr>
          <w:sz w:val="22"/>
          <w:szCs w:val="22"/>
        </w:rPr>
        <w:t>: 83337011/0710</w:t>
      </w:r>
      <w:r>
        <w:rPr>
          <w:sz w:val="22"/>
          <w:szCs w:val="22"/>
        </w:rPr>
        <w:br/>
        <w:t>zastoupený PhDr. Michalem Bregantem, generálním ředitelem</w:t>
      </w:r>
      <w:r>
        <w:rPr>
          <w:sz w:val="22"/>
          <w:szCs w:val="22"/>
        </w:rPr>
        <w:br/>
        <w:t xml:space="preserve">(dále jen </w:t>
      </w:r>
      <w:r>
        <w:rPr>
          <w:b/>
          <w:sz w:val="22"/>
          <w:szCs w:val="22"/>
        </w:rPr>
        <w:t>„NFA</w:t>
      </w:r>
      <w:r>
        <w:rPr>
          <w:sz w:val="22"/>
          <w:szCs w:val="22"/>
        </w:rPr>
        <w:t>“)</w:t>
      </w:r>
    </w:p>
    <w:p w:rsidR="00FF6950" w:rsidRDefault="00FF6950">
      <w:pPr>
        <w:pStyle w:val="Normln1"/>
        <w:pBdr>
          <w:top w:val="nil"/>
          <w:left w:val="nil"/>
          <w:bottom w:val="nil"/>
          <w:right w:val="nil"/>
          <w:between w:val="nil"/>
        </w:pBdr>
        <w:rPr>
          <w:color w:val="000000"/>
          <w:sz w:val="22"/>
          <w:szCs w:val="22"/>
        </w:rPr>
      </w:pPr>
    </w:p>
    <w:p w:rsidR="00FF6950" w:rsidRPr="00F346A4" w:rsidRDefault="00A6769F">
      <w:pPr>
        <w:pStyle w:val="Normln1"/>
        <w:pBdr>
          <w:top w:val="nil"/>
          <w:left w:val="nil"/>
          <w:bottom w:val="nil"/>
          <w:right w:val="nil"/>
          <w:between w:val="nil"/>
        </w:pBdr>
        <w:rPr>
          <w:sz w:val="22"/>
          <w:szCs w:val="22"/>
        </w:rPr>
      </w:pPr>
      <w:r>
        <w:rPr>
          <w:b/>
          <w:color w:val="000000"/>
          <w:sz w:val="22"/>
          <w:szCs w:val="22"/>
        </w:rPr>
        <w:t>a</w:t>
      </w:r>
    </w:p>
    <w:p w:rsidR="00FF6950" w:rsidRPr="00F346A4" w:rsidRDefault="00FF6950">
      <w:pPr>
        <w:pStyle w:val="Normln1"/>
        <w:pBdr>
          <w:top w:val="nil"/>
          <w:left w:val="nil"/>
          <w:bottom w:val="nil"/>
          <w:right w:val="nil"/>
          <w:between w:val="nil"/>
        </w:pBdr>
        <w:rPr>
          <w:sz w:val="22"/>
          <w:szCs w:val="22"/>
        </w:rPr>
      </w:pPr>
    </w:p>
    <w:p w:rsidR="00F346A4" w:rsidRPr="00F346A4" w:rsidRDefault="00F346A4" w:rsidP="00F346A4">
      <w:pPr>
        <w:shd w:val="clear" w:color="auto" w:fill="FFFFFF"/>
        <w:suppressAutoHyphens w:val="0"/>
        <w:spacing w:line="240" w:lineRule="auto"/>
        <w:ind w:leftChars="0" w:left="0" w:firstLineChars="0" w:hanging="2"/>
        <w:textDirection w:val="lrTb"/>
        <w:textAlignment w:val="auto"/>
        <w:outlineLvl w:val="9"/>
        <w:rPr>
          <w:position w:val="0"/>
        </w:rPr>
      </w:pPr>
      <w:r w:rsidRPr="00F346A4">
        <w:rPr>
          <w:b/>
          <w:bCs/>
          <w:position w:val="0"/>
          <w:sz w:val="22"/>
          <w:szCs w:val="22"/>
        </w:rPr>
        <w:t>Městská část Praha 3</w:t>
      </w:r>
    </w:p>
    <w:p w:rsidR="00FF6950" w:rsidRDefault="00F346A4" w:rsidP="00C17784">
      <w:pPr>
        <w:shd w:val="clear" w:color="auto" w:fill="FFFFFF"/>
        <w:suppressAutoHyphens w:val="0"/>
        <w:spacing w:line="240" w:lineRule="auto"/>
        <w:ind w:leftChars="0" w:left="0" w:firstLineChars="0" w:firstLine="0"/>
        <w:textDirection w:val="lrTb"/>
        <w:textAlignment w:val="auto"/>
        <w:outlineLvl w:val="9"/>
      </w:pPr>
      <w:r w:rsidRPr="00F346A4">
        <w:rPr>
          <w:sz w:val="22"/>
          <w:szCs w:val="22"/>
        </w:rPr>
        <w:t xml:space="preserve">se sídlem </w:t>
      </w:r>
      <w:r w:rsidRPr="00F346A4">
        <w:rPr>
          <w:bCs/>
          <w:position w:val="0"/>
          <w:sz w:val="22"/>
          <w:szCs w:val="22"/>
        </w:rPr>
        <w:t>Havlíčkovo náměstí 9/700,</w:t>
      </w:r>
      <w:r w:rsidR="00C17784">
        <w:rPr>
          <w:bCs/>
          <w:position w:val="0"/>
          <w:sz w:val="22"/>
          <w:szCs w:val="22"/>
        </w:rPr>
        <w:t xml:space="preserve"> </w:t>
      </w:r>
      <w:r w:rsidRPr="00F346A4">
        <w:rPr>
          <w:bCs/>
          <w:position w:val="0"/>
          <w:sz w:val="22"/>
          <w:szCs w:val="22"/>
        </w:rPr>
        <w:t>130 00 Praha 3</w:t>
      </w:r>
      <w:r w:rsidRPr="00F346A4">
        <w:rPr>
          <w:bCs/>
          <w:position w:val="0"/>
          <w:sz w:val="22"/>
          <w:szCs w:val="22"/>
        </w:rPr>
        <w:br/>
        <w:t>IČ: 00063517</w:t>
      </w:r>
      <w:r w:rsidRPr="00F346A4">
        <w:rPr>
          <w:bCs/>
          <w:position w:val="0"/>
          <w:sz w:val="22"/>
          <w:szCs w:val="22"/>
        </w:rPr>
        <w:br/>
        <w:t>DIČ: CZ00063517</w:t>
      </w:r>
      <w:r w:rsidRPr="00F346A4">
        <w:rPr>
          <w:bCs/>
          <w:position w:val="0"/>
          <w:sz w:val="22"/>
          <w:szCs w:val="22"/>
        </w:rPr>
        <w:br/>
      </w:r>
      <w:r w:rsidR="00C17784">
        <w:rPr>
          <w:sz w:val="22"/>
          <w:szCs w:val="22"/>
        </w:rPr>
        <w:t>z</w:t>
      </w:r>
      <w:r w:rsidR="00A6769F" w:rsidRPr="00F346A4">
        <w:rPr>
          <w:sz w:val="22"/>
          <w:szCs w:val="22"/>
        </w:rPr>
        <w:t>astoupená</w:t>
      </w:r>
      <w:r w:rsidR="00C17784">
        <w:rPr>
          <w:sz w:val="22"/>
          <w:szCs w:val="22"/>
        </w:rPr>
        <w:t xml:space="preserve"> </w:t>
      </w:r>
      <w:r w:rsidRPr="00F346A4">
        <w:rPr>
          <w:bCs/>
          <w:position w:val="0"/>
          <w:sz w:val="22"/>
          <w:szCs w:val="22"/>
        </w:rPr>
        <w:t>Jiřím Ptáčkem, starostou</w:t>
      </w:r>
      <w:r w:rsidRPr="00F346A4">
        <w:rPr>
          <w:b/>
          <w:bCs/>
          <w:position w:val="0"/>
          <w:sz w:val="22"/>
          <w:szCs w:val="22"/>
        </w:rPr>
        <w:br/>
      </w:r>
      <w:r w:rsidR="00A6769F">
        <w:t xml:space="preserve">(dále jen </w:t>
      </w:r>
      <w:r w:rsidR="00A6769F">
        <w:rPr>
          <w:b/>
        </w:rPr>
        <w:t>„Nabyvatel“</w:t>
      </w:r>
      <w:r w:rsidR="00A6769F">
        <w:t>)</w:t>
      </w:r>
    </w:p>
    <w:p w:rsidR="00FF6950" w:rsidRDefault="00FF6950">
      <w:pPr>
        <w:pStyle w:val="Normln1"/>
        <w:pBdr>
          <w:top w:val="nil"/>
          <w:left w:val="nil"/>
          <w:bottom w:val="nil"/>
          <w:right w:val="nil"/>
          <w:between w:val="nil"/>
        </w:pBdr>
        <w:rPr>
          <w:color w:val="000000"/>
          <w:sz w:val="22"/>
          <w:szCs w:val="22"/>
        </w:rPr>
      </w:pPr>
    </w:p>
    <w:p w:rsidR="00FF6950" w:rsidRDefault="00A6769F">
      <w:pPr>
        <w:pStyle w:val="Normln1"/>
        <w:pBdr>
          <w:top w:val="nil"/>
          <w:left w:val="nil"/>
          <w:bottom w:val="nil"/>
          <w:right w:val="nil"/>
          <w:between w:val="nil"/>
        </w:pBdr>
        <w:jc w:val="both"/>
        <w:rPr>
          <w:color w:val="000000"/>
          <w:sz w:val="22"/>
          <w:szCs w:val="22"/>
        </w:rPr>
      </w:pPr>
      <w:r>
        <w:rPr>
          <w:color w:val="000000"/>
          <w:sz w:val="22"/>
          <w:szCs w:val="22"/>
        </w:rPr>
        <w:t xml:space="preserve">uzavírají v souladu s příslušnými ustanoveními zák. č. 89/2012 Sb., občanský zákoník, resp. zák. č. 121/2000 Sb. o právu autorském, o právech souvisejících s právem autorským a o změně některých zákonů, ve znění pozdějších předpisů (autorský zákon), a/nebo zák. č. 496/2012 Sb., o audiovizuálních dílech a podpoře kinematografie a o změně některých zákonů (zákon o audiovizi), </w:t>
      </w:r>
      <w:r w:rsidR="00FB4032">
        <w:rPr>
          <w:color w:val="000000"/>
          <w:sz w:val="22"/>
          <w:szCs w:val="22"/>
        </w:rPr>
        <w:t xml:space="preserve">ve znění pozdějších změn a doplňků </w:t>
      </w:r>
      <w:r>
        <w:rPr>
          <w:color w:val="000000"/>
          <w:sz w:val="22"/>
          <w:szCs w:val="22"/>
        </w:rPr>
        <w:t>tuto</w:t>
      </w:r>
    </w:p>
    <w:p w:rsidR="00FF6950" w:rsidRDefault="00FF6950">
      <w:pPr>
        <w:pStyle w:val="Normln1"/>
        <w:pBdr>
          <w:top w:val="nil"/>
          <w:left w:val="nil"/>
          <w:bottom w:val="nil"/>
          <w:right w:val="nil"/>
          <w:between w:val="nil"/>
        </w:pBdr>
        <w:rPr>
          <w:color w:val="000000"/>
          <w:sz w:val="24"/>
          <w:szCs w:val="24"/>
        </w:rPr>
      </w:pPr>
    </w:p>
    <w:p w:rsidR="00FF6950" w:rsidRDefault="00FF6950">
      <w:pPr>
        <w:pStyle w:val="Normln1"/>
        <w:pBdr>
          <w:top w:val="nil"/>
          <w:left w:val="nil"/>
          <w:bottom w:val="nil"/>
          <w:right w:val="nil"/>
          <w:between w:val="nil"/>
        </w:pBdr>
        <w:jc w:val="center"/>
        <w:rPr>
          <w:color w:val="000000"/>
          <w:sz w:val="24"/>
          <w:szCs w:val="24"/>
        </w:rPr>
      </w:pPr>
    </w:p>
    <w:p w:rsidR="00FF6950" w:rsidRDefault="00A6769F">
      <w:pPr>
        <w:pStyle w:val="Normln1"/>
        <w:pBdr>
          <w:top w:val="nil"/>
          <w:left w:val="nil"/>
          <w:bottom w:val="nil"/>
          <w:right w:val="nil"/>
          <w:between w:val="nil"/>
        </w:pBdr>
        <w:jc w:val="center"/>
        <w:rPr>
          <w:color w:val="000000"/>
          <w:sz w:val="24"/>
          <w:szCs w:val="24"/>
        </w:rPr>
      </w:pPr>
      <w:r>
        <w:rPr>
          <w:b/>
          <w:color w:val="000000"/>
          <w:sz w:val="24"/>
          <w:szCs w:val="24"/>
        </w:rPr>
        <w:t>Smlouvu o udělení souhlasu s užitím</w:t>
      </w:r>
    </w:p>
    <w:p w:rsidR="00FF6950" w:rsidRDefault="00FF6950">
      <w:pPr>
        <w:pStyle w:val="Normln1"/>
        <w:pBdr>
          <w:top w:val="nil"/>
          <w:left w:val="nil"/>
          <w:bottom w:val="nil"/>
          <w:right w:val="nil"/>
          <w:between w:val="nil"/>
        </w:pBdr>
        <w:jc w:val="center"/>
        <w:rPr>
          <w:color w:val="000000"/>
          <w:sz w:val="24"/>
          <w:szCs w:val="24"/>
        </w:rPr>
      </w:pPr>
    </w:p>
    <w:p w:rsidR="00FF6950" w:rsidRDefault="00FF6950">
      <w:pPr>
        <w:pStyle w:val="Normln1"/>
        <w:pBdr>
          <w:top w:val="nil"/>
          <w:left w:val="nil"/>
          <w:bottom w:val="nil"/>
          <w:right w:val="nil"/>
          <w:between w:val="nil"/>
        </w:pBdr>
        <w:jc w:val="center"/>
        <w:rPr>
          <w:color w:val="000000"/>
          <w:sz w:val="24"/>
          <w:szCs w:val="24"/>
        </w:rPr>
      </w:pPr>
    </w:p>
    <w:p w:rsidR="00FF6950" w:rsidRDefault="00FF6950">
      <w:pPr>
        <w:pStyle w:val="Normln1"/>
        <w:pBdr>
          <w:top w:val="nil"/>
          <w:left w:val="nil"/>
          <w:bottom w:val="nil"/>
          <w:right w:val="nil"/>
          <w:between w:val="nil"/>
        </w:pBdr>
        <w:jc w:val="center"/>
        <w:rPr>
          <w:color w:val="000000"/>
          <w:sz w:val="24"/>
          <w:szCs w:val="24"/>
        </w:rPr>
      </w:pP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II.</w:t>
      </w: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Smluvní strany; Předmět smlouvy; ZOZ</w:t>
      </w:r>
    </w:p>
    <w:p w:rsidR="00FF6950" w:rsidRDefault="00FF6950">
      <w:pPr>
        <w:pStyle w:val="Normln1"/>
        <w:pBdr>
          <w:top w:val="nil"/>
          <w:left w:val="nil"/>
          <w:bottom w:val="nil"/>
          <w:right w:val="nil"/>
          <w:between w:val="nil"/>
        </w:pBdr>
        <w:jc w:val="center"/>
        <w:rPr>
          <w:color w:val="000000"/>
          <w:sz w:val="22"/>
          <w:szCs w:val="22"/>
        </w:rPr>
      </w:pPr>
    </w:p>
    <w:p w:rsidR="00FF6950" w:rsidRDefault="00A6769F">
      <w:pPr>
        <w:pStyle w:val="Normln1"/>
        <w:numPr>
          <w:ilvl w:val="0"/>
          <w:numId w:val="6"/>
        </w:numPr>
        <w:pBdr>
          <w:top w:val="nil"/>
          <w:left w:val="nil"/>
          <w:bottom w:val="nil"/>
          <w:right w:val="nil"/>
          <w:between w:val="nil"/>
        </w:pBdr>
        <w:jc w:val="both"/>
        <w:rPr>
          <w:color w:val="000000"/>
          <w:sz w:val="22"/>
          <w:szCs w:val="22"/>
        </w:rPr>
      </w:pPr>
      <w:r>
        <w:rPr>
          <w:color w:val="000000"/>
          <w:sz w:val="22"/>
          <w:szCs w:val="22"/>
        </w:rPr>
        <w:t xml:space="preserve">NFA je právnickou osobou ve formě příspěvkové organizace plně způsobilou k právním úkonům,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hospodaření k zvukově obrazovým záznamům českých audiovizuálních děl vyrobených státem v době od 28. srpna 1945 do 31. prosince 1991, u nichž již uplynula doba ochrany práv výrobce zvukově obrazového záznamu, a jejichž užití je možné pouze na podkladě jejich originálních nosičů a/nebo s písemným souhlasem NFA. NFA rovněž setrvale činí značné investice související s odbornou správou a údržbou zvukově obrazových záznamů, resp. jejich </w:t>
      </w:r>
      <w:r>
        <w:rPr>
          <w:color w:val="000000"/>
          <w:sz w:val="22"/>
          <w:szCs w:val="22"/>
        </w:rPr>
        <w:lastRenderedPageBreak/>
        <w:t>hmotných nosičů. NFA má zájem udělit touto smlouvou za dále uvedených podmínek Nabyvateli licenci/souhlas s užitím níže specifikovaného zvukově obrazového záznamu.</w:t>
      </w:r>
    </w:p>
    <w:p w:rsidR="00FF6950" w:rsidRDefault="00FF6950">
      <w:pPr>
        <w:pStyle w:val="Normln1"/>
        <w:pBdr>
          <w:top w:val="nil"/>
          <w:left w:val="nil"/>
          <w:bottom w:val="nil"/>
          <w:right w:val="nil"/>
          <w:between w:val="nil"/>
        </w:pBdr>
        <w:ind w:left="360"/>
        <w:jc w:val="both"/>
        <w:rPr>
          <w:color w:val="000000"/>
          <w:sz w:val="22"/>
          <w:szCs w:val="22"/>
        </w:rPr>
      </w:pPr>
    </w:p>
    <w:p w:rsidR="00FF6950" w:rsidRPr="00BE32FB" w:rsidRDefault="00A6769F">
      <w:pPr>
        <w:pStyle w:val="Normln1"/>
        <w:numPr>
          <w:ilvl w:val="0"/>
          <w:numId w:val="6"/>
        </w:numPr>
        <w:pBdr>
          <w:top w:val="nil"/>
          <w:left w:val="nil"/>
          <w:bottom w:val="nil"/>
          <w:right w:val="nil"/>
          <w:between w:val="nil"/>
        </w:pBdr>
        <w:jc w:val="both"/>
        <w:rPr>
          <w:color w:val="000000"/>
          <w:sz w:val="22"/>
          <w:szCs w:val="22"/>
        </w:rPr>
      </w:pPr>
      <w:r>
        <w:rPr>
          <w:color w:val="000000"/>
          <w:sz w:val="22"/>
          <w:szCs w:val="22"/>
        </w:rPr>
        <w:t xml:space="preserve">Nabyvatel má zájem získat touto smlouvou za dále uvedených podmínek od NFA souhlas s užitím </w:t>
      </w:r>
      <w:r w:rsidRPr="00BE32FB">
        <w:rPr>
          <w:color w:val="000000"/>
          <w:sz w:val="22"/>
          <w:szCs w:val="22"/>
        </w:rPr>
        <w:t>níže specifikovaného zvukově obrazového záznamu.</w:t>
      </w:r>
    </w:p>
    <w:p w:rsidR="00FF6950" w:rsidRPr="00BE32FB" w:rsidRDefault="00FF6950">
      <w:pPr>
        <w:pStyle w:val="Normln1"/>
        <w:pBdr>
          <w:top w:val="nil"/>
          <w:left w:val="nil"/>
          <w:bottom w:val="nil"/>
          <w:right w:val="nil"/>
          <w:between w:val="nil"/>
        </w:pBdr>
        <w:ind w:left="360"/>
        <w:jc w:val="both"/>
        <w:rPr>
          <w:color w:val="000000"/>
          <w:sz w:val="22"/>
          <w:szCs w:val="22"/>
        </w:rPr>
      </w:pPr>
    </w:p>
    <w:p w:rsidR="00FF6950" w:rsidRPr="00BE32FB" w:rsidRDefault="00A6769F">
      <w:pPr>
        <w:pStyle w:val="Normln1"/>
        <w:numPr>
          <w:ilvl w:val="0"/>
          <w:numId w:val="6"/>
        </w:numPr>
        <w:pBdr>
          <w:top w:val="nil"/>
          <w:left w:val="nil"/>
          <w:bottom w:val="nil"/>
          <w:right w:val="nil"/>
          <w:between w:val="nil"/>
        </w:pBdr>
        <w:jc w:val="both"/>
        <w:rPr>
          <w:color w:val="000000"/>
          <w:sz w:val="22"/>
          <w:szCs w:val="22"/>
        </w:rPr>
      </w:pPr>
      <w:r w:rsidRPr="00BE32FB">
        <w:rPr>
          <w:color w:val="000000"/>
          <w:sz w:val="22"/>
          <w:szCs w:val="22"/>
        </w:rPr>
        <w:t>Předmětem této smlouvy je závazek NFA spočívající v poskytnutí oprávnění užít zvukově obrazový záznam Nabyvateli v rozsahu této smlouvy a závazek Nabyvatele spočívající v zaplacení odměny NFA za řádné splnění závazků z této smlouvy vyplývajících.</w:t>
      </w:r>
    </w:p>
    <w:p w:rsidR="00FF6950" w:rsidRPr="00BE32FB" w:rsidRDefault="00FF6950">
      <w:pPr>
        <w:pStyle w:val="Normln1"/>
        <w:pBdr>
          <w:top w:val="nil"/>
          <w:left w:val="nil"/>
          <w:bottom w:val="nil"/>
          <w:right w:val="nil"/>
          <w:between w:val="nil"/>
        </w:pBdr>
        <w:ind w:left="360"/>
        <w:jc w:val="both"/>
        <w:rPr>
          <w:color w:val="000000"/>
          <w:sz w:val="22"/>
          <w:szCs w:val="22"/>
        </w:rPr>
      </w:pPr>
    </w:p>
    <w:p w:rsidR="00FF6950" w:rsidRPr="00BE32FB" w:rsidRDefault="00A6769F">
      <w:pPr>
        <w:pStyle w:val="Normln1"/>
        <w:numPr>
          <w:ilvl w:val="0"/>
          <w:numId w:val="6"/>
        </w:numPr>
        <w:pBdr>
          <w:top w:val="nil"/>
          <w:left w:val="nil"/>
          <w:bottom w:val="nil"/>
          <w:right w:val="nil"/>
          <w:between w:val="nil"/>
        </w:pBdr>
        <w:jc w:val="both"/>
        <w:rPr>
          <w:color w:val="000000"/>
          <w:sz w:val="22"/>
          <w:szCs w:val="22"/>
        </w:rPr>
      </w:pPr>
      <w:r w:rsidRPr="00BE32FB">
        <w:rPr>
          <w:color w:val="000000"/>
          <w:sz w:val="22"/>
          <w:szCs w:val="22"/>
        </w:rPr>
        <w:t>Zvukově obrazovým záznamem se pro účely této smlouvy rozumí zvukově obrazový záznam těchto audiovizuálních děl:</w:t>
      </w:r>
    </w:p>
    <w:p w:rsidR="00FF6950" w:rsidRPr="00BE32FB" w:rsidRDefault="00FF6950">
      <w:pPr>
        <w:pStyle w:val="Normln1"/>
        <w:pBdr>
          <w:top w:val="nil"/>
          <w:left w:val="nil"/>
          <w:bottom w:val="nil"/>
          <w:right w:val="nil"/>
          <w:between w:val="nil"/>
        </w:pBdr>
        <w:ind w:left="708" w:hanging="708"/>
        <w:rPr>
          <w:color w:val="000000"/>
          <w:sz w:val="22"/>
          <w:szCs w:val="22"/>
        </w:rPr>
      </w:pPr>
    </w:p>
    <w:p w:rsidR="00F346A4" w:rsidRPr="00BE32FB" w:rsidRDefault="00A6769F" w:rsidP="00F346A4">
      <w:pPr>
        <w:pStyle w:val="Normln1"/>
        <w:numPr>
          <w:ilvl w:val="1"/>
          <w:numId w:val="6"/>
        </w:numPr>
        <w:pBdr>
          <w:top w:val="nil"/>
          <w:left w:val="nil"/>
          <w:bottom w:val="nil"/>
          <w:right w:val="nil"/>
          <w:between w:val="nil"/>
        </w:pBdr>
        <w:jc w:val="both"/>
        <w:rPr>
          <w:color w:val="000000"/>
          <w:sz w:val="22"/>
          <w:szCs w:val="22"/>
        </w:rPr>
      </w:pPr>
      <w:r w:rsidRPr="00BE32FB">
        <w:rPr>
          <w:color w:val="000000"/>
          <w:sz w:val="22"/>
          <w:szCs w:val="22"/>
        </w:rPr>
        <w:t xml:space="preserve">název: </w:t>
      </w:r>
      <w:r w:rsidR="00F346A4" w:rsidRPr="00BE32FB">
        <w:rPr>
          <w:b/>
          <w:color w:val="000000"/>
          <w:sz w:val="22"/>
          <w:szCs w:val="22"/>
        </w:rPr>
        <w:t>Fotbalový turnaj o Stříbrný pohár</w:t>
      </w:r>
      <w:r w:rsidRPr="00BE32FB">
        <w:rPr>
          <w:color w:val="000000"/>
          <w:sz w:val="22"/>
          <w:szCs w:val="22"/>
        </w:rPr>
        <w:t>, rok výroby</w:t>
      </w:r>
      <w:r w:rsidR="00F346A4" w:rsidRPr="00BE32FB">
        <w:rPr>
          <w:color w:val="000000"/>
          <w:sz w:val="22"/>
          <w:szCs w:val="22"/>
        </w:rPr>
        <w:t>:1914</w:t>
      </w:r>
    </w:p>
    <w:p w:rsidR="00FF6950" w:rsidRPr="00BE32FB" w:rsidRDefault="00A6769F" w:rsidP="00F346A4">
      <w:pPr>
        <w:pStyle w:val="Normln1"/>
        <w:numPr>
          <w:ilvl w:val="1"/>
          <w:numId w:val="6"/>
        </w:numPr>
        <w:pBdr>
          <w:top w:val="nil"/>
          <w:left w:val="nil"/>
          <w:bottom w:val="nil"/>
          <w:right w:val="nil"/>
          <w:between w:val="nil"/>
        </w:pBdr>
        <w:jc w:val="both"/>
        <w:rPr>
          <w:color w:val="000000"/>
          <w:sz w:val="22"/>
          <w:szCs w:val="22"/>
        </w:rPr>
      </w:pPr>
      <w:r w:rsidRPr="00BE32FB">
        <w:rPr>
          <w:color w:val="000000"/>
          <w:sz w:val="22"/>
          <w:szCs w:val="22"/>
        </w:rPr>
        <w:t xml:space="preserve">název: </w:t>
      </w:r>
      <w:r w:rsidR="00F346A4" w:rsidRPr="00BE32FB">
        <w:rPr>
          <w:b/>
          <w:color w:val="000000"/>
          <w:sz w:val="22"/>
          <w:szCs w:val="22"/>
        </w:rPr>
        <w:t>Hasební a zachraňovací práce Městského sboru hasičského v</w:t>
      </w:r>
      <w:r w:rsidR="00095CF7">
        <w:rPr>
          <w:b/>
          <w:color w:val="000000"/>
          <w:sz w:val="22"/>
          <w:szCs w:val="22"/>
        </w:rPr>
        <w:t> </w:t>
      </w:r>
      <w:r w:rsidR="00F346A4" w:rsidRPr="00BE32FB">
        <w:rPr>
          <w:b/>
          <w:color w:val="000000"/>
          <w:sz w:val="22"/>
          <w:szCs w:val="22"/>
        </w:rPr>
        <w:t>Žižkově</w:t>
      </w:r>
      <w:r w:rsidR="00095CF7" w:rsidRPr="00095CF7">
        <w:rPr>
          <w:color w:val="000000"/>
          <w:sz w:val="22"/>
          <w:szCs w:val="22"/>
        </w:rPr>
        <w:t>,</w:t>
      </w:r>
      <w:r w:rsidR="00095CF7">
        <w:rPr>
          <w:b/>
          <w:color w:val="000000"/>
          <w:sz w:val="22"/>
          <w:szCs w:val="22"/>
        </w:rPr>
        <w:t xml:space="preserve"> </w:t>
      </w:r>
      <w:r w:rsidRPr="00BE32FB">
        <w:rPr>
          <w:color w:val="000000"/>
          <w:sz w:val="22"/>
          <w:szCs w:val="22"/>
        </w:rPr>
        <w:t>rok výroby</w:t>
      </w:r>
      <w:r w:rsidR="00F346A4" w:rsidRPr="00BE32FB">
        <w:rPr>
          <w:color w:val="000000"/>
          <w:sz w:val="22"/>
          <w:szCs w:val="22"/>
        </w:rPr>
        <w:t>: 1915</w:t>
      </w:r>
    </w:p>
    <w:p w:rsidR="00FF6950" w:rsidRPr="00BE32FB" w:rsidRDefault="00FF6950">
      <w:pPr>
        <w:pStyle w:val="Normln1"/>
        <w:pBdr>
          <w:top w:val="nil"/>
          <w:left w:val="nil"/>
          <w:bottom w:val="nil"/>
          <w:right w:val="nil"/>
          <w:between w:val="nil"/>
        </w:pBdr>
        <w:jc w:val="both"/>
        <w:rPr>
          <w:color w:val="000000"/>
          <w:sz w:val="22"/>
          <w:szCs w:val="22"/>
        </w:rPr>
      </w:pPr>
    </w:p>
    <w:p w:rsidR="00FF6950" w:rsidRPr="00BE32FB" w:rsidRDefault="00A6769F">
      <w:pPr>
        <w:pStyle w:val="Normln1"/>
        <w:pBdr>
          <w:top w:val="nil"/>
          <w:left w:val="nil"/>
          <w:bottom w:val="nil"/>
          <w:right w:val="nil"/>
          <w:between w:val="nil"/>
        </w:pBdr>
        <w:ind w:left="426"/>
        <w:jc w:val="both"/>
        <w:rPr>
          <w:color w:val="000000"/>
          <w:sz w:val="22"/>
          <w:szCs w:val="22"/>
        </w:rPr>
      </w:pPr>
      <w:r w:rsidRPr="00BE32FB">
        <w:rPr>
          <w:color w:val="000000"/>
          <w:sz w:val="22"/>
          <w:szCs w:val="22"/>
        </w:rPr>
        <w:t>(dále jen společně jako „</w:t>
      </w:r>
      <w:r w:rsidRPr="00BE32FB">
        <w:rPr>
          <w:b/>
          <w:color w:val="000000"/>
          <w:sz w:val="22"/>
          <w:szCs w:val="22"/>
        </w:rPr>
        <w:t>ZOZ</w:t>
      </w:r>
      <w:r w:rsidRPr="00BE32FB">
        <w:rPr>
          <w:color w:val="000000"/>
          <w:sz w:val="22"/>
          <w:szCs w:val="22"/>
        </w:rPr>
        <w:t>“ nebo „</w:t>
      </w:r>
      <w:r w:rsidRPr="00BE32FB">
        <w:rPr>
          <w:b/>
          <w:color w:val="000000"/>
          <w:sz w:val="22"/>
          <w:szCs w:val="22"/>
        </w:rPr>
        <w:t>zvukově obrazový záznam</w:t>
      </w:r>
      <w:r w:rsidRPr="00BE32FB">
        <w:rPr>
          <w:color w:val="000000"/>
          <w:sz w:val="22"/>
          <w:szCs w:val="22"/>
        </w:rPr>
        <w:t>“).</w:t>
      </w:r>
    </w:p>
    <w:p w:rsidR="00FF6950" w:rsidRPr="00BE32FB" w:rsidRDefault="00FF6950">
      <w:pPr>
        <w:pStyle w:val="Normln1"/>
        <w:pBdr>
          <w:top w:val="nil"/>
          <w:left w:val="nil"/>
          <w:bottom w:val="nil"/>
          <w:right w:val="nil"/>
          <w:between w:val="nil"/>
        </w:pBdr>
        <w:ind w:left="426"/>
        <w:jc w:val="both"/>
        <w:rPr>
          <w:color w:val="000000"/>
          <w:sz w:val="22"/>
          <w:szCs w:val="22"/>
        </w:rPr>
      </w:pPr>
    </w:p>
    <w:p w:rsidR="00FF6950" w:rsidRPr="00BE32FB" w:rsidRDefault="00A6769F">
      <w:pPr>
        <w:pStyle w:val="Normln1"/>
        <w:numPr>
          <w:ilvl w:val="0"/>
          <w:numId w:val="6"/>
        </w:numPr>
        <w:pBdr>
          <w:top w:val="nil"/>
          <w:left w:val="nil"/>
          <w:bottom w:val="nil"/>
          <w:right w:val="nil"/>
          <w:between w:val="nil"/>
        </w:pBdr>
        <w:jc w:val="both"/>
        <w:rPr>
          <w:color w:val="000000"/>
          <w:sz w:val="22"/>
          <w:szCs w:val="22"/>
        </w:rPr>
      </w:pPr>
      <w:r w:rsidRPr="00BE32FB">
        <w:rPr>
          <w:color w:val="000000"/>
          <w:sz w:val="22"/>
          <w:szCs w:val="22"/>
        </w:rPr>
        <w:t>Souhlas s užitím ZOZ, který je poskytován touto smlouvou, ať již jde o souhlas s užitím ZOZ českých audiovizuálních děl vyrobených státem v době od 28. srpna 1945 do 31. prosince 1991, u nichž již uplynula doba ochrany práv výrobce zvukově obrazového záznamu (tedy souhlas dle ust. § 8 odst. 4 zák. č. 496/2012 Sb., zákon o audiovizi) nebo o souhlas s užitím jiných ZOZ, k nimž NFA vykonává práva ze soutěžněprávního titulu (tedy souhlas dle ust. § 2976 a násl. zák. č. 89/2012 Sb., občanský zákoník), je dále pro účely této smlouvy jednotně nazýván „</w:t>
      </w:r>
      <w:r w:rsidRPr="00BE32FB">
        <w:rPr>
          <w:b/>
          <w:color w:val="000000"/>
          <w:sz w:val="22"/>
          <w:szCs w:val="22"/>
        </w:rPr>
        <w:t>licence</w:t>
      </w:r>
      <w:r w:rsidRPr="00BE32FB">
        <w:rPr>
          <w:color w:val="000000"/>
          <w:sz w:val="22"/>
          <w:szCs w:val="22"/>
        </w:rPr>
        <w:t>“.</w:t>
      </w:r>
    </w:p>
    <w:p w:rsidR="00FF6950" w:rsidRDefault="00FF6950">
      <w:pPr>
        <w:pStyle w:val="Normln1"/>
        <w:pBdr>
          <w:top w:val="nil"/>
          <w:left w:val="nil"/>
          <w:bottom w:val="nil"/>
          <w:right w:val="nil"/>
          <w:between w:val="nil"/>
        </w:pBdr>
        <w:jc w:val="center"/>
        <w:rPr>
          <w:color w:val="000000"/>
          <w:sz w:val="22"/>
          <w:szCs w:val="22"/>
        </w:rPr>
      </w:pPr>
    </w:p>
    <w:p w:rsidR="00FF6950" w:rsidRDefault="00FF6950">
      <w:pPr>
        <w:pStyle w:val="Normln1"/>
        <w:pBdr>
          <w:top w:val="nil"/>
          <w:left w:val="nil"/>
          <w:bottom w:val="nil"/>
          <w:right w:val="nil"/>
          <w:between w:val="nil"/>
        </w:pBdr>
        <w:jc w:val="center"/>
        <w:rPr>
          <w:color w:val="000000"/>
          <w:sz w:val="22"/>
          <w:szCs w:val="22"/>
        </w:rPr>
      </w:pPr>
    </w:p>
    <w:p w:rsidR="00FF6950" w:rsidRDefault="00FF6950">
      <w:pPr>
        <w:pStyle w:val="Normln1"/>
        <w:pBdr>
          <w:top w:val="nil"/>
          <w:left w:val="nil"/>
          <w:bottom w:val="nil"/>
          <w:right w:val="nil"/>
          <w:between w:val="nil"/>
        </w:pBdr>
        <w:jc w:val="center"/>
        <w:rPr>
          <w:color w:val="000000"/>
          <w:sz w:val="22"/>
          <w:szCs w:val="22"/>
        </w:rPr>
      </w:pP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 xml:space="preserve">III. </w:t>
      </w: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Licence</w:t>
      </w:r>
    </w:p>
    <w:p w:rsidR="00FF6950" w:rsidRDefault="00FF6950">
      <w:pPr>
        <w:pStyle w:val="Normln1"/>
        <w:pBdr>
          <w:top w:val="nil"/>
          <w:left w:val="nil"/>
          <w:bottom w:val="nil"/>
          <w:right w:val="nil"/>
          <w:between w:val="nil"/>
        </w:pBdr>
        <w:rPr>
          <w:color w:val="000000"/>
          <w:sz w:val="22"/>
          <w:szCs w:val="22"/>
        </w:rPr>
      </w:pPr>
    </w:p>
    <w:p w:rsidR="00FF6950" w:rsidRPr="00F346A4" w:rsidRDefault="00A6769F">
      <w:pPr>
        <w:pStyle w:val="Normln1"/>
        <w:numPr>
          <w:ilvl w:val="0"/>
          <w:numId w:val="1"/>
        </w:numPr>
        <w:pBdr>
          <w:top w:val="nil"/>
          <w:left w:val="nil"/>
          <w:bottom w:val="nil"/>
          <w:right w:val="nil"/>
          <w:between w:val="nil"/>
        </w:pBdr>
        <w:jc w:val="both"/>
        <w:rPr>
          <w:color w:val="000000"/>
          <w:sz w:val="22"/>
          <w:szCs w:val="22"/>
        </w:rPr>
      </w:pPr>
      <w:r>
        <w:rPr>
          <w:color w:val="000000"/>
          <w:sz w:val="22"/>
          <w:szCs w:val="22"/>
        </w:rPr>
        <w:t xml:space="preserve">NFA touto smlouvou poskytuje Nabyvateli oprávnění k užití ZOZ – licenci v níže uvedeném </w:t>
      </w:r>
      <w:r w:rsidRPr="00F346A4">
        <w:rPr>
          <w:color w:val="000000"/>
          <w:sz w:val="22"/>
          <w:szCs w:val="22"/>
        </w:rPr>
        <w:t xml:space="preserve">rozsahu: </w:t>
      </w:r>
    </w:p>
    <w:p w:rsidR="00FF6950" w:rsidRPr="00F346A4" w:rsidRDefault="00A6769F">
      <w:pPr>
        <w:pStyle w:val="Normln1"/>
        <w:numPr>
          <w:ilvl w:val="0"/>
          <w:numId w:val="2"/>
        </w:numPr>
        <w:pBdr>
          <w:top w:val="nil"/>
          <w:left w:val="nil"/>
          <w:bottom w:val="nil"/>
          <w:right w:val="nil"/>
          <w:between w:val="nil"/>
        </w:pBdr>
        <w:jc w:val="both"/>
        <w:rPr>
          <w:sz w:val="22"/>
          <w:szCs w:val="22"/>
        </w:rPr>
      </w:pPr>
      <w:r w:rsidRPr="00F346A4">
        <w:rPr>
          <w:color w:val="000000"/>
          <w:sz w:val="22"/>
          <w:szCs w:val="22"/>
        </w:rPr>
        <w:t>k těmto způsobům užití:</w:t>
      </w:r>
    </w:p>
    <w:p w:rsidR="00FF6950" w:rsidRPr="00F346A4" w:rsidRDefault="00A6769F">
      <w:pPr>
        <w:pStyle w:val="Normln1"/>
        <w:numPr>
          <w:ilvl w:val="1"/>
          <w:numId w:val="2"/>
        </w:numPr>
        <w:pBdr>
          <w:top w:val="nil"/>
          <w:left w:val="nil"/>
          <w:bottom w:val="nil"/>
          <w:right w:val="nil"/>
          <w:between w:val="nil"/>
        </w:pBdr>
        <w:jc w:val="both"/>
        <w:rPr>
          <w:sz w:val="22"/>
          <w:szCs w:val="22"/>
        </w:rPr>
      </w:pPr>
      <w:r w:rsidRPr="00F346A4">
        <w:rPr>
          <w:sz w:val="22"/>
          <w:szCs w:val="22"/>
        </w:rPr>
        <w:t>sdělování ZOZ v nehmotné podobě veřejnosti</w:t>
      </w:r>
      <w:r w:rsidR="00F346A4" w:rsidRPr="00F346A4">
        <w:rPr>
          <w:sz w:val="22"/>
          <w:szCs w:val="22"/>
        </w:rPr>
        <w:t xml:space="preserve"> provozovaní ze záznamu během výstavy s názvem  </w:t>
      </w:r>
      <w:r w:rsidR="00F346A4" w:rsidRPr="00F346A4">
        <w:rPr>
          <w:b/>
          <w:bCs/>
          <w:sz w:val="22"/>
          <w:szCs w:val="22"/>
          <w:shd w:val="clear" w:color="auto" w:fill="FFFFFF"/>
        </w:rPr>
        <w:t>Žižkov 1881-1922“</w:t>
      </w:r>
      <w:r w:rsidRPr="00F346A4">
        <w:rPr>
          <w:sz w:val="22"/>
          <w:szCs w:val="22"/>
        </w:rPr>
        <w:t>;</w:t>
      </w:r>
    </w:p>
    <w:p w:rsidR="00F346A4" w:rsidRPr="00F346A4" w:rsidRDefault="00F346A4">
      <w:pPr>
        <w:pStyle w:val="Normln1"/>
        <w:numPr>
          <w:ilvl w:val="1"/>
          <w:numId w:val="2"/>
        </w:numPr>
        <w:pBdr>
          <w:top w:val="nil"/>
          <w:left w:val="nil"/>
          <w:bottom w:val="nil"/>
          <w:right w:val="nil"/>
          <w:between w:val="nil"/>
        </w:pBdr>
        <w:jc w:val="both"/>
        <w:rPr>
          <w:sz w:val="22"/>
          <w:szCs w:val="22"/>
        </w:rPr>
      </w:pPr>
      <w:r w:rsidRPr="00F346A4">
        <w:rPr>
          <w:sz w:val="22"/>
          <w:szCs w:val="22"/>
        </w:rPr>
        <w:t>sdělování ZOZ v nehmotné podobě veřejnosti provozovaní ze záznamu během jednorázové projekce během akce s názvem „</w:t>
      </w:r>
      <w:r w:rsidRPr="00F346A4">
        <w:rPr>
          <w:b/>
          <w:bCs/>
          <w:sz w:val="22"/>
          <w:szCs w:val="22"/>
          <w:shd w:val="clear" w:color="auto" w:fill="FFFFFF"/>
        </w:rPr>
        <w:t>Adoptované hroby žižkovských osobností</w:t>
      </w:r>
      <w:r w:rsidRPr="00F346A4">
        <w:rPr>
          <w:sz w:val="22"/>
          <w:szCs w:val="22"/>
        </w:rPr>
        <w:t>“</w:t>
      </w:r>
    </w:p>
    <w:p w:rsidR="00F346A4" w:rsidRPr="00F346A4" w:rsidRDefault="00A6769F" w:rsidP="00F346A4">
      <w:pPr>
        <w:pStyle w:val="Normln1"/>
        <w:numPr>
          <w:ilvl w:val="0"/>
          <w:numId w:val="2"/>
        </w:numPr>
        <w:pBdr>
          <w:top w:val="nil"/>
          <w:left w:val="nil"/>
          <w:bottom w:val="nil"/>
          <w:right w:val="nil"/>
          <w:between w:val="nil"/>
        </w:pBdr>
        <w:jc w:val="both"/>
        <w:rPr>
          <w:sz w:val="22"/>
          <w:szCs w:val="22"/>
        </w:rPr>
      </w:pPr>
      <w:r w:rsidRPr="00F346A4">
        <w:rPr>
          <w:sz w:val="22"/>
          <w:szCs w:val="22"/>
        </w:rPr>
        <w:t xml:space="preserve">v tomto časovém rozsahu: </w:t>
      </w:r>
      <w:r w:rsidR="00F346A4" w:rsidRPr="00F346A4">
        <w:rPr>
          <w:sz w:val="22"/>
          <w:szCs w:val="22"/>
        </w:rPr>
        <w:tab/>
      </w:r>
    </w:p>
    <w:p w:rsidR="00F346A4" w:rsidRPr="00F346A4" w:rsidRDefault="00F346A4" w:rsidP="00F346A4">
      <w:pPr>
        <w:pStyle w:val="Normln1"/>
        <w:numPr>
          <w:ilvl w:val="0"/>
          <w:numId w:val="11"/>
        </w:numPr>
        <w:pBdr>
          <w:top w:val="nil"/>
          <w:left w:val="nil"/>
          <w:bottom w:val="nil"/>
          <w:right w:val="nil"/>
          <w:between w:val="nil"/>
        </w:pBdr>
        <w:jc w:val="both"/>
        <w:rPr>
          <w:sz w:val="22"/>
          <w:szCs w:val="22"/>
        </w:rPr>
      </w:pPr>
      <w:r w:rsidRPr="00F346A4">
        <w:rPr>
          <w:sz w:val="22"/>
          <w:szCs w:val="22"/>
        </w:rPr>
        <w:t xml:space="preserve">výstava: 2. září 2021 – 2. září 2026 </w:t>
      </w:r>
    </w:p>
    <w:p w:rsidR="00FF6950" w:rsidRPr="00F346A4" w:rsidRDefault="00F346A4" w:rsidP="00F346A4">
      <w:pPr>
        <w:pStyle w:val="Normln1"/>
        <w:numPr>
          <w:ilvl w:val="0"/>
          <w:numId w:val="11"/>
        </w:numPr>
        <w:pBdr>
          <w:top w:val="nil"/>
          <w:left w:val="nil"/>
          <w:bottom w:val="nil"/>
          <w:right w:val="nil"/>
          <w:between w:val="nil"/>
        </w:pBdr>
        <w:jc w:val="both"/>
        <w:rPr>
          <w:sz w:val="22"/>
          <w:szCs w:val="22"/>
        </w:rPr>
      </w:pPr>
      <w:r w:rsidRPr="00F346A4">
        <w:rPr>
          <w:sz w:val="22"/>
          <w:szCs w:val="22"/>
        </w:rPr>
        <w:t xml:space="preserve">projekce: 30. </w:t>
      </w:r>
      <w:r w:rsidR="003A1590">
        <w:rPr>
          <w:sz w:val="22"/>
          <w:szCs w:val="22"/>
        </w:rPr>
        <w:t>října</w:t>
      </w:r>
      <w:r w:rsidR="00095CF7">
        <w:rPr>
          <w:sz w:val="22"/>
          <w:szCs w:val="22"/>
        </w:rPr>
        <w:t xml:space="preserve"> </w:t>
      </w:r>
      <w:r w:rsidRPr="00F346A4">
        <w:rPr>
          <w:sz w:val="22"/>
          <w:szCs w:val="22"/>
        </w:rPr>
        <w:t>2021</w:t>
      </w:r>
      <w:r w:rsidR="00A6769F" w:rsidRPr="00F346A4">
        <w:rPr>
          <w:sz w:val="22"/>
          <w:szCs w:val="22"/>
        </w:rPr>
        <w:t xml:space="preserve">; </w:t>
      </w:r>
    </w:p>
    <w:p w:rsidR="00F346A4" w:rsidRPr="00F346A4" w:rsidRDefault="00A6769F">
      <w:pPr>
        <w:pStyle w:val="Normln1"/>
        <w:numPr>
          <w:ilvl w:val="0"/>
          <w:numId w:val="2"/>
        </w:numPr>
        <w:pBdr>
          <w:top w:val="nil"/>
          <w:left w:val="nil"/>
          <w:bottom w:val="nil"/>
          <w:right w:val="nil"/>
          <w:between w:val="nil"/>
        </w:pBdr>
        <w:jc w:val="both"/>
        <w:rPr>
          <w:sz w:val="22"/>
          <w:szCs w:val="22"/>
        </w:rPr>
      </w:pPr>
      <w:r w:rsidRPr="00F346A4">
        <w:rPr>
          <w:sz w:val="22"/>
          <w:szCs w:val="22"/>
        </w:rPr>
        <w:t xml:space="preserve">na tomto území: </w:t>
      </w:r>
    </w:p>
    <w:p w:rsidR="00F346A4" w:rsidRPr="00F346A4" w:rsidRDefault="00F346A4" w:rsidP="00F346A4">
      <w:pPr>
        <w:pStyle w:val="Normln1"/>
        <w:numPr>
          <w:ilvl w:val="0"/>
          <w:numId w:val="12"/>
        </w:numPr>
        <w:pBdr>
          <w:top w:val="nil"/>
          <w:left w:val="nil"/>
          <w:bottom w:val="nil"/>
          <w:right w:val="nil"/>
          <w:between w:val="nil"/>
        </w:pBdr>
        <w:jc w:val="both"/>
        <w:rPr>
          <w:sz w:val="22"/>
          <w:szCs w:val="22"/>
        </w:rPr>
      </w:pPr>
      <w:r w:rsidRPr="00F346A4">
        <w:rPr>
          <w:sz w:val="22"/>
          <w:szCs w:val="22"/>
        </w:rPr>
        <w:t xml:space="preserve">výstava: </w:t>
      </w:r>
      <w:r w:rsidRPr="00F346A4">
        <w:rPr>
          <w:bCs/>
          <w:sz w:val="22"/>
          <w:szCs w:val="22"/>
          <w:shd w:val="clear" w:color="auto" w:fill="FFFFFF"/>
        </w:rPr>
        <w:t xml:space="preserve">Galerii pod radnicí, Havlíčkovo náměstí 7/900, Praha 3, </w:t>
      </w:r>
    </w:p>
    <w:p w:rsidR="00FF6950" w:rsidRPr="00F346A4" w:rsidRDefault="00FF6C20" w:rsidP="00F346A4">
      <w:pPr>
        <w:pStyle w:val="Normln1"/>
        <w:numPr>
          <w:ilvl w:val="0"/>
          <w:numId w:val="12"/>
        </w:numPr>
        <w:pBdr>
          <w:top w:val="nil"/>
          <w:left w:val="nil"/>
          <w:bottom w:val="nil"/>
          <w:right w:val="nil"/>
          <w:between w:val="nil"/>
        </w:pBdr>
        <w:jc w:val="both"/>
        <w:rPr>
          <w:sz w:val="22"/>
          <w:szCs w:val="22"/>
        </w:rPr>
      </w:pPr>
      <w:r>
        <w:rPr>
          <w:bCs/>
          <w:sz w:val="22"/>
          <w:szCs w:val="22"/>
          <w:shd w:val="clear" w:color="auto" w:fill="FFFFFF"/>
        </w:rPr>
        <w:t>projekce:</w:t>
      </w:r>
      <w:r w:rsidR="00F346A4" w:rsidRPr="00F346A4">
        <w:rPr>
          <w:bCs/>
          <w:sz w:val="22"/>
          <w:szCs w:val="22"/>
          <w:shd w:val="clear" w:color="auto" w:fill="FFFFFF"/>
        </w:rPr>
        <w:t xml:space="preserve"> Olšanské hřbitovy, Vinohradská 153, Praha 3</w:t>
      </w:r>
      <w:r w:rsidR="00A6769F" w:rsidRPr="00F346A4">
        <w:rPr>
          <w:sz w:val="22"/>
          <w:szCs w:val="22"/>
        </w:rPr>
        <w:t>.;</w:t>
      </w:r>
    </w:p>
    <w:p w:rsidR="00FF6950" w:rsidRPr="00F346A4" w:rsidRDefault="00A6769F" w:rsidP="00F346A4">
      <w:pPr>
        <w:pStyle w:val="Normln1"/>
        <w:numPr>
          <w:ilvl w:val="0"/>
          <w:numId w:val="2"/>
        </w:numPr>
        <w:pBdr>
          <w:top w:val="nil"/>
          <w:left w:val="nil"/>
          <w:bottom w:val="nil"/>
          <w:right w:val="nil"/>
          <w:between w:val="nil"/>
        </w:pBdr>
        <w:jc w:val="both"/>
        <w:rPr>
          <w:color w:val="000000"/>
          <w:sz w:val="22"/>
          <w:szCs w:val="22"/>
        </w:rPr>
      </w:pPr>
      <w:r w:rsidRPr="00F346A4">
        <w:rPr>
          <w:color w:val="000000"/>
          <w:sz w:val="22"/>
          <w:szCs w:val="22"/>
        </w:rPr>
        <w:t>nevýhradně, NFA tedy není touto smlouvou omezen v udělování licencí k užití ZOZ dalším osobám ani sám není omezen v možnosti ZOZ v plném rozsahu užít.</w:t>
      </w:r>
    </w:p>
    <w:p w:rsidR="00FF6950" w:rsidRDefault="00FF6950">
      <w:pPr>
        <w:pStyle w:val="Normln1"/>
        <w:pBdr>
          <w:top w:val="nil"/>
          <w:left w:val="nil"/>
          <w:bottom w:val="nil"/>
          <w:right w:val="nil"/>
          <w:between w:val="nil"/>
        </w:pBdr>
        <w:jc w:val="both"/>
        <w:rPr>
          <w:color w:val="000000"/>
          <w:sz w:val="22"/>
          <w:szCs w:val="22"/>
        </w:rPr>
      </w:pPr>
    </w:p>
    <w:p w:rsidR="00FF6950" w:rsidRPr="00F346A4" w:rsidRDefault="00A6769F">
      <w:pPr>
        <w:pStyle w:val="Normln1"/>
        <w:numPr>
          <w:ilvl w:val="0"/>
          <w:numId w:val="1"/>
        </w:numPr>
        <w:pBdr>
          <w:top w:val="nil"/>
          <w:left w:val="nil"/>
          <w:bottom w:val="nil"/>
          <w:right w:val="nil"/>
          <w:between w:val="nil"/>
        </w:pBdr>
        <w:jc w:val="both"/>
        <w:rPr>
          <w:color w:val="000000"/>
          <w:sz w:val="22"/>
          <w:szCs w:val="22"/>
        </w:rPr>
      </w:pPr>
      <w:r w:rsidRPr="00F346A4">
        <w:rPr>
          <w:color w:val="000000"/>
          <w:sz w:val="22"/>
          <w:szCs w:val="22"/>
        </w:rPr>
        <w:t>Nabyvatel není oprávněn provádět jakékoliv změny, úpravy, doplnění, spojení nebo jiné zásahy do ZOZ, ledaže k tomu NFA udělí výslovný písemný souhlas. V případě, že tato smlouva nebo pozdější písemný souhlas NFA umožňují Nabyvateli zhotovit jiné jazykové verze ZOZ (ať již jde o podtitulky, dabing nebo jiný způsob překladu, dále jen „</w:t>
      </w:r>
      <w:r w:rsidRPr="00F346A4">
        <w:rPr>
          <w:b/>
          <w:color w:val="000000"/>
          <w:sz w:val="22"/>
          <w:szCs w:val="22"/>
        </w:rPr>
        <w:t>překlad</w:t>
      </w:r>
      <w:r w:rsidRPr="00F346A4">
        <w:rPr>
          <w:color w:val="000000"/>
          <w:sz w:val="22"/>
          <w:szCs w:val="22"/>
        </w:rPr>
        <w:t xml:space="preserve">“), je Nabyvatel povinen každý takový zhotovený překlad na odpovídajícím nosiči bez zbytečného odkladu po jeho vytvoření poskytnout NFA, a udělit NFA ve stejné lhůtě licenci k užití každého takového překladu v souvislosti s užitím ZOZ, a to minimálně v rozsahu, který bude analogický k rozsahu </w:t>
      </w:r>
      <w:r w:rsidRPr="00F346A4">
        <w:rPr>
          <w:color w:val="000000"/>
          <w:sz w:val="22"/>
          <w:szCs w:val="22"/>
        </w:rPr>
        <w:lastRenderedPageBreak/>
        <w:t xml:space="preserve">uvedenému v čl. III. odst. 1 této smlouvy, nedohodnou-li se smluvní strany v konkrétním případě jinak. Nabyvatel je povinen vlastním jménem a na vlastní účet vypořádat práva třetích osob ke každému překladu v rozsahu, který mu umožní udělení licence pro NFA dle předchozí věty. </w:t>
      </w:r>
    </w:p>
    <w:p w:rsidR="00FF6950" w:rsidRPr="00F346A4" w:rsidRDefault="00FF6950">
      <w:pPr>
        <w:pStyle w:val="Normln1"/>
        <w:pBdr>
          <w:top w:val="nil"/>
          <w:left w:val="nil"/>
          <w:bottom w:val="nil"/>
          <w:right w:val="nil"/>
          <w:between w:val="nil"/>
        </w:pBdr>
        <w:jc w:val="both"/>
        <w:rPr>
          <w:color w:val="000000"/>
          <w:sz w:val="22"/>
          <w:szCs w:val="22"/>
        </w:rPr>
      </w:pPr>
    </w:p>
    <w:p w:rsidR="00FF6950" w:rsidRPr="00F346A4" w:rsidRDefault="00A6769F">
      <w:pPr>
        <w:pStyle w:val="Normln1"/>
        <w:numPr>
          <w:ilvl w:val="0"/>
          <w:numId w:val="1"/>
        </w:numPr>
        <w:pBdr>
          <w:top w:val="nil"/>
          <w:left w:val="nil"/>
          <w:bottom w:val="nil"/>
          <w:right w:val="nil"/>
          <w:between w:val="nil"/>
        </w:pBdr>
        <w:jc w:val="both"/>
        <w:rPr>
          <w:color w:val="000000"/>
          <w:sz w:val="22"/>
          <w:szCs w:val="22"/>
        </w:rPr>
      </w:pPr>
      <w:r w:rsidRPr="00F346A4">
        <w:rPr>
          <w:color w:val="000000"/>
          <w:sz w:val="22"/>
          <w:szCs w:val="22"/>
        </w:rPr>
        <w:t>Nabyvatel není oprávněn všechna či některá práva získaná touto smlouvou převádět, jakož ani udělovat podlicence (tj. odvozené souhlasy) třetím osobám bez výslovného písemného souhlasu NFA.</w:t>
      </w:r>
    </w:p>
    <w:p w:rsidR="00FF6950" w:rsidRPr="00F346A4" w:rsidRDefault="00FF6950">
      <w:pPr>
        <w:pStyle w:val="Normln1"/>
        <w:pBdr>
          <w:top w:val="nil"/>
          <w:left w:val="nil"/>
          <w:bottom w:val="nil"/>
          <w:right w:val="nil"/>
          <w:between w:val="nil"/>
        </w:pBdr>
        <w:jc w:val="both"/>
        <w:rPr>
          <w:color w:val="000000"/>
          <w:sz w:val="22"/>
          <w:szCs w:val="22"/>
        </w:rPr>
      </w:pPr>
    </w:p>
    <w:p w:rsidR="00FF6950" w:rsidRPr="00F346A4" w:rsidRDefault="00A6769F">
      <w:pPr>
        <w:pStyle w:val="Normln1"/>
        <w:numPr>
          <w:ilvl w:val="0"/>
          <w:numId w:val="1"/>
        </w:numPr>
        <w:pBdr>
          <w:top w:val="nil"/>
          <w:left w:val="nil"/>
          <w:bottom w:val="nil"/>
          <w:right w:val="nil"/>
          <w:between w:val="nil"/>
        </w:pBdr>
        <w:jc w:val="both"/>
        <w:rPr>
          <w:color w:val="000000"/>
          <w:sz w:val="22"/>
          <w:szCs w:val="22"/>
        </w:rPr>
      </w:pPr>
      <w:r w:rsidRPr="00F346A4">
        <w:rPr>
          <w:color w:val="000000"/>
          <w:sz w:val="22"/>
          <w:szCs w:val="22"/>
        </w:rPr>
        <w:t xml:space="preserve">Nabyvatel bere tímto výslovně na vědomí, že touto smlouvou nabývá práva pouze k užití zvukově obrazového záznamu audiovizuálního díla ve výše uvedeném rozsahu, nikoli též právo k užití vlastního audiovizuálního díla či jakýchkoliv děl audiovizuálně užitých. Tato další práva je Nabyvatel povinen samostatně vypořádat plně na svou odpovědnost. </w:t>
      </w:r>
    </w:p>
    <w:p w:rsidR="00FF6950" w:rsidRDefault="00FF6950">
      <w:pPr>
        <w:pStyle w:val="Normln1"/>
        <w:pBdr>
          <w:top w:val="nil"/>
          <w:left w:val="nil"/>
          <w:bottom w:val="nil"/>
          <w:right w:val="nil"/>
          <w:between w:val="nil"/>
        </w:pBdr>
        <w:ind w:left="708" w:hanging="708"/>
        <w:rPr>
          <w:color w:val="000000"/>
          <w:sz w:val="22"/>
          <w:szCs w:val="22"/>
        </w:rPr>
      </w:pPr>
    </w:p>
    <w:p w:rsidR="00FF6950" w:rsidRDefault="00A6769F">
      <w:pPr>
        <w:pStyle w:val="Normln1"/>
        <w:numPr>
          <w:ilvl w:val="0"/>
          <w:numId w:val="1"/>
        </w:numPr>
        <w:pBdr>
          <w:top w:val="nil"/>
          <w:left w:val="nil"/>
          <w:bottom w:val="nil"/>
          <w:right w:val="nil"/>
          <w:between w:val="nil"/>
        </w:pBdr>
        <w:jc w:val="both"/>
        <w:rPr>
          <w:color w:val="000000"/>
          <w:sz w:val="22"/>
          <w:szCs w:val="22"/>
        </w:rPr>
      </w:pPr>
      <w:r>
        <w:rPr>
          <w:color w:val="000000"/>
          <w:sz w:val="22"/>
          <w:szCs w:val="22"/>
        </w:rPr>
        <w:t>Nabyvatel je povinen bezodkladně oznámit NFA jakékoliv porušení práva NFA k ZOZ, o kterém se dozví.</w:t>
      </w:r>
    </w:p>
    <w:p w:rsidR="00FF6950" w:rsidRDefault="00FF6950">
      <w:pPr>
        <w:pStyle w:val="Normln1"/>
        <w:pBdr>
          <w:top w:val="nil"/>
          <w:left w:val="nil"/>
          <w:bottom w:val="nil"/>
          <w:right w:val="nil"/>
          <w:between w:val="nil"/>
        </w:pBdr>
        <w:ind w:left="708" w:hanging="708"/>
        <w:rPr>
          <w:color w:val="000000"/>
          <w:sz w:val="22"/>
          <w:szCs w:val="22"/>
        </w:rPr>
      </w:pPr>
    </w:p>
    <w:p w:rsidR="00FF6950" w:rsidRDefault="00A6769F">
      <w:pPr>
        <w:pStyle w:val="Normln1"/>
        <w:numPr>
          <w:ilvl w:val="0"/>
          <w:numId w:val="1"/>
        </w:numPr>
        <w:pBdr>
          <w:top w:val="nil"/>
          <w:left w:val="nil"/>
          <w:bottom w:val="nil"/>
          <w:right w:val="nil"/>
          <w:between w:val="nil"/>
        </w:pBdr>
        <w:jc w:val="both"/>
        <w:rPr>
          <w:color w:val="000000"/>
          <w:sz w:val="22"/>
          <w:szCs w:val="22"/>
        </w:rPr>
      </w:pPr>
      <w:r>
        <w:rPr>
          <w:color w:val="000000"/>
          <w:sz w:val="22"/>
          <w:szCs w:val="22"/>
        </w:rPr>
        <w:t>Nabyvatel je povinen při každém užití ZOZ dle této smlouvy přiměřeným způsobem uvést, že ZOZ pochází ze sbírek NFA. Předešlá věta Nabyvatele neopravňuje k užívání ochranných známek ani jiného duševního vlastnictví NFA s výjimkou názvu „Národní filmový archiv“, ledaže se smluvní strany dohodnou jinak. Nabyvatel je zásadně při užití ZOZ povinen dbát dobrého jména a pověsti NFA a přispívat k jejich ochraně.</w:t>
      </w:r>
    </w:p>
    <w:p w:rsidR="00FF6950" w:rsidRDefault="00FF6950">
      <w:pPr>
        <w:pStyle w:val="Normln1"/>
        <w:pBdr>
          <w:top w:val="nil"/>
          <w:left w:val="nil"/>
          <w:bottom w:val="nil"/>
          <w:right w:val="nil"/>
          <w:between w:val="nil"/>
        </w:pBdr>
        <w:ind w:left="708" w:hanging="708"/>
        <w:rPr>
          <w:color w:val="000000"/>
          <w:sz w:val="22"/>
          <w:szCs w:val="22"/>
        </w:rPr>
      </w:pPr>
    </w:p>
    <w:p w:rsidR="00FF6950" w:rsidRPr="00F346A4" w:rsidRDefault="00A6769F">
      <w:pPr>
        <w:pStyle w:val="Normln1"/>
        <w:numPr>
          <w:ilvl w:val="0"/>
          <w:numId w:val="1"/>
        </w:numPr>
        <w:pBdr>
          <w:top w:val="nil"/>
          <w:left w:val="nil"/>
          <w:bottom w:val="nil"/>
          <w:right w:val="nil"/>
          <w:between w:val="nil"/>
        </w:pBdr>
        <w:jc w:val="both"/>
        <w:rPr>
          <w:color w:val="000000"/>
          <w:sz w:val="22"/>
          <w:szCs w:val="22"/>
        </w:rPr>
      </w:pPr>
      <w:r w:rsidRPr="00F346A4">
        <w:rPr>
          <w:color w:val="000000"/>
          <w:sz w:val="22"/>
          <w:szCs w:val="22"/>
        </w:rPr>
        <w:t>Nabyvatel bere na vědomí, že užití ZOZ se nesmí reálně ani potenciálně dotýkat hodnoty ZOZ, resp. v nich obsažených autorských děl. ZOZ tak Nabyvatelem nemohou zejména být užity jako tzv. příbaly k jinému zboží, ukázky ze ZOZ v jiných audiovizuálních dílech dle první věty tohoto ustanovení nesmějí přesáhnout celkový rozsah 3 minuty (souhrnně pro každé jiné audiovizuální dílo) ani být užity v audiovizuální nebo zvukové reklamě, sponzorských vzkazech či jiných formách obchodních sdělení, ve videoklipech apod.</w:t>
      </w:r>
    </w:p>
    <w:p w:rsidR="00FF6950" w:rsidRDefault="00FF6950">
      <w:pPr>
        <w:pStyle w:val="Normln1"/>
        <w:pBdr>
          <w:top w:val="nil"/>
          <w:left w:val="nil"/>
          <w:bottom w:val="nil"/>
          <w:right w:val="nil"/>
          <w:between w:val="nil"/>
        </w:pBdr>
        <w:ind w:left="708" w:hanging="708"/>
        <w:rPr>
          <w:color w:val="000000"/>
          <w:sz w:val="22"/>
          <w:szCs w:val="22"/>
        </w:rPr>
      </w:pPr>
    </w:p>
    <w:p w:rsidR="00FF6950" w:rsidRDefault="00FF6950">
      <w:pPr>
        <w:pStyle w:val="Normln1"/>
        <w:pBdr>
          <w:top w:val="nil"/>
          <w:left w:val="nil"/>
          <w:bottom w:val="nil"/>
          <w:right w:val="nil"/>
          <w:between w:val="nil"/>
        </w:pBdr>
        <w:jc w:val="both"/>
        <w:rPr>
          <w:color w:val="000000"/>
          <w:sz w:val="22"/>
          <w:szCs w:val="22"/>
        </w:rPr>
      </w:pPr>
    </w:p>
    <w:p w:rsidR="00FF6950" w:rsidRDefault="00FF6950">
      <w:pPr>
        <w:pStyle w:val="Normln1"/>
        <w:pBdr>
          <w:top w:val="nil"/>
          <w:left w:val="nil"/>
          <w:bottom w:val="nil"/>
          <w:right w:val="nil"/>
          <w:between w:val="nil"/>
        </w:pBdr>
        <w:jc w:val="both"/>
        <w:rPr>
          <w:color w:val="000000"/>
          <w:sz w:val="22"/>
          <w:szCs w:val="22"/>
        </w:rPr>
      </w:pP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IV.</w:t>
      </w: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Odměna</w:t>
      </w:r>
    </w:p>
    <w:p w:rsidR="00FF6950" w:rsidRDefault="00FF6950">
      <w:pPr>
        <w:pStyle w:val="Normln1"/>
        <w:pBdr>
          <w:top w:val="nil"/>
          <w:left w:val="nil"/>
          <w:bottom w:val="nil"/>
          <w:right w:val="nil"/>
          <w:between w:val="nil"/>
        </w:pBdr>
        <w:jc w:val="center"/>
        <w:rPr>
          <w:color w:val="000000"/>
          <w:sz w:val="22"/>
          <w:szCs w:val="22"/>
        </w:rPr>
      </w:pPr>
    </w:p>
    <w:p w:rsidR="00FF6950" w:rsidRPr="00FF6C20" w:rsidRDefault="00A6769F" w:rsidP="00FF6C20">
      <w:pPr>
        <w:pStyle w:val="Normln1"/>
        <w:numPr>
          <w:ilvl w:val="0"/>
          <w:numId w:val="7"/>
        </w:numPr>
        <w:pBdr>
          <w:top w:val="nil"/>
          <w:left w:val="nil"/>
          <w:bottom w:val="nil"/>
          <w:right w:val="nil"/>
          <w:between w:val="nil"/>
        </w:pBdr>
        <w:jc w:val="both"/>
        <w:rPr>
          <w:color w:val="000000"/>
          <w:sz w:val="22"/>
          <w:szCs w:val="22"/>
        </w:rPr>
      </w:pPr>
      <w:r w:rsidRPr="00FF6C20">
        <w:rPr>
          <w:color w:val="000000"/>
          <w:sz w:val="22"/>
          <w:szCs w:val="22"/>
        </w:rPr>
        <w:t xml:space="preserve">Nabyvatel se zavazuje zaplatit NFA za užití ZOZ dle podmínek této smlouvy odměnu ve výši </w:t>
      </w:r>
      <w:r w:rsidR="00D804B4">
        <w:rPr>
          <w:color w:val="000000"/>
          <w:sz w:val="22"/>
          <w:szCs w:val="22"/>
        </w:rPr>
        <w:br/>
      </w:r>
      <w:r w:rsidR="00C2681D">
        <w:rPr>
          <w:color w:val="000000"/>
          <w:sz w:val="22"/>
          <w:szCs w:val="22"/>
        </w:rPr>
        <w:t xml:space="preserve"> 25 000 Kč (dvacet pět ti</w:t>
      </w:r>
      <w:r w:rsidR="00095CF7">
        <w:rPr>
          <w:color w:val="000000"/>
          <w:sz w:val="22"/>
          <w:szCs w:val="22"/>
        </w:rPr>
        <w:t>sí</w:t>
      </w:r>
      <w:r w:rsidR="00C2681D">
        <w:rPr>
          <w:color w:val="000000"/>
          <w:sz w:val="22"/>
          <w:szCs w:val="22"/>
        </w:rPr>
        <w:t>c korun českých</w:t>
      </w:r>
      <w:r w:rsidRPr="00FF6C20">
        <w:rPr>
          <w:color w:val="000000"/>
          <w:sz w:val="22"/>
          <w:szCs w:val="22"/>
        </w:rPr>
        <w:t xml:space="preserve">). </w:t>
      </w:r>
      <w:r w:rsidR="00FF6C20" w:rsidRPr="00FF6C20">
        <w:rPr>
          <w:color w:val="000000"/>
          <w:sz w:val="22"/>
          <w:szCs w:val="22"/>
        </w:rPr>
        <w:t xml:space="preserve"> Odměna je tvořena podílem za poskytnutí souhlasu s užitím ve výši </w:t>
      </w:r>
      <w:r w:rsidR="00C2681D">
        <w:rPr>
          <w:color w:val="000000"/>
          <w:sz w:val="22"/>
          <w:szCs w:val="22"/>
        </w:rPr>
        <w:t xml:space="preserve"> 12</w:t>
      </w:r>
      <w:r w:rsidR="000C70D7">
        <w:rPr>
          <w:color w:val="000000"/>
          <w:sz w:val="22"/>
          <w:szCs w:val="22"/>
        </w:rPr>
        <w:t> </w:t>
      </w:r>
      <w:r w:rsidR="00C2681D">
        <w:rPr>
          <w:color w:val="000000"/>
          <w:sz w:val="22"/>
          <w:szCs w:val="22"/>
        </w:rPr>
        <w:t>000</w:t>
      </w:r>
      <w:r w:rsidR="000C70D7">
        <w:rPr>
          <w:color w:val="000000"/>
          <w:sz w:val="22"/>
          <w:szCs w:val="22"/>
        </w:rPr>
        <w:t xml:space="preserve"> </w:t>
      </w:r>
      <w:r w:rsidR="00C2681D">
        <w:rPr>
          <w:color w:val="000000"/>
          <w:sz w:val="22"/>
          <w:szCs w:val="22"/>
        </w:rPr>
        <w:t xml:space="preserve">Kč </w:t>
      </w:r>
      <w:r w:rsidR="00FF6C20">
        <w:rPr>
          <w:color w:val="000000"/>
          <w:sz w:val="22"/>
          <w:szCs w:val="22"/>
        </w:rPr>
        <w:t xml:space="preserve">za užití každého titulu pro výstavní účely a částkou </w:t>
      </w:r>
      <w:r w:rsidR="00C2681D">
        <w:rPr>
          <w:color w:val="000000"/>
          <w:sz w:val="22"/>
          <w:szCs w:val="22"/>
        </w:rPr>
        <w:t xml:space="preserve"> 500 Kč </w:t>
      </w:r>
      <w:r w:rsidR="00FF6C20">
        <w:rPr>
          <w:color w:val="000000"/>
          <w:sz w:val="22"/>
          <w:szCs w:val="22"/>
        </w:rPr>
        <w:t>za jednorázové uvedení každé</w:t>
      </w:r>
      <w:r w:rsidR="00D804B4">
        <w:rPr>
          <w:color w:val="000000"/>
          <w:sz w:val="22"/>
          <w:szCs w:val="22"/>
        </w:rPr>
        <w:t>ho</w:t>
      </w:r>
      <w:r w:rsidR="00FF6C20">
        <w:rPr>
          <w:color w:val="000000"/>
          <w:sz w:val="22"/>
          <w:szCs w:val="22"/>
        </w:rPr>
        <w:t xml:space="preserve"> snímk</w:t>
      </w:r>
      <w:r w:rsidR="00D804B4">
        <w:rPr>
          <w:color w:val="000000"/>
          <w:sz w:val="22"/>
          <w:szCs w:val="22"/>
        </w:rPr>
        <w:t>u</w:t>
      </w:r>
      <w:r w:rsidR="00FF6C20">
        <w:rPr>
          <w:color w:val="000000"/>
          <w:sz w:val="22"/>
          <w:szCs w:val="22"/>
        </w:rPr>
        <w:t xml:space="preserve"> na Olšanských hřbitovech v listopadu 2021.</w:t>
      </w:r>
    </w:p>
    <w:p w:rsidR="00FF6950" w:rsidRDefault="00FF6950">
      <w:pPr>
        <w:pStyle w:val="Normln1"/>
        <w:pBdr>
          <w:top w:val="nil"/>
          <w:left w:val="nil"/>
          <w:bottom w:val="nil"/>
          <w:right w:val="nil"/>
          <w:between w:val="nil"/>
        </w:pBdr>
        <w:ind w:hanging="708"/>
        <w:rPr>
          <w:color w:val="000000"/>
          <w:sz w:val="22"/>
          <w:szCs w:val="22"/>
        </w:rPr>
      </w:pPr>
    </w:p>
    <w:p w:rsidR="00FF6C20" w:rsidRPr="00FF6C20" w:rsidRDefault="00A6769F" w:rsidP="00FF6C20">
      <w:pPr>
        <w:pStyle w:val="Normln1"/>
        <w:numPr>
          <w:ilvl w:val="0"/>
          <w:numId w:val="7"/>
        </w:numPr>
        <w:pBdr>
          <w:top w:val="nil"/>
          <w:left w:val="nil"/>
          <w:bottom w:val="nil"/>
          <w:right w:val="nil"/>
          <w:between w:val="nil"/>
        </w:pBdr>
        <w:jc w:val="both"/>
        <w:rPr>
          <w:color w:val="000000"/>
          <w:sz w:val="22"/>
          <w:szCs w:val="22"/>
        </w:rPr>
      </w:pPr>
      <w:r w:rsidRPr="00FF6C20">
        <w:rPr>
          <w:color w:val="000000"/>
          <w:sz w:val="22"/>
          <w:szCs w:val="22"/>
        </w:rPr>
        <w:t>Odměna stanovená v odst. 1 tohoto článku bude Nabyvatelem NFA uhrazena na č.</w:t>
      </w:r>
      <w:r w:rsidR="00095CF7">
        <w:rPr>
          <w:color w:val="000000"/>
          <w:sz w:val="22"/>
          <w:szCs w:val="22"/>
        </w:rPr>
        <w:t xml:space="preserve"> </w:t>
      </w:r>
      <w:r w:rsidRPr="00FF6C20">
        <w:rPr>
          <w:color w:val="000000"/>
          <w:sz w:val="22"/>
          <w:szCs w:val="22"/>
        </w:rPr>
        <w:t>ú.</w:t>
      </w:r>
      <w:r w:rsidR="003A1590">
        <w:rPr>
          <w:color w:val="000000"/>
          <w:sz w:val="22"/>
          <w:szCs w:val="22"/>
        </w:rPr>
        <w:t>,</w:t>
      </w:r>
      <w:r w:rsidRPr="00FF6C20">
        <w:rPr>
          <w:color w:val="000000"/>
          <w:sz w:val="22"/>
          <w:szCs w:val="22"/>
        </w:rPr>
        <w:t xml:space="preserve"> uvedeném v záhlaví smlouvy na základě běžné faktury se všemi zákonnými náležitostmi daňového dokladu, s čtrnáctidenní lhůtou splatnosti vystavené NFA na základě této smlouvy.</w:t>
      </w:r>
    </w:p>
    <w:p w:rsidR="00FF6C20" w:rsidRDefault="00FF6C20" w:rsidP="00FF6C20">
      <w:pPr>
        <w:pStyle w:val="Normln1"/>
        <w:pBdr>
          <w:top w:val="nil"/>
          <w:left w:val="nil"/>
          <w:bottom w:val="nil"/>
          <w:right w:val="nil"/>
          <w:between w:val="nil"/>
        </w:pBdr>
        <w:ind w:left="360"/>
        <w:jc w:val="both"/>
        <w:rPr>
          <w:color w:val="000000"/>
          <w:sz w:val="22"/>
          <w:szCs w:val="22"/>
        </w:rPr>
      </w:pPr>
    </w:p>
    <w:p w:rsidR="00FF6950" w:rsidRPr="00FF6C20" w:rsidRDefault="00A6769F" w:rsidP="00FF6C20">
      <w:pPr>
        <w:pStyle w:val="Normln1"/>
        <w:numPr>
          <w:ilvl w:val="0"/>
          <w:numId w:val="7"/>
        </w:numPr>
        <w:pBdr>
          <w:top w:val="nil"/>
          <w:left w:val="nil"/>
          <w:bottom w:val="nil"/>
          <w:right w:val="nil"/>
          <w:between w:val="nil"/>
        </w:pBdr>
        <w:jc w:val="both"/>
        <w:rPr>
          <w:color w:val="000000"/>
          <w:sz w:val="22"/>
          <w:szCs w:val="22"/>
        </w:rPr>
      </w:pPr>
      <w:r w:rsidRPr="00FF6C20">
        <w:rPr>
          <w:color w:val="000000"/>
          <w:sz w:val="22"/>
          <w:szCs w:val="22"/>
        </w:rPr>
        <w:t xml:space="preserve">V případě prodlení Nabyvatele s úhradou odměny dle ustanovení této smlouvy se Nabyvatel zavazuje uhradit NFA úrok z prodlení ve výši 0,05 % za každý celý den prodlení. </w:t>
      </w:r>
    </w:p>
    <w:p w:rsidR="00FF6950" w:rsidRDefault="00FF6950">
      <w:pPr>
        <w:pStyle w:val="Normln1"/>
        <w:pBdr>
          <w:top w:val="nil"/>
          <w:left w:val="nil"/>
          <w:bottom w:val="nil"/>
          <w:right w:val="nil"/>
          <w:between w:val="nil"/>
        </w:pBdr>
        <w:ind w:left="360"/>
        <w:jc w:val="both"/>
        <w:rPr>
          <w:color w:val="000000"/>
          <w:sz w:val="22"/>
          <w:szCs w:val="22"/>
        </w:rPr>
      </w:pPr>
    </w:p>
    <w:p w:rsidR="00FF6950" w:rsidRDefault="00FF6950">
      <w:pPr>
        <w:pStyle w:val="Normln1"/>
        <w:pBdr>
          <w:top w:val="nil"/>
          <w:left w:val="nil"/>
          <w:bottom w:val="nil"/>
          <w:right w:val="nil"/>
          <w:between w:val="nil"/>
        </w:pBdr>
        <w:jc w:val="both"/>
        <w:rPr>
          <w:color w:val="000000"/>
          <w:sz w:val="22"/>
          <w:szCs w:val="22"/>
        </w:rPr>
      </w:pP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V.</w:t>
      </w: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Mlčenlivost</w:t>
      </w:r>
    </w:p>
    <w:p w:rsidR="00FF6950" w:rsidRDefault="00FF6950">
      <w:pPr>
        <w:pStyle w:val="Normln1"/>
        <w:pBdr>
          <w:top w:val="nil"/>
          <w:left w:val="nil"/>
          <w:bottom w:val="nil"/>
          <w:right w:val="nil"/>
          <w:between w:val="nil"/>
        </w:pBdr>
        <w:jc w:val="center"/>
        <w:rPr>
          <w:color w:val="000000"/>
          <w:sz w:val="22"/>
          <w:szCs w:val="22"/>
        </w:rPr>
      </w:pPr>
    </w:p>
    <w:p w:rsidR="00FF6950" w:rsidRPr="00095CF7" w:rsidRDefault="00095CF7" w:rsidP="00095CF7">
      <w:pPr>
        <w:pStyle w:val="Normln1"/>
        <w:pBdr>
          <w:top w:val="nil"/>
          <w:left w:val="nil"/>
          <w:bottom w:val="nil"/>
          <w:right w:val="nil"/>
          <w:between w:val="nil"/>
        </w:pBdr>
        <w:jc w:val="both"/>
        <w:rPr>
          <w:color w:val="000000"/>
          <w:sz w:val="22"/>
          <w:szCs w:val="22"/>
        </w:rPr>
      </w:pPr>
      <w:r>
        <w:rPr>
          <w:color w:val="000000"/>
          <w:sz w:val="22"/>
          <w:szCs w:val="22"/>
        </w:rPr>
        <w:t xml:space="preserve">1. </w:t>
      </w:r>
      <w:r w:rsidR="00A6769F" w:rsidRPr="00095CF7">
        <w:rPr>
          <w:color w:val="000000"/>
          <w:sz w:val="22"/>
          <w:szCs w:val="22"/>
        </w:rPr>
        <w:t>Nabyvatel prohlašuje, že si je vědom skutečnosti, že veškeré údaje, které se dozví v rámci této smlouvy a</w:t>
      </w:r>
      <w:r w:rsidRPr="00095CF7">
        <w:rPr>
          <w:color w:val="000000"/>
          <w:sz w:val="22"/>
          <w:szCs w:val="22"/>
        </w:rPr>
        <w:t xml:space="preserve"> jednání o ní,</w:t>
      </w:r>
      <w:r w:rsidR="00A6769F" w:rsidRPr="00095CF7">
        <w:rPr>
          <w:color w:val="000000"/>
          <w:sz w:val="22"/>
          <w:szCs w:val="22"/>
        </w:rPr>
        <w:t xml:space="preserve"> které nejsou veřejně dostupné, tvoří ve smyslu § 504 zákona č. 89/2012 Sb., občanského zákoníku v platném znění předmět obchodního tajemství NFA. </w:t>
      </w:r>
    </w:p>
    <w:p w:rsidR="00FF6950" w:rsidRDefault="00095CF7" w:rsidP="00095CF7">
      <w:pPr>
        <w:pStyle w:val="Normln1"/>
        <w:pBdr>
          <w:top w:val="nil"/>
          <w:left w:val="nil"/>
          <w:bottom w:val="nil"/>
          <w:right w:val="nil"/>
          <w:between w:val="nil"/>
        </w:pBdr>
        <w:ind w:left="786"/>
        <w:jc w:val="both"/>
        <w:rPr>
          <w:color w:val="000000"/>
          <w:sz w:val="22"/>
          <w:szCs w:val="22"/>
        </w:rPr>
      </w:pPr>
      <w:r w:rsidDel="00095CF7">
        <w:rPr>
          <w:color w:val="000000"/>
          <w:sz w:val="22"/>
          <w:szCs w:val="22"/>
        </w:rPr>
        <w:t xml:space="preserve"> </w:t>
      </w:r>
    </w:p>
    <w:p w:rsidR="00FF6950" w:rsidRDefault="00A6769F">
      <w:pPr>
        <w:pStyle w:val="Normln1"/>
        <w:numPr>
          <w:ilvl w:val="0"/>
          <w:numId w:val="3"/>
        </w:numPr>
        <w:pBdr>
          <w:top w:val="nil"/>
          <w:left w:val="nil"/>
          <w:bottom w:val="nil"/>
          <w:right w:val="nil"/>
          <w:between w:val="nil"/>
        </w:pBdr>
        <w:jc w:val="both"/>
        <w:rPr>
          <w:color w:val="000000"/>
          <w:sz w:val="22"/>
          <w:szCs w:val="22"/>
        </w:rPr>
      </w:pPr>
      <w:r>
        <w:rPr>
          <w:color w:val="000000"/>
          <w:sz w:val="22"/>
          <w:szCs w:val="22"/>
        </w:rPr>
        <w:t>Nabyvatel se zavazuje toto obchodní tajemství zachovávat v naprosté tajnosti a po skončení spolupráce či kdykoliv na pokyn NFA ihned a bezvýjimečně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FF6950" w:rsidRDefault="00FF6950">
      <w:pPr>
        <w:pStyle w:val="Normln1"/>
        <w:pBdr>
          <w:top w:val="nil"/>
          <w:left w:val="nil"/>
          <w:bottom w:val="nil"/>
          <w:right w:val="nil"/>
          <w:between w:val="nil"/>
        </w:pBdr>
        <w:ind w:left="540"/>
        <w:jc w:val="both"/>
        <w:rPr>
          <w:color w:val="000000"/>
          <w:sz w:val="22"/>
          <w:szCs w:val="22"/>
        </w:rPr>
      </w:pPr>
    </w:p>
    <w:p w:rsidR="00FF6950" w:rsidRDefault="00A6769F">
      <w:pPr>
        <w:pStyle w:val="Normln1"/>
        <w:numPr>
          <w:ilvl w:val="0"/>
          <w:numId w:val="3"/>
        </w:numPr>
        <w:pBdr>
          <w:top w:val="nil"/>
          <w:left w:val="nil"/>
          <w:bottom w:val="nil"/>
          <w:right w:val="nil"/>
          <w:between w:val="nil"/>
        </w:pBdr>
        <w:jc w:val="both"/>
        <w:rPr>
          <w:color w:val="000000"/>
          <w:sz w:val="22"/>
          <w:szCs w:val="22"/>
        </w:rPr>
      </w:pPr>
      <w:r>
        <w:rPr>
          <w:color w:val="000000"/>
          <w:sz w:val="22"/>
          <w:szCs w:val="22"/>
        </w:rPr>
        <w:t>Nabyvatel se zavazuje toto obchodní tajemství nikdy nevyužít žádným způsobem, přímo ani nepřímo, ve svůj prospěch či jinak, než v zájmu NFA a v souladu s jeho instrukcemi a pokyny.</w:t>
      </w:r>
    </w:p>
    <w:p w:rsidR="00FF6950" w:rsidRDefault="00FF6950">
      <w:pPr>
        <w:pStyle w:val="Normln1"/>
        <w:pBdr>
          <w:top w:val="nil"/>
          <w:left w:val="nil"/>
          <w:bottom w:val="nil"/>
          <w:right w:val="nil"/>
          <w:between w:val="nil"/>
        </w:pBdr>
        <w:jc w:val="both"/>
        <w:rPr>
          <w:color w:val="000000"/>
          <w:sz w:val="22"/>
          <w:szCs w:val="22"/>
        </w:rPr>
      </w:pPr>
    </w:p>
    <w:p w:rsidR="00FF6950" w:rsidRDefault="00A6769F">
      <w:pPr>
        <w:pStyle w:val="Normln1"/>
        <w:numPr>
          <w:ilvl w:val="0"/>
          <w:numId w:val="3"/>
        </w:numPr>
        <w:pBdr>
          <w:top w:val="nil"/>
          <w:left w:val="nil"/>
          <w:bottom w:val="nil"/>
          <w:right w:val="nil"/>
          <w:between w:val="nil"/>
        </w:pBdr>
        <w:jc w:val="both"/>
        <w:rPr>
          <w:color w:val="000000"/>
          <w:sz w:val="22"/>
          <w:szCs w:val="22"/>
        </w:rPr>
      </w:pPr>
      <w:r>
        <w:rPr>
          <w:color w:val="000000"/>
          <w:sz w:val="22"/>
          <w:szCs w:val="22"/>
        </w:rPr>
        <w:t>Nabyvatel se zavazuje, že jakékoli podklady (včetně grafických vyobrazení, log, ochranných známek, atd.) získané od NFA či jím pověřené třetí osoby využije výlučně pro účely této smlouvy.</w:t>
      </w:r>
    </w:p>
    <w:p w:rsidR="00FF6950" w:rsidRDefault="00FF6950">
      <w:pPr>
        <w:pStyle w:val="Normln1"/>
        <w:pBdr>
          <w:top w:val="nil"/>
          <w:left w:val="nil"/>
          <w:bottom w:val="nil"/>
          <w:right w:val="nil"/>
          <w:between w:val="nil"/>
        </w:pBdr>
        <w:jc w:val="both"/>
        <w:rPr>
          <w:color w:val="000000"/>
          <w:sz w:val="22"/>
          <w:szCs w:val="22"/>
        </w:rPr>
      </w:pPr>
    </w:p>
    <w:p w:rsidR="00FF6950" w:rsidRDefault="00FF6950">
      <w:pPr>
        <w:pStyle w:val="Normln1"/>
        <w:pBdr>
          <w:top w:val="nil"/>
          <w:left w:val="nil"/>
          <w:bottom w:val="nil"/>
          <w:right w:val="nil"/>
          <w:between w:val="nil"/>
        </w:pBdr>
        <w:jc w:val="both"/>
        <w:rPr>
          <w:color w:val="000000"/>
          <w:sz w:val="22"/>
          <w:szCs w:val="22"/>
        </w:rPr>
      </w:pPr>
    </w:p>
    <w:p w:rsidR="00FF6950" w:rsidRDefault="00FF6950">
      <w:pPr>
        <w:pStyle w:val="Normln1"/>
        <w:pBdr>
          <w:top w:val="nil"/>
          <w:left w:val="nil"/>
          <w:bottom w:val="nil"/>
          <w:right w:val="nil"/>
          <w:between w:val="nil"/>
        </w:pBdr>
        <w:jc w:val="both"/>
        <w:rPr>
          <w:color w:val="000000"/>
          <w:sz w:val="22"/>
          <w:szCs w:val="22"/>
        </w:rPr>
      </w:pP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VI.</w:t>
      </w:r>
    </w:p>
    <w:p w:rsidR="00FF6950" w:rsidRDefault="00A6769F">
      <w:pPr>
        <w:pStyle w:val="Normln1"/>
        <w:pBdr>
          <w:top w:val="nil"/>
          <w:left w:val="nil"/>
          <w:bottom w:val="nil"/>
          <w:right w:val="nil"/>
          <w:between w:val="nil"/>
        </w:pBdr>
        <w:jc w:val="center"/>
        <w:rPr>
          <w:color w:val="000000"/>
          <w:sz w:val="22"/>
          <w:szCs w:val="22"/>
        </w:rPr>
      </w:pPr>
      <w:r>
        <w:rPr>
          <w:b/>
          <w:color w:val="000000"/>
          <w:sz w:val="22"/>
          <w:szCs w:val="22"/>
        </w:rPr>
        <w:t>Závěrečná ustanovení</w:t>
      </w:r>
    </w:p>
    <w:p w:rsidR="00FF6950" w:rsidRDefault="00FF6950">
      <w:pPr>
        <w:pStyle w:val="Normln1"/>
        <w:pBdr>
          <w:top w:val="nil"/>
          <w:left w:val="nil"/>
          <w:bottom w:val="nil"/>
          <w:right w:val="nil"/>
          <w:between w:val="nil"/>
        </w:pBdr>
        <w:jc w:val="center"/>
        <w:rPr>
          <w:color w:val="000000"/>
          <w:sz w:val="22"/>
          <w:szCs w:val="22"/>
        </w:rPr>
      </w:pPr>
    </w:p>
    <w:p w:rsidR="00FF695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Tuto smlouvu lze vypovědět či od ní odstoupit pouze za podmínek stanovených v obecně závazných předpisech nebo v této smlouvě.</w:t>
      </w:r>
    </w:p>
    <w:p w:rsidR="00FF6950" w:rsidRDefault="00FF6950">
      <w:pPr>
        <w:pStyle w:val="Normln1"/>
        <w:pBdr>
          <w:top w:val="nil"/>
          <w:left w:val="nil"/>
          <w:bottom w:val="nil"/>
          <w:right w:val="nil"/>
          <w:between w:val="nil"/>
        </w:pBdr>
        <w:jc w:val="both"/>
        <w:rPr>
          <w:color w:val="000000"/>
          <w:sz w:val="22"/>
          <w:szCs w:val="22"/>
        </w:rPr>
      </w:pPr>
    </w:p>
    <w:p w:rsidR="00FF695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 xml:space="preserve">Tato smlouva byla sepsána ve </w:t>
      </w:r>
      <w:r w:rsidR="003A1590">
        <w:rPr>
          <w:color w:val="000000"/>
          <w:sz w:val="22"/>
          <w:szCs w:val="22"/>
        </w:rPr>
        <w:t xml:space="preserve">třech </w:t>
      </w:r>
      <w:r>
        <w:rPr>
          <w:color w:val="000000"/>
          <w:sz w:val="22"/>
          <w:szCs w:val="22"/>
        </w:rPr>
        <w:t xml:space="preserve">vyhotoveních s platností originálu, z nichž </w:t>
      </w:r>
      <w:r w:rsidR="003A1590">
        <w:rPr>
          <w:color w:val="000000"/>
          <w:sz w:val="22"/>
          <w:szCs w:val="22"/>
        </w:rPr>
        <w:t>jedno vyhotovení obdrží NFA a dvě Nabyvatel</w:t>
      </w:r>
      <w:r>
        <w:rPr>
          <w:color w:val="000000"/>
          <w:sz w:val="22"/>
          <w:szCs w:val="22"/>
        </w:rPr>
        <w:t>.</w:t>
      </w:r>
    </w:p>
    <w:p w:rsidR="00FF6950" w:rsidRDefault="00FF6950">
      <w:pPr>
        <w:pStyle w:val="Normln1"/>
        <w:pBdr>
          <w:top w:val="nil"/>
          <w:left w:val="nil"/>
          <w:bottom w:val="nil"/>
          <w:right w:val="nil"/>
          <w:between w:val="nil"/>
        </w:pBdr>
        <w:jc w:val="both"/>
        <w:rPr>
          <w:color w:val="000000"/>
          <w:sz w:val="22"/>
          <w:szCs w:val="22"/>
        </w:rPr>
      </w:pPr>
    </w:p>
    <w:p w:rsidR="00FF695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FF6950" w:rsidRDefault="00FF6950">
      <w:pPr>
        <w:pStyle w:val="Normln1"/>
        <w:pBdr>
          <w:top w:val="nil"/>
          <w:left w:val="nil"/>
          <w:bottom w:val="nil"/>
          <w:right w:val="nil"/>
          <w:between w:val="nil"/>
        </w:pBdr>
        <w:jc w:val="both"/>
        <w:rPr>
          <w:color w:val="000000"/>
          <w:sz w:val="22"/>
          <w:szCs w:val="22"/>
        </w:rPr>
      </w:pPr>
    </w:p>
    <w:p w:rsidR="00FF695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FF6950" w:rsidRDefault="00FF6950">
      <w:pPr>
        <w:pStyle w:val="Normln1"/>
        <w:pBdr>
          <w:top w:val="nil"/>
          <w:left w:val="nil"/>
          <w:bottom w:val="nil"/>
          <w:right w:val="nil"/>
          <w:between w:val="nil"/>
        </w:pBdr>
        <w:jc w:val="both"/>
        <w:rPr>
          <w:color w:val="000000"/>
          <w:sz w:val="22"/>
          <w:szCs w:val="22"/>
        </w:rPr>
      </w:pPr>
    </w:p>
    <w:p w:rsidR="00FF695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Tuto smlouvu je možné změnit pouze písemnou formou (za kterou se pro tento účel nepovažuje forma elektronické komunikace), přičemž podpisy zástupců obou stran musí být na téže listině.</w:t>
      </w:r>
    </w:p>
    <w:p w:rsidR="00FF6950" w:rsidRDefault="00FF6950">
      <w:pPr>
        <w:pStyle w:val="Normln1"/>
        <w:pBdr>
          <w:top w:val="nil"/>
          <w:left w:val="nil"/>
          <w:bottom w:val="nil"/>
          <w:right w:val="nil"/>
          <w:between w:val="nil"/>
        </w:pBdr>
        <w:jc w:val="both"/>
        <w:rPr>
          <w:color w:val="000000"/>
          <w:sz w:val="22"/>
          <w:szCs w:val="22"/>
        </w:rPr>
      </w:pPr>
    </w:p>
    <w:p w:rsidR="00FF695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Obě smluvní strany prohlašují, že jim jakékoli závazky vůči třetím osobám nebrání v uzavření této smlouvy.</w:t>
      </w:r>
    </w:p>
    <w:p w:rsidR="00FF6950" w:rsidRDefault="00FF6950">
      <w:pPr>
        <w:pStyle w:val="Normln1"/>
        <w:pBdr>
          <w:top w:val="nil"/>
          <w:left w:val="nil"/>
          <w:bottom w:val="nil"/>
          <w:right w:val="nil"/>
          <w:between w:val="nil"/>
        </w:pBdr>
        <w:ind w:left="708" w:hanging="708"/>
        <w:rPr>
          <w:color w:val="000000"/>
          <w:sz w:val="22"/>
          <w:szCs w:val="22"/>
        </w:rPr>
      </w:pPr>
    </w:p>
    <w:p w:rsidR="00FF695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FF6950" w:rsidRDefault="00FF6950">
      <w:pPr>
        <w:pStyle w:val="Normln1"/>
        <w:pBdr>
          <w:top w:val="nil"/>
          <w:left w:val="nil"/>
          <w:bottom w:val="nil"/>
          <w:right w:val="nil"/>
          <w:between w:val="nil"/>
        </w:pBdr>
        <w:ind w:left="360"/>
        <w:rPr>
          <w:rFonts w:ascii="Arial" w:eastAsia="Arial" w:hAnsi="Arial" w:cs="Arial"/>
          <w:color w:val="000000"/>
          <w:sz w:val="24"/>
          <w:szCs w:val="24"/>
        </w:rPr>
      </w:pPr>
    </w:p>
    <w:p w:rsidR="00FF695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FF6950" w:rsidRDefault="00FF6950">
      <w:pPr>
        <w:pStyle w:val="Normln1"/>
        <w:pBdr>
          <w:top w:val="nil"/>
          <w:left w:val="nil"/>
          <w:bottom w:val="nil"/>
          <w:right w:val="nil"/>
          <w:between w:val="nil"/>
        </w:pBdr>
        <w:ind w:left="360"/>
        <w:rPr>
          <w:rFonts w:ascii="Arial" w:eastAsia="Arial" w:hAnsi="Arial" w:cs="Arial"/>
          <w:color w:val="000000"/>
          <w:sz w:val="24"/>
          <w:szCs w:val="24"/>
        </w:rPr>
      </w:pPr>
    </w:p>
    <w:p w:rsidR="00FF695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Odpověď strany této smlouvy, podle § 1740 odst. 3 občanského zákoníku, s dodatkem nebo odchylkou, není přijetím nabídky na uzavření této smlouvy, ani když podstatně nemění podmínky nabídky.</w:t>
      </w:r>
    </w:p>
    <w:p w:rsidR="00FF6950" w:rsidRDefault="00FF6950">
      <w:pPr>
        <w:pStyle w:val="Normln1"/>
        <w:pBdr>
          <w:top w:val="nil"/>
          <w:left w:val="nil"/>
          <w:bottom w:val="nil"/>
          <w:right w:val="nil"/>
          <w:between w:val="nil"/>
        </w:pBdr>
        <w:rPr>
          <w:rFonts w:ascii="Arial" w:eastAsia="Arial" w:hAnsi="Arial" w:cs="Arial"/>
          <w:color w:val="000000"/>
          <w:sz w:val="24"/>
          <w:szCs w:val="24"/>
        </w:rPr>
      </w:pPr>
    </w:p>
    <w:p w:rsidR="00FF695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Strany výslovně potvrzují, že základní podmínky této smlouvy jsou výsledkem jednání stran a každá ze stran měla příležitost ovlivnit obsah základních podmínek této smlouvy.</w:t>
      </w:r>
    </w:p>
    <w:p w:rsidR="00FF6950" w:rsidRDefault="00FF6950">
      <w:pPr>
        <w:pStyle w:val="Normln1"/>
        <w:pBdr>
          <w:top w:val="nil"/>
          <w:left w:val="nil"/>
          <w:bottom w:val="nil"/>
          <w:right w:val="nil"/>
          <w:between w:val="nil"/>
        </w:pBdr>
        <w:jc w:val="both"/>
        <w:rPr>
          <w:color w:val="000000"/>
          <w:sz w:val="22"/>
          <w:szCs w:val="22"/>
        </w:rPr>
      </w:pPr>
    </w:p>
    <w:p w:rsidR="00FF6950" w:rsidRPr="00FF6C20" w:rsidRDefault="00A6769F">
      <w:pPr>
        <w:pStyle w:val="Normln1"/>
        <w:numPr>
          <w:ilvl w:val="0"/>
          <w:numId w:val="9"/>
        </w:numPr>
        <w:pBdr>
          <w:top w:val="nil"/>
          <w:left w:val="nil"/>
          <w:bottom w:val="nil"/>
          <w:right w:val="nil"/>
          <w:between w:val="nil"/>
        </w:pBdr>
        <w:jc w:val="both"/>
        <w:rPr>
          <w:color w:val="000000"/>
          <w:sz w:val="22"/>
          <w:szCs w:val="22"/>
        </w:rPr>
      </w:pPr>
      <w:r>
        <w:rPr>
          <w:color w:val="000000"/>
          <w:sz w:val="22"/>
          <w:szCs w:val="22"/>
        </w:rPr>
        <w:t xml:space="preserve">Na důkaz porozumění a souhlasu s celým obsahem i jednotlivostmi této smlouvy připojují zde smluvní strany své </w:t>
      </w:r>
      <w:r w:rsidRPr="00FF6C20">
        <w:rPr>
          <w:color w:val="000000"/>
          <w:sz w:val="22"/>
          <w:szCs w:val="22"/>
        </w:rPr>
        <w:t xml:space="preserve">podpisy: </w:t>
      </w:r>
    </w:p>
    <w:p w:rsidR="00FF6950" w:rsidRPr="00FF6C20" w:rsidRDefault="00FF6950">
      <w:pPr>
        <w:pStyle w:val="Normln1"/>
        <w:pBdr>
          <w:top w:val="nil"/>
          <w:left w:val="nil"/>
          <w:bottom w:val="nil"/>
          <w:right w:val="nil"/>
          <w:between w:val="nil"/>
        </w:pBdr>
        <w:jc w:val="center"/>
        <w:rPr>
          <w:color w:val="000000"/>
          <w:sz w:val="22"/>
          <w:szCs w:val="22"/>
        </w:rPr>
      </w:pPr>
    </w:p>
    <w:p w:rsidR="00FF6950" w:rsidRPr="00FF6C20" w:rsidRDefault="00FF6950">
      <w:pPr>
        <w:pStyle w:val="Normln1"/>
        <w:pBdr>
          <w:top w:val="nil"/>
          <w:left w:val="nil"/>
          <w:bottom w:val="nil"/>
          <w:right w:val="nil"/>
          <w:between w:val="nil"/>
        </w:pBdr>
        <w:spacing w:before="120" w:after="120"/>
        <w:jc w:val="both"/>
        <w:rPr>
          <w:color w:val="000000"/>
          <w:sz w:val="22"/>
          <w:szCs w:val="22"/>
        </w:rPr>
      </w:pPr>
    </w:p>
    <w:tbl>
      <w:tblPr>
        <w:tblStyle w:val="a"/>
        <w:tblW w:w="9432" w:type="dxa"/>
        <w:tblInd w:w="0" w:type="dxa"/>
        <w:tblLayout w:type="fixed"/>
        <w:tblLook w:val="0000" w:firstRow="0" w:lastRow="0" w:firstColumn="0" w:lastColumn="0" w:noHBand="0" w:noVBand="0"/>
      </w:tblPr>
      <w:tblGrid>
        <w:gridCol w:w="4896"/>
        <w:gridCol w:w="4536"/>
      </w:tblGrid>
      <w:tr w:rsidR="00FF6950" w:rsidRPr="00FF6C20">
        <w:tc>
          <w:tcPr>
            <w:tcW w:w="4896" w:type="dxa"/>
          </w:tcPr>
          <w:p w:rsidR="00FF6950" w:rsidRPr="00FF6C20" w:rsidRDefault="00A6769F">
            <w:pPr>
              <w:pStyle w:val="Normln1"/>
              <w:pBdr>
                <w:top w:val="nil"/>
                <w:left w:val="nil"/>
                <w:bottom w:val="nil"/>
                <w:right w:val="nil"/>
                <w:between w:val="nil"/>
              </w:pBdr>
              <w:ind w:right="1440"/>
              <w:rPr>
                <w:color w:val="000000"/>
                <w:sz w:val="22"/>
                <w:szCs w:val="22"/>
              </w:rPr>
            </w:pPr>
            <w:r w:rsidRPr="00FF6C20">
              <w:rPr>
                <w:color w:val="000000"/>
                <w:sz w:val="22"/>
                <w:szCs w:val="22"/>
              </w:rPr>
              <w:t xml:space="preserve">V Praze dne </w:t>
            </w:r>
            <w:r w:rsidRPr="000C70D7">
              <w:rPr>
                <w:color w:val="000000"/>
                <w:sz w:val="22"/>
                <w:szCs w:val="22"/>
              </w:rPr>
              <w:t>…..</w:t>
            </w:r>
          </w:p>
          <w:p w:rsidR="00FF6950" w:rsidRPr="00FF6C20" w:rsidRDefault="00FF6950">
            <w:pPr>
              <w:pStyle w:val="Normln1"/>
              <w:pBdr>
                <w:top w:val="nil"/>
                <w:left w:val="nil"/>
                <w:bottom w:val="nil"/>
                <w:right w:val="nil"/>
                <w:between w:val="nil"/>
              </w:pBdr>
              <w:ind w:right="1440"/>
              <w:rPr>
                <w:color w:val="000000"/>
                <w:sz w:val="22"/>
                <w:szCs w:val="22"/>
              </w:rPr>
            </w:pPr>
          </w:p>
          <w:p w:rsidR="00FF6950" w:rsidRPr="00FF6C20" w:rsidRDefault="00A6769F">
            <w:pPr>
              <w:pStyle w:val="Normln1"/>
              <w:pBdr>
                <w:top w:val="nil"/>
                <w:left w:val="nil"/>
                <w:bottom w:val="nil"/>
                <w:right w:val="nil"/>
                <w:between w:val="nil"/>
              </w:pBdr>
              <w:ind w:right="1440"/>
              <w:rPr>
                <w:color w:val="000000"/>
                <w:sz w:val="22"/>
                <w:szCs w:val="22"/>
              </w:rPr>
            </w:pPr>
            <w:r w:rsidRPr="00FF6C20">
              <w:rPr>
                <w:b/>
                <w:color w:val="000000"/>
                <w:sz w:val="22"/>
                <w:szCs w:val="22"/>
              </w:rPr>
              <w:t>NFA:</w:t>
            </w:r>
          </w:p>
          <w:p w:rsidR="00FF6950" w:rsidRPr="00FF6C20" w:rsidRDefault="00FF6950">
            <w:pPr>
              <w:pStyle w:val="Normln1"/>
              <w:pBdr>
                <w:top w:val="nil"/>
                <w:left w:val="nil"/>
                <w:bottom w:val="nil"/>
                <w:right w:val="nil"/>
                <w:between w:val="nil"/>
              </w:pBdr>
              <w:ind w:right="1440"/>
              <w:rPr>
                <w:color w:val="000000"/>
                <w:sz w:val="22"/>
                <w:szCs w:val="22"/>
              </w:rPr>
            </w:pPr>
          </w:p>
          <w:p w:rsidR="00FF6950" w:rsidRPr="00FF6C20" w:rsidRDefault="00FF6950">
            <w:pPr>
              <w:pStyle w:val="Normln1"/>
              <w:pBdr>
                <w:top w:val="nil"/>
                <w:left w:val="nil"/>
                <w:bottom w:val="nil"/>
                <w:right w:val="nil"/>
                <w:between w:val="nil"/>
              </w:pBdr>
              <w:ind w:right="1440"/>
              <w:rPr>
                <w:color w:val="000000"/>
                <w:sz w:val="22"/>
                <w:szCs w:val="22"/>
              </w:rPr>
            </w:pPr>
          </w:p>
          <w:p w:rsidR="00FF6950" w:rsidRPr="00FF6C20" w:rsidRDefault="00FF6950">
            <w:pPr>
              <w:pStyle w:val="Normln1"/>
              <w:pBdr>
                <w:top w:val="nil"/>
                <w:left w:val="nil"/>
                <w:bottom w:val="nil"/>
                <w:right w:val="nil"/>
                <w:between w:val="nil"/>
              </w:pBdr>
              <w:ind w:right="1440"/>
              <w:rPr>
                <w:color w:val="000000"/>
                <w:sz w:val="22"/>
                <w:szCs w:val="22"/>
              </w:rPr>
            </w:pPr>
          </w:p>
          <w:p w:rsidR="00FF6950" w:rsidRPr="00FF6C20" w:rsidRDefault="00A6769F">
            <w:pPr>
              <w:pStyle w:val="Normln1"/>
              <w:pBdr>
                <w:top w:val="nil"/>
                <w:left w:val="nil"/>
                <w:bottom w:val="nil"/>
                <w:right w:val="nil"/>
                <w:between w:val="nil"/>
              </w:pBdr>
              <w:ind w:right="1440"/>
              <w:rPr>
                <w:color w:val="000000"/>
                <w:sz w:val="22"/>
                <w:szCs w:val="22"/>
              </w:rPr>
            </w:pPr>
            <w:r w:rsidRPr="00FF6C20">
              <w:rPr>
                <w:color w:val="000000"/>
                <w:sz w:val="22"/>
                <w:szCs w:val="22"/>
              </w:rPr>
              <w:t>___________________________</w:t>
            </w:r>
          </w:p>
          <w:p w:rsidR="00FF6950" w:rsidRPr="00FF6C20" w:rsidRDefault="00A6769F">
            <w:pPr>
              <w:pStyle w:val="Normln1"/>
              <w:pBdr>
                <w:top w:val="nil"/>
                <w:left w:val="nil"/>
                <w:bottom w:val="nil"/>
                <w:right w:val="nil"/>
                <w:between w:val="nil"/>
              </w:pBdr>
              <w:ind w:right="1440"/>
              <w:rPr>
                <w:color w:val="000000"/>
                <w:sz w:val="22"/>
                <w:szCs w:val="22"/>
                <w:highlight w:val="yellow"/>
              </w:rPr>
            </w:pPr>
            <w:r w:rsidRPr="00FF6C20">
              <w:rPr>
                <w:b/>
                <w:color w:val="000000"/>
                <w:sz w:val="22"/>
                <w:szCs w:val="22"/>
              </w:rPr>
              <w:t>Národní filmový archiv</w:t>
            </w:r>
          </w:p>
          <w:p w:rsidR="00FF6950" w:rsidRPr="00FF6C20" w:rsidRDefault="00A6769F">
            <w:pPr>
              <w:pStyle w:val="Normln1"/>
              <w:pBdr>
                <w:top w:val="nil"/>
                <w:left w:val="nil"/>
                <w:bottom w:val="nil"/>
                <w:right w:val="nil"/>
                <w:between w:val="nil"/>
              </w:pBdr>
              <w:ind w:right="1440"/>
              <w:rPr>
                <w:color w:val="000000"/>
                <w:sz w:val="22"/>
                <w:szCs w:val="22"/>
              </w:rPr>
            </w:pPr>
            <w:r w:rsidRPr="00FF6C20">
              <w:rPr>
                <w:color w:val="000000"/>
                <w:sz w:val="22"/>
                <w:szCs w:val="22"/>
              </w:rPr>
              <w:t xml:space="preserve">PhDr. Michal Bregant, </w:t>
            </w:r>
          </w:p>
          <w:p w:rsidR="00FF6950" w:rsidRPr="00FF6C20" w:rsidRDefault="00A6769F">
            <w:pPr>
              <w:pStyle w:val="Normln1"/>
              <w:pBdr>
                <w:top w:val="nil"/>
                <w:left w:val="nil"/>
                <w:bottom w:val="nil"/>
                <w:right w:val="nil"/>
                <w:between w:val="nil"/>
              </w:pBdr>
              <w:ind w:right="1440"/>
              <w:rPr>
                <w:color w:val="000000"/>
                <w:sz w:val="22"/>
                <w:szCs w:val="22"/>
              </w:rPr>
            </w:pPr>
            <w:r w:rsidRPr="00FF6C20">
              <w:rPr>
                <w:color w:val="000000"/>
                <w:sz w:val="22"/>
                <w:szCs w:val="22"/>
              </w:rPr>
              <w:t>generální ředitel</w:t>
            </w:r>
          </w:p>
          <w:p w:rsidR="00FF6950" w:rsidRPr="00FF6C20" w:rsidRDefault="00FF6950">
            <w:pPr>
              <w:pStyle w:val="Normln1"/>
              <w:pBdr>
                <w:top w:val="nil"/>
                <w:left w:val="nil"/>
                <w:bottom w:val="nil"/>
                <w:right w:val="nil"/>
                <w:between w:val="nil"/>
              </w:pBdr>
              <w:ind w:right="1440"/>
              <w:rPr>
                <w:color w:val="000000"/>
                <w:sz w:val="22"/>
                <w:szCs w:val="22"/>
              </w:rPr>
            </w:pPr>
          </w:p>
        </w:tc>
        <w:tc>
          <w:tcPr>
            <w:tcW w:w="4536" w:type="dxa"/>
          </w:tcPr>
          <w:p w:rsidR="00FF6950" w:rsidRPr="00FF6C20" w:rsidRDefault="00A6769F">
            <w:pPr>
              <w:pStyle w:val="Normln1"/>
              <w:pBdr>
                <w:top w:val="nil"/>
                <w:left w:val="nil"/>
                <w:bottom w:val="nil"/>
                <w:right w:val="nil"/>
                <w:between w:val="nil"/>
              </w:pBdr>
              <w:ind w:right="1440"/>
              <w:rPr>
                <w:color w:val="000000"/>
                <w:sz w:val="22"/>
                <w:szCs w:val="22"/>
              </w:rPr>
            </w:pPr>
            <w:r w:rsidRPr="00FF6C20">
              <w:rPr>
                <w:color w:val="000000"/>
                <w:sz w:val="22"/>
                <w:szCs w:val="22"/>
              </w:rPr>
              <w:t xml:space="preserve">V Praze dne </w:t>
            </w:r>
            <w:bookmarkStart w:id="0" w:name="_GoBack"/>
            <w:r w:rsidRPr="000C70D7">
              <w:rPr>
                <w:color w:val="000000"/>
                <w:sz w:val="22"/>
                <w:szCs w:val="22"/>
              </w:rPr>
              <w:t>…..</w:t>
            </w:r>
            <w:bookmarkEnd w:id="0"/>
          </w:p>
          <w:p w:rsidR="00FF6950" w:rsidRPr="00FF6C20" w:rsidRDefault="00FF6950">
            <w:pPr>
              <w:pStyle w:val="Normln1"/>
              <w:pBdr>
                <w:top w:val="nil"/>
                <w:left w:val="nil"/>
                <w:bottom w:val="nil"/>
                <w:right w:val="nil"/>
                <w:between w:val="nil"/>
              </w:pBdr>
              <w:ind w:right="1440"/>
              <w:rPr>
                <w:color w:val="000000"/>
                <w:sz w:val="22"/>
                <w:szCs w:val="22"/>
              </w:rPr>
            </w:pPr>
          </w:p>
          <w:p w:rsidR="00FF6950" w:rsidRPr="00FF6C20" w:rsidRDefault="00A6769F">
            <w:pPr>
              <w:pStyle w:val="Normln1"/>
              <w:pBdr>
                <w:top w:val="nil"/>
                <w:left w:val="nil"/>
                <w:bottom w:val="nil"/>
                <w:right w:val="nil"/>
                <w:between w:val="nil"/>
              </w:pBdr>
              <w:ind w:right="1440"/>
              <w:rPr>
                <w:color w:val="000000"/>
                <w:sz w:val="22"/>
                <w:szCs w:val="22"/>
              </w:rPr>
            </w:pPr>
            <w:r w:rsidRPr="00FF6C20">
              <w:rPr>
                <w:b/>
                <w:color w:val="000000"/>
                <w:sz w:val="22"/>
                <w:szCs w:val="22"/>
              </w:rPr>
              <w:t>Nabyvatel:</w:t>
            </w:r>
          </w:p>
          <w:p w:rsidR="00FF6950" w:rsidRPr="00FF6C20" w:rsidRDefault="00FF6950">
            <w:pPr>
              <w:pStyle w:val="Normln1"/>
              <w:pBdr>
                <w:top w:val="nil"/>
                <w:left w:val="nil"/>
                <w:bottom w:val="nil"/>
                <w:right w:val="nil"/>
                <w:between w:val="nil"/>
              </w:pBdr>
              <w:ind w:right="1440"/>
              <w:rPr>
                <w:color w:val="000000"/>
                <w:sz w:val="22"/>
                <w:szCs w:val="22"/>
              </w:rPr>
            </w:pPr>
          </w:p>
          <w:p w:rsidR="00FF6950" w:rsidRPr="00FF6C20" w:rsidRDefault="00FF6950">
            <w:pPr>
              <w:pStyle w:val="Normln1"/>
              <w:pBdr>
                <w:top w:val="nil"/>
                <w:left w:val="nil"/>
                <w:bottom w:val="nil"/>
                <w:right w:val="nil"/>
                <w:between w:val="nil"/>
              </w:pBdr>
              <w:ind w:right="1440"/>
              <w:rPr>
                <w:color w:val="000000"/>
                <w:sz w:val="22"/>
                <w:szCs w:val="22"/>
              </w:rPr>
            </w:pPr>
          </w:p>
          <w:p w:rsidR="00FF6950" w:rsidRPr="00FF6C20" w:rsidRDefault="00FF6950">
            <w:pPr>
              <w:pStyle w:val="Normln1"/>
              <w:pBdr>
                <w:top w:val="nil"/>
                <w:left w:val="nil"/>
                <w:bottom w:val="nil"/>
                <w:right w:val="nil"/>
                <w:between w:val="nil"/>
              </w:pBdr>
              <w:ind w:right="1440"/>
              <w:rPr>
                <w:color w:val="000000"/>
                <w:sz w:val="22"/>
                <w:szCs w:val="22"/>
              </w:rPr>
            </w:pPr>
          </w:p>
          <w:p w:rsidR="00FF6950" w:rsidRPr="00FF6C20" w:rsidRDefault="00A6769F">
            <w:pPr>
              <w:pStyle w:val="Normln1"/>
              <w:pBdr>
                <w:top w:val="nil"/>
                <w:left w:val="nil"/>
                <w:bottom w:val="nil"/>
                <w:right w:val="nil"/>
                <w:between w:val="nil"/>
              </w:pBdr>
              <w:ind w:right="1440"/>
              <w:rPr>
                <w:color w:val="000000"/>
                <w:sz w:val="22"/>
                <w:szCs w:val="22"/>
              </w:rPr>
            </w:pPr>
            <w:r w:rsidRPr="00FF6C20">
              <w:rPr>
                <w:color w:val="000000"/>
                <w:sz w:val="22"/>
                <w:szCs w:val="22"/>
              </w:rPr>
              <w:t>________________________</w:t>
            </w:r>
          </w:p>
          <w:p w:rsidR="00FF6C20" w:rsidRPr="00FF6C20" w:rsidRDefault="00FF6C20">
            <w:pPr>
              <w:pStyle w:val="Normln1"/>
              <w:pBdr>
                <w:top w:val="nil"/>
                <w:left w:val="nil"/>
                <w:bottom w:val="nil"/>
                <w:right w:val="nil"/>
                <w:between w:val="nil"/>
              </w:pBdr>
              <w:ind w:right="1440"/>
              <w:rPr>
                <w:b/>
                <w:bCs/>
                <w:sz w:val="22"/>
                <w:szCs w:val="22"/>
              </w:rPr>
            </w:pPr>
            <w:r w:rsidRPr="00F346A4">
              <w:rPr>
                <w:b/>
                <w:bCs/>
                <w:sz w:val="22"/>
                <w:szCs w:val="22"/>
              </w:rPr>
              <w:t>Městská část Praha</w:t>
            </w:r>
            <w:r w:rsidRPr="00FF6C20">
              <w:rPr>
                <w:b/>
                <w:bCs/>
                <w:sz w:val="22"/>
                <w:szCs w:val="22"/>
              </w:rPr>
              <w:t xml:space="preserve"> 3</w:t>
            </w:r>
          </w:p>
          <w:p w:rsidR="00FF6C20" w:rsidRPr="00FF6C20" w:rsidRDefault="00FF6C20" w:rsidP="00FF6C20">
            <w:pPr>
              <w:pStyle w:val="Normln1"/>
              <w:pBdr>
                <w:top w:val="nil"/>
                <w:left w:val="nil"/>
                <w:bottom w:val="nil"/>
                <w:right w:val="nil"/>
                <w:between w:val="nil"/>
              </w:pBdr>
              <w:ind w:right="1440"/>
              <w:rPr>
                <w:bCs/>
                <w:sz w:val="22"/>
                <w:szCs w:val="22"/>
              </w:rPr>
            </w:pPr>
            <w:r w:rsidRPr="00F346A4">
              <w:rPr>
                <w:bCs/>
                <w:sz w:val="22"/>
                <w:szCs w:val="22"/>
              </w:rPr>
              <w:t>Jiří Ptáč</w:t>
            </w:r>
            <w:r>
              <w:rPr>
                <w:bCs/>
                <w:sz w:val="22"/>
                <w:szCs w:val="22"/>
              </w:rPr>
              <w:t>e</w:t>
            </w:r>
            <w:r w:rsidRPr="00F346A4">
              <w:rPr>
                <w:bCs/>
                <w:sz w:val="22"/>
                <w:szCs w:val="22"/>
              </w:rPr>
              <w:t xml:space="preserve">k, </w:t>
            </w:r>
          </w:p>
          <w:p w:rsidR="00FF6950" w:rsidRPr="00FF6C20" w:rsidRDefault="00FF6C20" w:rsidP="00FF6C20">
            <w:pPr>
              <w:pStyle w:val="Normln1"/>
              <w:pBdr>
                <w:top w:val="nil"/>
                <w:left w:val="nil"/>
                <w:bottom w:val="nil"/>
                <w:right w:val="nil"/>
                <w:between w:val="nil"/>
              </w:pBdr>
              <w:ind w:right="1440"/>
              <w:rPr>
                <w:color w:val="000000"/>
                <w:sz w:val="22"/>
                <w:szCs w:val="22"/>
              </w:rPr>
            </w:pPr>
            <w:r w:rsidRPr="00F346A4">
              <w:rPr>
                <w:bCs/>
                <w:sz w:val="22"/>
                <w:szCs w:val="22"/>
              </w:rPr>
              <w:t>starost</w:t>
            </w:r>
            <w:r w:rsidRPr="00FF6C20">
              <w:rPr>
                <w:bCs/>
                <w:sz w:val="22"/>
                <w:szCs w:val="22"/>
              </w:rPr>
              <w:t>a</w:t>
            </w:r>
            <w:r w:rsidRPr="00F346A4">
              <w:rPr>
                <w:b/>
                <w:bCs/>
                <w:sz w:val="22"/>
                <w:szCs w:val="22"/>
              </w:rPr>
              <w:br/>
            </w:r>
          </w:p>
        </w:tc>
      </w:tr>
    </w:tbl>
    <w:p w:rsidR="00FF6950" w:rsidRDefault="00FF6950">
      <w:pPr>
        <w:pStyle w:val="Normln1"/>
        <w:pBdr>
          <w:top w:val="nil"/>
          <w:left w:val="nil"/>
          <w:bottom w:val="nil"/>
          <w:right w:val="nil"/>
          <w:between w:val="nil"/>
        </w:pBdr>
        <w:rPr>
          <w:color w:val="000000"/>
          <w:sz w:val="24"/>
          <w:szCs w:val="24"/>
        </w:rPr>
      </w:pPr>
    </w:p>
    <w:sectPr w:rsidR="00FF6950" w:rsidSect="00FF6950">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CF7" w:rsidRDefault="00095CF7" w:rsidP="00F346A4">
      <w:pPr>
        <w:spacing w:line="240" w:lineRule="auto"/>
        <w:ind w:left="0" w:hanging="2"/>
      </w:pPr>
      <w:r>
        <w:separator/>
      </w:r>
    </w:p>
  </w:endnote>
  <w:endnote w:type="continuationSeparator" w:id="0">
    <w:p w:rsidR="00095CF7" w:rsidRDefault="00095CF7" w:rsidP="00F346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F7" w:rsidRDefault="00095CF7" w:rsidP="00FF6C20">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F7" w:rsidRDefault="00095CF7">
    <w:pPr>
      <w:pStyle w:val="Normln1"/>
      <w:pBdr>
        <w:top w:val="nil"/>
        <w:left w:val="nil"/>
        <w:bottom w:val="nil"/>
        <w:right w:val="nil"/>
        <w:between w:val="nil"/>
      </w:pBdr>
      <w:tabs>
        <w:tab w:val="center" w:pos="4536"/>
        <w:tab w:val="right" w:pos="9072"/>
      </w:tabs>
      <w:jc w:val="right"/>
      <w:rPr>
        <w:color w:val="000000"/>
        <w:sz w:val="24"/>
        <w:szCs w:val="24"/>
      </w:rPr>
    </w:pPr>
    <w:r>
      <w:rPr>
        <w:color w:val="000000"/>
        <w:sz w:val="24"/>
        <w:szCs w:val="24"/>
      </w:rPr>
      <w:t xml:space="preserve">Stránka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C70D7">
      <w:rPr>
        <w:b/>
        <w:noProof/>
        <w:color w:val="000000"/>
        <w:sz w:val="24"/>
        <w:szCs w:val="24"/>
      </w:rPr>
      <w:t>4</w:t>
    </w:r>
    <w:r>
      <w:rPr>
        <w:b/>
        <w:color w:val="000000"/>
        <w:sz w:val="24"/>
        <w:szCs w:val="24"/>
      </w:rPr>
      <w:fldChar w:fldCharType="end"/>
    </w:r>
    <w:r>
      <w:rPr>
        <w:color w:val="000000"/>
        <w:sz w:val="24"/>
        <w:szCs w:val="24"/>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C70D7">
      <w:rPr>
        <w:b/>
        <w:noProof/>
        <w:color w:val="000000"/>
        <w:sz w:val="24"/>
        <w:szCs w:val="24"/>
      </w:rPr>
      <w:t>5</w:t>
    </w:r>
    <w:r>
      <w:rPr>
        <w:b/>
        <w:color w:val="000000"/>
        <w:sz w:val="24"/>
        <w:szCs w:val="24"/>
      </w:rPr>
      <w:fldChar w:fldCharType="end"/>
    </w:r>
  </w:p>
  <w:p w:rsidR="00095CF7" w:rsidRDefault="00095CF7">
    <w:pPr>
      <w:pStyle w:val="Normln1"/>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F7" w:rsidRDefault="00095CF7" w:rsidP="00FF6C20">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CF7" w:rsidRDefault="00095CF7" w:rsidP="00F346A4">
      <w:pPr>
        <w:spacing w:line="240" w:lineRule="auto"/>
        <w:ind w:left="0" w:hanging="2"/>
      </w:pPr>
      <w:r>
        <w:separator/>
      </w:r>
    </w:p>
  </w:footnote>
  <w:footnote w:type="continuationSeparator" w:id="0">
    <w:p w:rsidR="00095CF7" w:rsidRDefault="00095CF7" w:rsidP="00F346A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F7" w:rsidRDefault="00095CF7" w:rsidP="00FF6C20">
    <w:pPr>
      <w:pStyle w:val="Zhlav"/>
    </w:pPr>
    <w:r>
      <w:t>NFA1011/2021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C11"/>
    <w:multiLevelType w:val="multilevel"/>
    <w:tmpl w:val="A300BE0C"/>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 w15:restartNumberingAfterBreak="0">
    <w:nsid w:val="22FA7D78"/>
    <w:multiLevelType w:val="multilevel"/>
    <w:tmpl w:val="8B5E3308"/>
    <w:lvl w:ilvl="0">
      <w:start w:val="465339048"/>
      <w:numFmt w:val="decimal"/>
      <w:lvlText w:val="%1."/>
      <w:lvlJc w:val="left"/>
      <w:pPr>
        <w:ind w:left="360" w:hanging="360"/>
      </w:pPr>
      <w:rPr>
        <w:vertAlign w:val="baseline"/>
      </w:rPr>
    </w:lvl>
    <w:lvl w:ilvl="1">
      <w:start w:val="465340280"/>
      <w:numFmt w:val="decimal"/>
      <w:lvlText w:val="%1.%2."/>
      <w:lvlJc w:val="left"/>
      <w:pPr>
        <w:ind w:left="780" w:hanging="420"/>
      </w:pPr>
      <w:rPr>
        <w:vertAlign w:val="baseline"/>
      </w:rPr>
    </w:lvl>
    <w:lvl w:ilvl="2">
      <w:start w:val="465339216"/>
      <w:numFmt w:val="decimal"/>
      <w:lvlText w:val="%1.%2.%3."/>
      <w:lvlJc w:val="left"/>
      <w:pPr>
        <w:ind w:left="1500" w:hanging="720"/>
      </w:pPr>
      <w:rPr>
        <w:vertAlign w:val="baseline"/>
      </w:rPr>
    </w:lvl>
    <w:lvl w:ilvl="3">
      <w:start w:val="465339776"/>
      <w:numFmt w:val="decimal"/>
      <w:lvlText w:val="%1.%2.%3.%4."/>
      <w:lvlJc w:val="left"/>
      <w:pPr>
        <w:ind w:left="2220" w:hanging="720"/>
      </w:pPr>
      <w:rPr>
        <w:vertAlign w:val="baseline"/>
      </w:rPr>
    </w:lvl>
    <w:lvl w:ilvl="4">
      <w:start w:val="469558928"/>
      <w:numFmt w:val="decimal"/>
      <w:lvlText w:val="%1.%2.%3.%4.%5."/>
      <w:lvlJc w:val="left"/>
      <w:pPr>
        <w:ind w:left="3300" w:hanging="1080"/>
      </w:pPr>
      <w:rPr>
        <w:vertAlign w:val="baseline"/>
      </w:rPr>
    </w:lvl>
    <w:lvl w:ilvl="5">
      <w:start w:val="469558648"/>
      <w:numFmt w:val="decimal"/>
      <w:lvlText w:val="%1.%2.%3.%4.%5.%6."/>
      <w:lvlJc w:val="left"/>
      <w:pPr>
        <w:ind w:left="4380" w:hanging="1080"/>
      </w:pPr>
      <w:rPr>
        <w:vertAlign w:val="baseline"/>
      </w:rPr>
    </w:lvl>
    <w:lvl w:ilvl="6">
      <w:start w:val="469558816"/>
      <w:numFmt w:val="decimal"/>
      <w:lvlText w:val="%1.%2.%3.%4.%5.%6.%7."/>
      <w:lvlJc w:val="left"/>
      <w:pPr>
        <w:ind w:left="5820" w:hanging="1440"/>
      </w:pPr>
      <w:rPr>
        <w:vertAlign w:val="baseline"/>
      </w:rPr>
    </w:lvl>
    <w:lvl w:ilvl="7">
      <w:start w:val="469558536"/>
      <w:numFmt w:val="decimal"/>
      <w:lvlText w:val="%1.%2.%3.%4.%5.%6.%7.%8."/>
      <w:lvlJc w:val="left"/>
      <w:pPr>
        <w:ind w:left="7260" w:hanging="1440"/>
      </w:pPr>
      <w:rPr>
        <w:vertAlign w:val="baseline"/>
      </w:rPr>
    </w:lvl>
    <w:lvl w:ilvl="8">
      <w:start w:val="469558872"/>
      <w:numFmt w:val="decimal"/>
      <w:lvlText w:val="%1.%2.%3.%4.%5.%6.%7.%8.%9."/>
      <w:lvlJc w:val="left"/>
      <w:pPr>
        <w:ind w:left="9060" w:hanging="1800"/>
      </w:pPr>
      <w:rPr>
        <w:vertAlign w:val="baseline"/>
      </w:rPr>
    </w:lvl>
  </w:abstractNum>
  <w:abstractNum w:abstractNumId="2" w15:restartNumberingAfterBreak="0">
    <w:nsid w:val="25252E5A"/>
    <w:multiLevelType w:val="multilevel"/>
    <w:tmpl w:val="D1DC83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9B25E30"/>
    <w:multiLevelType w:val="hybridMultilevel"/>
    <w:tmpl w:val="68B09160"/>
    <w:lvl w:ilvl="0" w:tplc="04050005">
      <w:start w:val="1"/>
      <w:numFmt w:val="bullet"/>
      <w:lvlText w:val=""/>
      <w:lvlJc w:val="left"/>
      <w:pPr>
        <w:ind w:left="3240" w:hanging="360"/>
      </w:pPr>
      <w:rPr>
        <w:rFonts w:ascii="Wingdings" w:hAnsi="Wingdings"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 w15:restartNumberingAfterBreak="0">
    <w:nsid w:val="2B8A1871"/>
    <w:multiLevelType w:val="multilevel"/>
    <w:tmpl w:val="BB648EC2"/>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5" w15:restartNumberingAfterBreak="0">
    <w:nsid w:val="31E97B1F"/>
    <w:multiLevelType w:val="multilevel"/>
    <w:tmpl w:val="597AF200"/>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252295D"/>
    <w:multiLevelType w:val="hybridMultilevel"/>
    <w:tmpl w:val="420E97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0D58B5"/>
    <w:multiLevelType w:val="multilevel"/>
    <w:tmpl w:val="9B1E379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4F4C4D57"/>
    <w:multiLevelType w:val="multilevel"/>
    <w:tmpl w:val="809415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7AD32BF"/>
    <w:multiLevelType w:val="multilevel"/>
    <w:tmpl w:val="2BCA7058"/>
    <w:lvl w:ilvl="0">
      <w:start w:val="1"/>
      <w:numFmt w:val="bullet"/>
      <w:lvlText w:val=""/>
      <w:lvlJc w:val="left"/>
      <w:pPr>
        <w:ind w:left="3240" w:hanging="360"/>
      </w:pPr>
      <w:rPr>
        <w:rFonts w:ascii="Wingdings" w:hAnsi="Wingdings" w:hint="default"/>
        <w:vertAlign w:val="baseline"/>
      </w:rPr>
    </w:lvl>
    <w:lvl w:ilvl="1">
      <w:start w:val="1"/>
      <w:numFmt w:val="bullet"/>
      <w:lvlText w:val="o"/>
      <w:lvlJc w:val="left"/>
      <w:pPr>
        <w:ind w:left="3960" w:hanging="360"/>
      </w:pPr>
      <w:rPr>
        <w:rFonts w:ascii="Courier New" w:eastAsia="Courier New" w:hAnsi="Courier New" w:cs="Courier New"/>
        <w:vertAlign w:val="baseline"/>
      </w:rPr>
    </w:lvl>
    <w:lvl w:ilvl="2">
      <w:start w:val="1"/>
      <w:numFmt w:val="bullet"/>
      <w:lvlText w:val="▪"/>
      <w:lvlJc w:val="left"/>
      <w:pPr>
        <w:ind w:left="4680" w:hanging="360"/>
      </w:pPr>
      <w:rPr>
        <w:rFonts w:ascii="Noto Sans Symbols" w:eastAsia="Noto Sans Symbols" w:hAnsi="Noto Sans Symbols" w:cs="Noto Sans Symbols"/>
        <w:vertAlign w:val="baseline"/>
      </w:rPr>
    </w:lvl>
    <w:lvl w:ilvl="3">
      <w:start w:val="1"/>
      <w:numFmt w:val="bullet"/>
      <w:lvlText w:val="●"/>
      <w:lvlJc w:val="left"/>
      <w:pPr>
        <w:ind w:left="5400" w:hanging="360"/>
      </w:pPr>
      <w:rPr>
        <w:rFonts w:ascii="Noto Sans Symbols" w:eastAsia="Noto Sans Symbols" w:hAnsi="Noto Sans Symbols" w:cs="Noto Sans Symbols"/>
        <w:vertAlign w:val="baseline"/>
      </w:rPr>
    </w:lvl>
    <w:lvl w:ilvl="4">
      <w:start w:val="1"/>
      <w:numFmt w:val="bullet"/>
      <w:lvlText w:val="o"/>
      <w:lvlJc w:val="left"/>
      <w:pPr>
        <w:ind w:left="6120" w:hanging="360"/>
      </w:pPr>
      <w:rPr>
        <w:rFonts w:ascii="Courier New" w:eastAsia="Courier New" w:hAnsi="Courier New" w:cs="Courier New"/>
        <w:vertAlign w:val="baseline"/>
      </w:rPr>
    </w:lvl>
    <w:lvl w:ilvl="5">
      <w:start w:val="1"/>
      <w:numFmt w:val="bullet"/>
      <w:lvlText w:val="▪"/>
      <w:lvlJc w:val="left"/>
      <w:pPr>
        <w:ind w:left="6840" w:hanging="360"/>
      </w:pPr>
      <w:rPr>
        <w:rFonts w:ascii="Noto Sans Symbols" w:eastAsia="Noto Sans Symbols" w:hAnsi="Noto Sans Symbols" w:cs="Noto Sans Symbols"/>
        <w:vertAlign w:val="baseline"/>
      </w:rPr>
    </w:lvl>
    <w:lvl w:ilvl="6">
      <w:start w:val="1"/>
      <w:numFmt w:val="bullet"/>
      <w:lvlText w:val="●"/>
      <w:lvlJc w:val="left"/>
      <w:pPr>
        <w:ind w:left="7560" w:hanging="360"/>
      </w:pPr>
      <w:rPr>
        <w:rFonts w:ascii="Noto Sans Symbols" w:eastAsia="Noto Sans Symbols" w:hAnsi="Noto Sans Symbols" w:cs="Noto Sans Symbols"/>
        <w:vertAlign w:val="baseline"/>
      </w:rPr>
    </w:lvl>
    <w:lvl w:ilvl="7">
      <w:start w:val="1"/>
      <w:numFmt w:val="bullet"/>
      <w:lvlText w:val="o"/>
      <w:lvlJc w:val="left"/>
      <w:pPr>
        <w:ind w:left="8280" w:hanging="360"/>
      </w:pPr>
      <w:rPr>
        <w:rFonts w:ascii="Courier New" w:eastAsia="Courier New" w:hAnsi="Courier New" w:cs="Courier New"/>
        <w:vertAlign w:val="baseline"/>
      </w:rPr>
    </w:lvl>
    <w:lvl w:ilvl="8">
      <w:start w:val="1"/>
      <w:numFmt w:val="bullet"/>
      <w:lvlText w:val="▪"/>
      <w:lvlJc w:val="left"/>
      <w:pPr>
        <w:ind w:left="9000" w:hanging="360"/>
      </w:pPr>
      <w:rPr>
        <w:rFonts w:ascii="Noto Sans Symbols" w:eastAsia="Noto Sans Symbols" w:hAnsi="Noto Sans Symbols" w:cs="Noto Sans Symbols"/>
        <w:vertAlign w:val="baseline"/>
      </w:rPr>
    </w:lvl>
  </w:abstractNum>
  <w:abstractNum w:abstractNumId="10" w15:restartNumberingAfterBreak="0">
    <w:nsid w:val="700124AE"/>
    <w:multiLevelType w:val="multilevel"/>
    <w:tmpl w:val="9E56FA12"/>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1" w15:restartNumberingAfterBreak="0">
    <w:nsid w:val="76B439BA"/>
    <w:multiLevelType w:val="multilevel"/>
    <w:tmpl w:val="C094A8F6"/>
    <w:lvl w:ilvl="0">
      <w:start w:val="2"/>
      <w:numFmt w:val="decimal"/>
      <w:lvlText w:val="%1."/>
      <w:lvlJc w:val="left"/>
      <w:pPr>
        <w:ind w:left="540" w:hanging="540"/>
      </w:pPr>
      <w:rPr>
        <w:rFonts w:ascii="Times New Roman" w:eastAsia="Times New Roman" w:hAnsi="Times New Roman" w:cs="Times New Roman"/>
        <w:b w:val="0"/>
        <w:i w:val="0"/>
        <w:sz w:val="24"/>
        <w:szCs w:val="24"/>
        <w:vertAlign w:val="baseline"/>
      </w:rPr>
    </w:lvl>
    <w:lvl w:ilvl="1">
      <w:start w:val="1"/>
      <w:numFmt w:val="decimal"/>
      <w:lvlText w:val="%1.%2."/>
      <w:lvlJc w:val="left"/>
      <w:pPr>
        <w:ind w:left="680" w:hanging="680"/>
      </w:pPr>
      <w:rPr>
        <w:rFonts w:ascii="Arial" w:eastAsia="Arial" w:hAnsi="Arial" w:cs="Arial"/>
        <w:b/>
        <w:i w:val="0"/>
        <w:sz w:val="20"/>
        <w:szCs w:val="2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b w:val="0"/>
        <w:i/>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num w:numId="1">
    <w:abstractNumId w:val="10"/>
  </w:num>
  <w:num w:numId="2">
    <w:abstractNumId w:val="2"/>
  </w:num>
  <w:num w:numId="3">
    <w:abstractNumId w:val="11"/>
  </w:num>
  <w:num w:numId="4">
    <w:abstractNumId w:val="5"/>
  </w:num>
  <w:num w:numId="5">
    <w:abstractNumId w:val="8"/>
  </w:num>
  <w:num w:numId="6">
    <w:abstractNumId w:val="7"/>
  </w:num>
  <w:num w:numId="7">
    <w:abstractNumId w:val="4"/>
  </w:num>
  <w:num w:numId="8">
    <w:abstractNumId w:val="1"/>
  </w:num>
  <w:num w:numId="9">
    <w:abstractNumId w:val="0"/>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F6950"/>
    <w:rsid w:val="00095CF7"/>
    <w:rsid w:val="000C70D7"/>
    <w:rsid w:val="00211550"/>
    <w:rsid w:val="002971A6"/>
    <w:rsid w:val="003A1590"/>
    <w:rsid w:val="00781445"/>
    <w:rsid w:val="00A6769F"/>
    <w:rsid w:val="00B03469"/>
    <w:rsid w:val="00BE32FB"/>
    <w:rsid w:val="00C17784"/>
    <w:rsid w:val="00C2681D"/>
    <w:rsid w:val="00D17435"/>
    <w:rsid w:val="00D30DB0"/>
    <w:rsid w:val="00D804B4"/>
    <w:rsid w:val="00F346A4"/>
    <w:rsid w:val="00FB4032"/>
    <w:rsid w:val="00FF6950"/>
    <w:rsid w:val="00FF6C2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514D"/>
  <w15:docId w15:val="{D4AA5BFB-60B1-477C-B788-5B953A27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hidden/>
    <w:qFormat/>
    <w:rsid w:val="00FF6950"/>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autoRedefine/>
    <w:hidden/>
    <w:qFormat/>
    <w:rsid w:val="00FF6950"/>
    <w:pPr>
      <w:keepNext/>
    </w:pPr>
    <w:rPr>
      <w:b/>
      <w:sz w:val="20"/>
      <w:szCs w:val="20"/>
    </w:rPr>
  </w:style>
  <w:style w:type="paragraph" w:styleId="Nadpis2">
    <w:name w:val="heading 2"/>
    <w:basedOn w:val="Normln1"/>
    <w:next w:val="Normln1"/>
    <w:rsid w:val="00FF6950"/>
    <w:pPr>
      <w:keepNext/>
      <w:keepLines/>
      <w:spacing w:before="360" w:after="80"/>
      <w:outlineLvl w:val="1"/>
    </w:pPr>
    <w:rPr>
      <w:b/>
      <w:sz w:val="36"/>
      <w:szCs w:val="36"/>
    </w:rPr>
  </w:style>
  <w:style w:type="paragraph" w:styleId="Nadpis3">
    <w:name w:val="heading 3"/>
    <w:basedOn w:val="Normln1"/>
    <w:next w:val="Normln1"/>
    <w:rsid w:val="00FF6950"/>
    <w:pPr>
      <w:keepNext/>
      <w:keepLines/>
      <w:spacing w:before="280" w:after="80"/>
      <w:outlineLvl w:val="2"/>
    </w:pPr>
    <w:rPr>
      <w:b/>
      <w:sz w:val="28"/>
      <w:szCs w:val="28"/>
    </w:rPr>
  </w:style>
  <w:style w:type="paragraph" w:styleId="Nadpis4">
    <w:name w:val="heading 4"/>
    <w:basedOn w:val="Normln1"/>
    <w:next w:val="Normln1"/>
    <w:rsid w:val="00FF6950"/>
    <w:pPr>
      <w:keepNext/>
      <w:keepLines/>
      <w:spacing w:before="240" w:after="40"/>
      <w:outlineLvl w:val="3"/>
    </w:pPr>
    <w:rPr>
      <w:b/>
      <w:sz w:val="24"/>
      <w:szCs w:val="24"/>
    </w:rPr>
  </w:style>
  <w:style w:type="paragraph" w:styleId="Nadpis5">
    <w:name w:val="heading 5"/>
    <w:basedOn w:val="Normln1"/>
    <w:next w:val="Normln1"/>
    <w:rsid w:val="00FF6950"/>
    <w:pPr>
      <w:keepNext/>
      <w:keepLines/>
      <w:spacing w:before="220" w:after="40"/>
      <w:outlineLvl w:val="4"/>
    </w:pPr>
    <w:rPr>
      <w:b/>
      <w:sz w:val="22"/>
      <w:szCs w:val="22"/>
    </w:rPr>
  </w:style>
  <w:style w:type="paragraph" w:styleId="Nadpis6">
    <w:name w:val="heading 6"/>
    <w:basedOn w:val="Normln1"/>
    <w:next w:val="Normln1"/>
    <w:rsid w:val="00FF6950"/>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FF6950"/>
  </w:style>
  <w:style w:type="table" w:customStyle="1" w:styleId="TableNormal">
    <w:name w:val="Table Normal"/>
    <w:rsid w:val="00FF6950"/>
    <w:tblPr>
      <w:tblCellMar>
        <w:top w:w="0" w:type="dxa"/>
        <w:left w:w="0" w:type="dxa"/>
        <w:bottom w:w="0" w:type="dxa"/>
        <w:right w:w="0" w:type="dxa"/>
      </w:tblCellMar>
    </w:tblPr>
  </w:style>
  <w:style w:type="paragraph" w:styleId="Nzev">
    <w:name w:val="Title"/>
    <w:basedOn w:val="Normln1"/>
    <w:next w:val="Normln1"/>
    <w:rsid w:val="00FF6950"/>
    <w:pPr>
      <w:keepNext/>
      <w:keepLines/>
      <w:spacing w:before="480" w:after="120"/>
    </w:pPr>
    <w:rPr>
      <w:b/>
      <w:sz w:val="72"/>
      <w:szCs w:val="72"/>
    </w:rPr>
  </w:style>
  <w:style w:type="character" w:styleId="Hypertextovodkaz">
    <w:name w:val="Hyperlink"/>
    <w:autoRedefine/>
    <w:hidden/>
    <w:qFormat/>
    <w:rsid w:val="00FF6950"/>
    <w:rPr>
      <w:color w:val="0000FF"/>
      <w:w w:val="100"/>
      <w:position w:val="-1"/>
      <w:u w:val="single"/>
      <w:effect w:val="none"/>
      <w:vertAlign w:val="baseline"/>
      <w:cs w:val="0"/>
      <w:em w:val="none"/>
    </w:rPr>
  </w:style>
  <w:style w:type="paragraph" w:styleId="Zkladntext">
    <w:name w:val="Body Text"/>
    <w:basedOn w:val="Normln"/>
    <w:autoRedefine/>
    <w:hidden/>
    <w:qFormat/>
    <w:rsid w:val="00FF6950"/>
    <w:rPr>
      <w:szCs w:val="20"/>
    </w:rPr>
  </w:style>
  <w:style w:type="paragraph" w:styleId="Prosttext">
    <w:name w:val="Plain Text"/>
    <w:basedOn w:val="Normln"/>
    <w:autoRedefine/>
    <w:hidden/>
    <w:qFormat/>
    <w:rsid w:val="00FF6950"/>
    <w:rPr>
      <w:rFonts w:ascii="Courier New" w:hAnsi="Courier New"/>
      <w:sz w:val="20"/>
      <w:szCs w:val="20"/>
    </w:rPr>
  </w:style>
  <w:style w:type="character" w:customStyle="1" w:styleId="ProsttextChar">
    <w:name w:val="Prostý text Char"/>
    <w:autoRedefine/>
    <w:hidden/>
    <w:qFormat/>
    <w:rsid w:val="00FF6950"/>
    <w:rPr>
      <w:rFonts w:ascii="Courier New" w:hAnsi="Courier New"/>
      <w:w w:val="100"/>
      <w:position w:val="-1"/>
      <w:effect w:val="none"/>
      <w:vertAlign w:val="baseline"/>
      <w:cs w:val="0"/>
      <w:em w:val="none"/>
    </w:rPr>
  </w:style>
  <w:style w:type="character" w:customStyle="1" w:styleId="platne1">
    <w:name w:val="platne1"/>
    <w:autoRedefine/>
    <w:hidden/>
    <w:qFormat/>
    <w:rsid w:val="00FF6950"/>
    <w:rPr>
      <w:w w:val="100"/>
      <w:position w:val="-1"/>
      <w:effect w:val="none"/>
      <w:vertAlign w:val="baseline"/>
      <w:cs w:val="0"/>
      <w:em w:val="none"/>
    </w:rPr>
  </w:style>
  <w:style w:type="character" w:styleId="Odkaznakoment">
    <w:name w:val="annotation reference"/>
    <w:autoRedefine/>
    <w:hidden/>
    <w:qFormat/>
    <w:rsid w:val="00FF6950"/>
    <w:rPr>
      <w:w w:val="100"/>
      <w:position w:val="-1"/>
      <w:sz w:val="16"/>
      <w:szCs w:val="16"/>
      <w:effect w:val="none"/>
      <w:vertAlign w:val="baseline"/>
      <w:cs w:val="0"/>
      <w:em w:val="none"/>
    </w:rPr>
  </w:style>
  <w:style w:type="paragraph" w:styleId="Textkomente">
    <w:name w:val="annotation text"/>
    <w:basedOn w:val="Normln"/>
    <w:autoRedefine/>
    <w:hidden/>
    <w:qFormat/>
    <w:rsid w:val="002971A6"/>
    <w:pPr>
      <w:ind w:left="0" w:hanging="2"/>
    </w:pPr>
    <w:rPr>
      <w:sz w:val="20"/>
      <w:szCs w:val="20"/>
    </w:rPr>
  </w:style>
  <w:style w:type="character" w:customStyle="1" w:styleId="TextkomenteChar">
    <w:name w:val="Text komentáře Char"/>
    <w:autoRedefine/>
    <w:hidden/>
    <w:qFormat/>
    <w:rsid w:val="00FF6950"/>
    <w:rPr>
      <w:w w:val="100"/>
      <w:position w:val="-1"/>
      <w:effect w:val="none"/>
      <w:vertAlign w:val="baseline"/>
      <w:cs w:val="0"/>
      <w:em w:val="none"/>
    </w:rPr>
  </w:style>
  <w:style w:type="paragraph" w:styleId="Odstavecseseznamem">
    <w:name w:val="List Paragraph"/>
    <w:basedOn w:val="Normln"/>
    <w:autoRedefine/>
    <w:hidden/>
    <w:qFormat/>
    <w:rsid w:val="00FF6950"/>
    <w:pPr>
      <w:ind w:left="708"/>
    </w:pPr>
    <w:rPr>
      <w:sz w:val="20"/>
      <w:szCs w:val="20"/>
    </w:rPr>
  </w:style>
  <w:style w:type="paragraph" w:styleId="Textbubliny">
    <w:name w:val="Balloon Text"/>
    <w:basedOn w:val="Normln"/>
    <w:autoRedefine/>
    <w:hidden/>
    <w:qFormat/>
    <w:rsid w:val="00FF6950"/>
    <w:rPr>
      <w:rFonts w:ascii="Tahoma" w:hAnsi="Tahoma"/>
      <w:sz w:val="16"/>
      <w:szCs w:val="16"/>
    </w:rPr>
  </w:style>
  <w:style w:type="character" w:customStyle="1" w:styleId="TextbublinyChar">
    <w:name w:val="Text bubliny Char"/>
    <w:autoRedefine/>
    <w:hidden/>
    <w:qFormat/>
    <w:rsid w:val="00FF6950"/>
    <w:rPr>
      <w:rFonts w:ascii="Tahoma" w:hAnsi="Tahoma" w:cs="Tahoma"/>
      <w:w w:val="100"/>
      <w:position w:val="-1"/>
      <w:sz w:val="16"/>
      <w:szCs w:val="16"/>
      <w:effect w:val="none"/>
      <w:vertAlign w:val="baseline"/>
      <w:cs w:val="0"/>
      <w:em w:val="none"/>
    </w:rPr>
  </w:style>
  <w:style w:type="paragraph" w:styleId="Pedmtkomente">
    <w:name w:val="annotation subject"/>
    <w:basedOn w:val="Textkomente"/>
    <w:next w:val="Textkomente"/>
    <w:autoRedefine/>
    <w:hidden/>
    <w:qFormat/>
    <w:rsid w:val="00FF6950"/>
    <w:rPr>
      <w:b/>
      <w:bCs/>
    </w:rPr>
  </w:style>
  <w:style w:type="character" w:customStyle="1" w:styleId="PedmtkomenteChar">
    <w:name w:val="Předmět komentáře Char"/>
    <w:autoRedefine/>
    <w:hidden/>
    <w:qFormat/>
    <w:rsid w:val="00FF6950"/>
    <w:rPr>
      <w:b/>
      <w:bCs/>
      <w:w w:val="100"/>
      <w:position w:val="-1"/>
      <w:effect w:val="none"/>
      <w:vertAlign w:val="baseline"/>
      <w:cs w:val="0"/>
      <w:em w:val="none"/>
    </w:rPr>
  </w:style>
  <w:style w:type="paragraph" w:styleId="Zhlav">
    <w:name w:val="header"/>
    <w:basedOn w:val="Normln"/>
    <w:autoRedefine/>
    <w:hidden/>
    <w:qFormat/>
    <w:rsid w:val="00FF6C20"/>
    <w:pPr>
      <w:tabs>
        <w:tab w:val="center" w:pos="4536"/>
        <w:tab w:val="right" w:pos="9072"/>
      </w:tabs>
      <w:ind w:left="0" w:hanging="2"/>
      <w:jc w:val="right"/>
    </w:pPr>
  </w:style>
  <w:style w:type="character" w:customStyle="1" w:styleId="ZhlavChar">
    <w:name w:val="Záhlaví Char"/>
    <w:autoRedefine/>
    <w:hidden/>
    <w:qFormat/>
    <w:rsid w:val="00FF6950"/>
    <w:rPr>
      <w:w w:val="100"/>
      <w:position w:val="-1"/>
      <w:sz w:val="24"/>
      <w:szCs w:val="24"/>
      <w:effect w:val="none"/>
      <w:vertAlign w:val="baseline"/>
      <w:cs w:val="0"/>
      <w:em w:val="none"/>
    </w:rPr>
  </w:style>
  <w:style w:type="paragraph" w:styleId="Zpat">
    <w:name w:val="footer"/>
    <w:basedOn w:val="Normln"/>
    <w:autoRedefine/>
    <w:hidden/>
    <w:qFormat/>
    <w:rsid w:val="00FF6950"/>
    <w:pPr>
      <w:tabs>
        <w:tab w:val="center" w:pos="4536"/>
        <w:tab w:val="right" w:pos="9072"/>
      </w:tabs>
    </w:pPr>
  </w:style>
  <w:style w:type="character" w:customStyle="1" w:styleId="ZpatChar">
    <w:name w:val="Zápatí Char"/>
    <w:autoRedefine/>
    <w:hidden/>
    <w:qFormat/>
    <w:rsid w:val="00FF6950"/>
    <w:rPr>
      <w:w w:val="100"/>
      <w:position w:val="-1"/>
      <w:sz w:val="24"/>
      <w:szCs w:val="24"/>
      <w:effect w:val="none"/>
      <w:vertAlign w:val="baseline"/>
      <w:cs w:val="0"/>
      <w:em w:val="none"/>
    </w:rPr>
  </w:style>
  <w:style w:type="paragraph" w:customStyle="1" w:styleId="Default">
    <w:name w:val="Default"/>
    <w:autoRedefine/>
    <w:hidden/>
    <w:qFormat/>
    <w:rsid w:val="00FF6950"/>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styleId="Podnadpis">
    <w:name w:val="Subtitle"/>
    <w:basedOn w:val="Normln1"/>
    <w:next w:val="Normln1"/>
    <w:rsid w:val="00FF6950"/>
    <w:pPr>
      <w:keepNext/>
      <w:keepLines/>
      <w:spacing w:before="360" w:after="80"/>
    </w:pPr>
    <w:rPr>
      <w:rFonts w:ascii="Georgia" w:eastAsia="Georgia" w:hAnsi="Georgia" w:cs="Georgia"/>
      <w:i/>
      <w:color w:val="666666"/>
      <w:sz w:val="48"/>
      <w:szCs w:val="48"/>
    </w:rPr>
  </w:style>
  <w:style w:type="table" w:customStyle="1" w:styleId="a">
    <w:basedOn w:val="TableNormal"/>
    <w:rsid w:val="00FF6950"/>
    <w:tblPr>
      <w:tblStyleRowBandSize w:val="1"/>
      <w:tblStyleColBandSize w:val="1"/>
      <w:tblCellMar>
        <w:left w:w="108" w:type="dxa"/>
        <w:right w:w="108" w:type="dxa"/>
      </w:tblCellMar>
    </w:tblPr>
  </w:style>
  <w:style w:type="paragraph" w:styleId="Revize">
    <w:name w:val="Revision"/>
    <w:hidden/>
    <w:uiPriority w:val="99"/>
    <w:semiHidden/>
    <w:rsid w:val="00FB4032"/>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49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NScRvjldtlhgvLUi/6I46pOLEQ==">AMUW2mUgRNGJ0Qat80rQ5Gf8YS18HsC+ejIq7GSLwBXvkj4pzpw5DRpgrQZ8K3apkECAGrS3dLyk015GeA3LaVISAurxb0eWW8k73+mtGqtdZ7/tnWtz8dU=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BCD583-CC19-429E-B8C0-3353BFE1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1676</Words>
  <Characters>9891</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David</dc:creator>
  <cp:lastModifiedBy>Poděbradská Natálie Bc. (ÚMČ Praha 3)</cp:lastModifiedBy>
  <cp:revision>3</cp:revision>
  <dcterms:created xsi:type="dcterms:W3CDTF">2021-08-17T08:02:00Z</dcterms:created>
  <dcterms:modified xsi:type="dcterms:W3CDTF">2021-08-17T09:54:00Z</dcterms:modified>
</cp:coreProperties>
</file>