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96C" w:rsidRDefault="00B67E68">
      <w:pPr>
        <w:pStyle w:val="Nadpis10"/>
        <w:keepNext/>
        <w:keepLines/>
      </w:pPr>
      <w:r>
        <w:rPr>
          <w:noProof/>
          <w:lang w:bidi="ar-SA"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6971665</wp:posOffset>
            </wp:positionH>
            <wp:positionV relativeFrom="paragraph">
              <wp:posOffset>63500</wp:posOffset>
            </wp:positionV>
            <wp:extent cx="262255" cy="34734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6225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bookmark0"/>
      <w:proofErr w:type="spellStart"/>
      <w:r>
        <w:rPr>
          <w:rStyle w:val="Nadpis1"/>
        </w:rPr>
        <w:t>Illllllllllllllllll</w:t>
      </w:r>
      <w:bookmarkEnd w:id="0"/>
      <w:proofErr w:type="spellEnd"/>
    </w:p>
    <w:p w:rsidR="00BD496C" w:rsidRDefault="00B67E68">
      <w:pPr>
        <w:pStyle w:val="Zkladntext30"/>
      </w:pPr>
      <w:r>
        <w:rPr>
          <w:rStyle w:val="Zkladntext3"/>
        </w:rPr>
        <w:t>2021005798</w:t>
      </w:r>
    </w:p>
    <w:p w:rsidR="00BD496C" w:rsidRDefault="00B67E68">
      <w:pPr>
        <w:pStyle w:val="Nadpis20"/>
        <w:keepNext/>
        <w:keepLines/>
      </w:pPr>
      <w:bookmarkStart w:id="1" w:name="bookmark2"/>
      <w:r>
        <w:rPr>
          <w:rStyle w:val="Nadpis2"/>
          <w:b/>
          <w:bCs/>
        </w:rPr>
        <w:t>Smlouva o převodu licencí</w:t>
      </w:r>
      <w:bookmarkEnd w:id="1"/>
    </w:p>
    <w:p w:rsidR="00BD496C" w:rsidRDefault="00B67E68">
      <w:pPr>
        <w:pStyle w:val="Zkladntext1"/>
        <w:spacing w:after="480" w:line="266" w:lineRule="auto"/>
        <w:ind w:left="220" w:firstLine="200"/>
      </w:pPr>
      <w:r>
        <w:rPr>
          <w:rStyle w:val="Zkladntext"/>
        </w:rPr>
        <w:t>uzavřená v souladu s ustanovením § 2079 a násl. zákona č. 89/2012 Sb., občanský zákoník, s ujednáním o poskytnutí licence a souvisejících služeb mezi níže uvedenými smluvními stranami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0"/>
        <w:gridCol w:w="6941"/>
      </w:tblGrid>
      <w:tr w:rsidR="00BD496C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2170" w:type="dxa"/>
            <w:shd w:val="clear" w:color="auto" w:fill="auto"/>
          </w:tcPr>
          <w:p w:rsidR="00BD496C" w:rsidRDefault="00B67E68">
            <w:pPr>
              <w:pStyle w:val="Jin0"/>
              <w:spacing w:after="0" w:line="240" w:lineRule="auto"/>
            </w:pPr>
            <w:r>
              <w:rPr>
                <w:rStyle w:val="Jin"/>
              </w:rPr>
              <w:t>Jméno:</w:t>
            </w:r>
          </w:p>
        </w:tc>
        <w:tc>
          <w:tcPr>
            <w:tcW w:w="6941" w:type="dxa"/>
            <w:shd w:val="clear" w:color="auto" w:fill="auto"/>
            <w:vAlign w:val="bottom"/>
          </w:tcPr>
          <w:p w:rsidR="00BD496C" w:rsidRDefault="00B67E68">
            <w:pPr>
              <w:pStyle w:val="Jin0"/>
              <w:spacing w:after="0" w:line="262" w:lineRule="auto"/>
              <w:ind w:left="660"/>
            </w:pPr>
            <w:r>
              <w:rPr>
                <w:rStyle w:val="Jin"/>
                <w:b/>
                <w:bCs/>
              </w:rPr>
              <w:t>Zdravotnická záchranná služba Jihomoravského kraje, příspěvková organizace</w:t>
            </w:r>
          </w:p>
        </w:tc>
      </w:tr>
      <w:tr w:rsidR="00BD496C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170" w:type="dxa"/>
            <w:shd w:val="clear" w:color="auto" w:fill="auto"/>
          </w:tcPr>
          <w:p w:rsidR="00BD496C" w:rsidRDefault="00B67E68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6941" w:type="dxa"/>
            <w:shd w:val="clear" w:color="auto" w:fill="auto"/>
          </w:tcPr>
          <w:p w:rsidR="00BD496C" w:rsidRDefault="00B67E68">
            <w:pPr>
              <w:pStyle w:val="Jin0"/>
              <w:spacing w:after="0" w:line="240" w:lineRule="auto"/>
              <w:ind w:firstLine="660"/>
            </w:pPr>
            <w:r>
              <w:rPr>
                <w:rStyle w:val="Jin"/>
              </w:rPr>
              <w:t>Kamenice 798/1 d, 625 00 Brno</w:t>
            </w:r>
          </w:p>
        </w:tc>
      </w:tr>
      <w:tr w:rsidR="00BD496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170" w:type="dxa"/>
            <w:shd w:val="clear" w:color="auto" w:fill="auto"/>
            <w:vAlign w:val="bottom"/>
          </w:tcPr>
          <w:p w:rsidR="00BD496C" w:rsidRDefault="00B67E68">
            <w:pPr>
              <w:pStyle w:val="Jin0"/>
              <w:spacing w:after="0" w:line="240" w:lineRule="auto"/>
            </w:pPr>
            <w:r>
              <w:rPr>
                <w:rStyle w:val="Jin"/>
              </w:rPr>
              <w:t>Jednající:</w:t>
            </w:r>
          </w:p>
        </w:tc>
        <w:tc>
          <w:tcPr>
            <w:tcW w:w="6941" w:type="dxa"/>
            <w:shd w:val="clear" w:color="auto" w:fill="auto"/>
            <w:vAlign w:val="bottom"/>
          </w:tcPr>
          <w:p w:rsidR="00BD496C" w:rsidRDefault="00B67E68">
            <w:pPr>
              <w:pStyle w:val="Jin0"/>
              <w:spacing w:after="0" w:line="240" w:lineRule="auto"/>
              <w:ind w:firstLine="660"/>
            </w:pPr>
            <w:r>
              <w:rPr>
                <w:rStyle w:val="Jin"/>
              </w:rPr>
              <w:t>MUDr. Hana Albrechtová, ředitelka</w:t>
            </w:r>
          </w:p>
        </w:tc>
      </w:tr>
      <w:tr w:rsidR="00BD496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170" w:type="dxa"/>
            <w:shd w:val="clear" w:color="auto" w:fill="auto"/>
          </w:tcPr>
          <w:p w:rsidR="00BD496C" w:rsidRDefault="00B67E68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6941" w:type="dxa"/>
            <w:shd w:val="clear" w:color="auto" w:fill="auto"/>
          </w:tcPr>
          <w:p w:rsidR="00BD496C" w:rsidRDefault="00B67E68">
            <w:pPr>
              <w:pStyle w:val="Jin0"/>
              <w:spacing w:after="0" w:line="240" w:lineRule="auto"/>
              <w:ind w:firstLine="660"/>
            </w:pPr>
            <w:proofErr w:type="gramStart"/>
            <w:r>
              <w:rPr>
                <w:rStyle w:val="Jin"/>
                <w:spacing w:val="1"/>
                <w:shd w:val="clear" w:color="auto" w:fill="000000"/>
              </w:rPr>
              <w:t>..</w:t>
            </w:r>
            <w:r>
              <w:rPr>
                <w:rStyle w:val="Jin"/>
                <w:spacing w:val="2"/>
                <w:shd w:val="clear" w:color="auto" w:fill="000000"/>
              </w:rPr>
              <w:t>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hd w:val="clear" w:color="auto" w:fill="000000"/>
              </w:rPr>
              <w:t>..</w:t>
            </w:r>
            <w:r>
              <w:rPr>
                <w:rStyle w:val="Jin"/>
                <w:spacing w:val="2"/>
                <w:shd w:val="clear" w:color="auto" w:fill="000000"/>
              </w:rPr>
              <w:t>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hd w:val="clear" w:color="auto" w:fill="000000"/>
              </w:rPr>
              <w:t>..</w:t>
            </w:r>
            <w:r>
              <w:rPr>
                <w:rStyle w:val="Jin"/>
                <w:spacing w:val="2"/>
                <w:shd w:val="clear" w:color="auto" w:fill="000000"/>
              </w:rPr>
              <w:t>.........</w:t>
            </w:r>
            <w:proofErr w:type="gramEnd"/>
          </w:p>
        </w:tc>
      </w:tr>
      <w:tr w:rsidR="00BD496C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2170" w:type="dxa"/>
            <w:shd w:val="clear" w:color="auto" w:fill="auto"/>
            <w:vAlign w:val="bottom"/>
          </w:tcPr>
          <w:p w:rsidR="00BD496C" w:rsidRDefault="00B67E68">
            <w:pPr>
              <w:pStyle w:val="Jin0"/>
              <w:spacing w:after="0" w:line="240" w:lineRule="auto"/>
            </w:pPr>
            <w:r>
              <w:rPr>
                <w:rStyle w:val="Jin"/>
              </w:rPr>
              <w:t>IČ:</w:t>
            </w:r>
          </w:p>
        </w:tc>
        <w:tc>
          <w:tcPr>
            <w:tcW w:w="6941" w:type="dxa"/>
            <w:shd w:val="clear" w:color="auto" w:fill="auto"/>
          </w:tcPr>
          <w:p w:rsidR="00BD496C" w:rsidRDefault="00B67E68">
            <w:pPr>
              <w:pStyle w:val="Jin0"/>
              <w:spacing w:after="0" w:line="240" w:lineRule="auto"/>
              <w:ind w:firstLine="660"/>
              <w:jc w:val="both"/>
            </w:pP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....................</w:t>
            </w:r>
            <w:r>
              <w:rPr>
                <w:rStyle w:val="Jin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proofErr w:type="gramStart"/>
            <w:r>
              <w:rPr>
                <w:rStyle w:val="Jin"/>
                <w:spacing w:val="8"/>
                <w:shd w:val="clear" w:color="auto" w:fill="000000"/>
              </w:rPr>
              <w:t>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.......​.......​......</w:t>
            </w:r>
            <w:proofErr w:type="gramEnd"/>
          </w:p>
          <w:p w:rsidR="00BD496C" w:rsidRDefault="00B67E68">
            <w:pPr>
              <w:pStyle w:val="Jin0"/>
              <w:spacing w:after="0" w:line="240" w:lineRule="auto"/>
              <w:ind w:firstLine="660"/>
              <w:jc w:val="both"/>
            </w:pPr>
            <w:r>
              <w:rPr>
                <w:rStyle w:val="Jin"/>
              </w:rPr>
              <w:t>00346292</w:t>
            </w:r>
          </w:p>
        </w:tc>
      </w:tr>
      <w:tr w:rsidR="00BD496C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70" w:type="dxa"/>
            <w:shd w:val="clear" w:color="auto" w:fill="auto"/>
          </w:tcPr>
          <w:p w:rsidR="00BD496C" w:rsidRDefault="00B67E68">
            <w:pPr>
              <w:pStyle w:val="Jin0"/>
              <w:spacing w:after="0" w:line="240" w:lineRule="auto"/>
            </w:pPr>
            <w:r>
              <w:rPr>
                <w:rStyle w:val="Jin"/>
              </w:rPr>
              <w:t>DIČ:</w:t>
            </w:r>
          </w:p>
        </w:tc>
        <w:tc>
          <w:tcPr>
            <w:tcW w:w="6941" w:type="dxa"/>
            <w:shd w:val="clear" w:color="auto" w:fill="auto"/>
          </w:tcPr>
          <w:p w:rsidR="00BD496C" w:rsidRDefault="00B67E68">
            <w:pPr>
              <w:pStyle w:val="Jin0"/>
              <w:spacing w:after="0" w:line="240" w:lineRule="auto"/>
              <w:ind w:firstLine="660"/>
              <w:jc w:val="both"/>
            </w:pPr>
            <w:r>
              <w:rPr>
                <w:rStyle w:val="Jin"/>
              </w:rPr>
              <w:t>CZ00346292</w:t>
            </w:r>
          </w:p>
        </w:tc>
      </w:tr>
      <w:tr w:rsidR="00BD496C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170" w:type="dxa"/>
            <w:shd w:val="clear" w:color="auto" w:fill="auto"/>
            <w:vAlign w:val="bottom"/>
          </w:tcPr>
          <w:p w:rsidR="00BD496C" w:rsidRDefault="00B67E68">
            <w:pPr>
              <w:pStyle w:val="Jin0"/>
              <w:spacing w:after="0" w:line="240" w:lineRule="auto"/>
            </w:pPr>
            <w:r>
              <w:rPr>
                <w:rStyle w:val="Jin"/>
              </w:rPr>
              <w:t>Zápis v OR:</w:t>
            </w:r>
          </w:p>
        </w:tc>
        <w:tc>
          <w:tcPr>
            <w:tcW w:w="6941" w:type="dxa"/>
            <w:shd w:val="clear" w:color="auto" w:fill="auto"/>
            <w:vAlign w:val="bottom"/>
          </w:tcPr>
          <w:p w:rsidR="00BD496C" w:rsidRDefault="00B67E68">
            <w:pPr>
              <w:pStyle w:val="Jin0"/>
              <w:spacing w:after="0" w:line="240" w:lineRule="auto"/>
              <w:ind w:firstLine="660"/>
              <w:jc w:val="both"/>
            </w:pPr>
            <w:r>
              <w:rPr>
                <w:rStyle w:val="Jin"/>
              </w:rPr>
              <w:t xml:space="preserve">Krajský soud v Brně </w:t>
            </w:r>
            <w:proofErr w:type="spellStart"/>
            <w:r>
              <w:rPr>
                <w:rStyle w:val="Jin"/>
              </w:rPr>
              <w:t>sp</w:t>
            </w:r>
            <w:proofErr w:type="spellEnd"/>
            <w:r>
              <w:rPr>
                <w:rStyle w:val="Jin"/>
              </w:rPr>
              <w:t xml:space="preserve">. zn. </w:t>
            </w:r>
            <w:proofErr w:type="spellStart"/>
            <w:r>
              <w:rPr>
                <w:rStyle w:val="Jin"/>
              </w:rPr>
              <w:t>Pr</w:t>
            </w:r>
            <w:proofErr w:type="spellEnd"/>
            <w:r>
              <w:rPr>
                <w:rStyle w:val="Jin"/>
              </w:rPr>
              <w:t xml:space="preserve"> 1245</w:t>
            </w:r>
          </w:p>
        </w:tc>
      </w:tr>
    </w:tbl>
    <w:p w:rsidR="00BD496C" w:rsidRDefault="00B67E68">
      <w:pPr>
        <w:pStyle w:val="Titulektabulky0"/>
      </w:pPr>
      <w:r>
        <w:rPr>
          <w:rStyle w:val="Titulektabulky"/>
        </w:rPr>
        <w:t xml:space="preserve">(dále jen </w:t>
      </w:r>
      <w:r>
        <w:rPr>
          <w:rStyle w:val="Titulektabulky"/>
          <w:i/>
          <w:iCs/>
        </w:rPr>
        <w:t>„nabyvatel“)</w:t>
      </w:r>
    </w:p>
    <w:p w:rsidR="00BD496C" w:rsidRDefault="00BD496C">
      <w:pPr>
        <w:spacing w:after="679" w:line="1" w:lineRule="exact"/>
      </w:pPr>
    </w:p>
    <w:p w:rsidR="00BD496C" w:rsidRDefault="00B67E68">
      <w:pPr>
        <w:pStyle w:val="Zkladntext1"/>
        <w:spacing w:after="0" w:line="240" w:lineRule="auto"/>
        <w:ind w:left="11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890905</wp:posOffset>
                </wp:positionH>
                <wp:positionV relativeFrom="paragraph">
                  <wp:posOffset>12700</wp:posOffset>
                </wp:positionV>
                <wp:extent cx="969010" cy="102108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010" cy="1021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D496C" w:rsidRDefault="00B67E68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Jméno:</w:t>
                            </w:r>
                          </w:p>
                          <w:p w:rsidR="00BD496C" w:rsidRDefault="00B67E68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Sídlo:</w:t>
                            </w:r>
                          </w:p>
                          <w:p w:rsidR="00BD496C" w:rsidRDefault="00B67E68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Jednající:</w:t>
                            </w:r>
                          </w:p>
                          <w:p w:rsidR="00BD496C" w:rsidRDefault="00B67E68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Kontaktní osoba:</w:t>
                            </w:r>
                          </w:p>
                          <w:p w:rsidR="00BD496C" w:rsidRDefault="00B67E68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IČO:</w:t>
                            </w:r>
                          </w:p>
                          <w:p w:rsidR="00BD496C" w:rsidRDefault="00B67E68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DIČ:</w:t>
                            </w:r>
                          </w:p>
                          <w:p w:rsidR="00BD496C" w:rsidRDefault="00B67E68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Zápis v OR: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70.150000000000006pt;margin-top:1.pt;width:76.299999999999997pt;height:80.400000000000006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Jméno: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Jednající: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Kontaktní osoba: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Zápis v OR: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Zkladntext"/>
        </w:rPr>
        <w:t>PREDNY SLM s.r.o.</w:t>
      </w:r>
    </w:p>
    <w:p w:rsidR="00BD496C" w:rsidRDefault="00B67E68">
      <w:pPr>
        <w:pStyle w:val="Zkladntext1"/>
        <w:spacing w:after="0" w:line="240" w:lineRule="auto"/>
        <w:ind w:left="1120"/>
      </w:pPr>
      <w:r>
        <w:rPr>
          <w:rStyle w:val="Zkladntext"/>
        </w:rPr>
        <w:t>Veselá 169/24, Brno, 602 00</w:t>
      </w:r>
    </w:p>
    <w:p w:rsidR="00BD496C" w:rsidRDefault="00B67E68">
      <w:pPr>
        <w:pStyle w:val="Zkladntext1"/>
        <w:spacing w:after="0" w:line="240" w:lineRule="auto"/>
        <w:ind w:left="1120"/>
      </w:pPr>
      <w:r>
        <w:rPr>
          <w:rStyle w:val="Zkladntext"/>
        </w:rPr>
        <w:t xml:space="preserve">Mgr. Martin </w:t>
      </w:r>
      <w:proofErr w:type="spellStart"/>
      <w:r>
        <w:rPr>
          <w:rStyle w:val="Zkladntext"/>
        </w:rPr>
        <w:t>Predný</w:t>
      </w:r>
      <w:proofErr w:type="spellEnd"/>
    </w:p>
    <w:p w:rsidR="00BD496C" w:rsidRDefault="00B67E68">
      <w:pPr>
        <w:pStyle w:val="Zkladntext1"/>
        <w:spacing w:after="0" w:line="240" w:lineRule="auto"/>
        <w:ind w:left="1120"/>
      </w:pPr>
      <w:proofErr w:type="gramStart"/>
      <w:r>
        <w:rPr>
          <w:rStyle w:val="Zkladntext"/>
        </w:rPr>
        <w:t>I</w:t>
      </w:r>
      <w:r>
        <w:rPr>
          <w:rStyle w:val="Zkladntext"/>
          <w:shd w:val="clear" w:color="auto" w:fill="000000"/>
        </w:rPr>
        <w:t>......​</w:t>
      </w:r>
      <w:r>
        <w:rPr>
          <w:rStyle w:val="Zkladntext"/>
          <w:spacing w:val="4"/>
          <w:shd w:val="clear" w:color="auto" w:fill="000000"/>
        </w:rPr>
        <w:t>.....</w:t>
      </w:r>
      <w:r>
        <w:rPr>
          <w:rStyle w:val="Zkladntext"/>
          <w:spacing w:val="5"/>
          <w:shd w:val="clear" w:color="auto" w:fill="000000"/>
        </w:rPr>
        <w:t>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..............</w:t>
      </w:r>
      <w:proofErr w:type="gramEnd"/>
    </w:p>
    <w:p w:rsidR="00BD496C" w:rsidRDefault="00B67E68">
      <w:pPr>
        <w:pStyle w:val="Zkladntext1"/>
        <w:spacing w:after="0" w:line="240" w:lineRule="auto"/>
        <w:ind w:left="1120"/>
      </w:pPr>
      <w:r>
        <w:rPr>
          <w:rStyle w:val="Zkladntext"/>
        </w:rPr>
        <w:t>07972571</w:t>
      </w:r>
    </w:p>
    <w:p w:rsidR="00BD496C" w:rsidRDefault="00B67E68">
      <w:pPr>
        <w:pStyle w:val="Zkladntext1"/>
        <w:spacing w:after="0" w:line="240" w:lineRule="auto"/>
        <w:ind w:left="1120"/>
      </w:pPr>
      <w:r>
        <w:rPr>
          <w:rStyle w:val="Zkladntext"/>
        </w:rPr>
        <w:t>CZ07972571</w:t>
      </w:r>
    </w:p>
    <w:p w:rsidR="00BD496C" w:rsidRDefault="00B67E68">
      <w:pPr>
        <w:pStyle w:val="Zkladntext1"/>
        <w:spacing w:after="240" w:line="240" w:lineRule="auto"/>
        <w:ind w:left="1120"/>
      </w:pPr>
      <w:r>
        <w:rPr>
          <w:rStyle w:val="Zkladntext"/>
        </w:rPr>
        <w:t xml:space="preserve">Krajský soud v Brně </w:t>
      </w:r>
      <w:proofErr w:type="spellStart"/>
      <w:r>
        <w:rPr>
          <w:rStyle w:val="Zkladntext"/>
        </w:rPr>
        <w:t>sp</w:t>
      </w:r>
      <w:proofErr w:type="spellEnd"/>
      <w:r>
        <w:rPr>
          <w:rStyle w:val="Zkladntext"/>
        </w:rPr>
        <w:t>. zn. C 111197</w:t>
      </w:r>
    </w:p>
    <w:p w:rsidR="00BD496C" w:rsidRDefault="00B67E68">
      <w:pPr>
        <w:pStyle w:val="Zkladntext1"/>
        <w:spacing w:after="760" w:line="240" w:lineRule="auto"/>
      </w:pPr>
      <w:r>
        <w:rPr>
          <w:rStyle w:val="Zkladntext"/>
        </w:rPr>
        <w:t xml:space="preserve">(dále jen </w:t>
      </w:r>
      <w:r>
        <w:rPr>
          <w:rStyle w:val="Zkladntext"/>
          <w:i/>
          <w:iCs/>
        </w:rPr>
        <w:t>„převodce“)</w:t>
      </w:r>
    </w:p>
    <w:p w:rsidR="00BD496C" w:rsidRDefault="00B67E68">
      <w:pPr>
        <w:pStyle w:val="Zkladntext1"/>
        <w:numPr>
          <w:ilvl w:val="0"/>
          <w:numId w:val="1"/>
        </w:numPr>
        <w:tabs>
          <w:tab w:val="left" w:pos="427"/>
        </w:tabs>
        <w:spacing w:after="120" w:line="262" w:lineRule="auto"/>
        <w:ind w:left="420" w:hanging="420"/>
        <w:jc w:val="both"/>
      </w:pPr>
      <w:r>
        <w:rPr>
          <w:rStyle w:val="Zkladntext"/>
        </w:rPr>
        <w:t>Převodce je oprávněn na základě svého vlastnického práva nakládat s licencemi MS Exchange (dále rovněž i „předmět převodu“), jejichž bližší specif</w:t>
      </w:r>
      <w:r>
        <w:rPr>
          <w:rStyle w:val="Zkladntext"/>
        </w:rPr>
        <w:t>ikace je uvedena v příloze č. 1 této smlouvy.</w:t>
      </w:r>
    </w:p>
    <w:p w:rsidR="00BD496C" w:rsidRDefault="00B67E68">
      <w:pPr>
        <w:pStyle w:val="Zkladntext1"/>
        <w:numPr>
          <w:ilvl w:val="0"/>
          <w:numId w:val="1"/>
        </w:numPr>
        <w:tabs>
          <w:tab w:val="left" w:pos="427"/>
        </w:tabs>
        <w:spacing w:after="240" w:line="266" w:lineRule="auto"/>
        <w:ind w:left="420" w:hanging="420"/>
        <w:jc w:val="both"/>
      </w:pPr>
      <w:r>
        <w:rPr>
          <w:rStyle w:val="Zkladntext"/>
        </w:rPr>
        <w:t>Převodce se zavazuje, že za podmínek sjednaných touto smlouvou převede na nabyvatele licence k softwaru podle čl. 1 této smlouvy, a nabyvatel kupuje licence do svého vlastnictví za kupní cenu podle čl. 9 této s</w:t>
      </w:r>
      <w:r>
        <w:rPr>
          <w:rStyle w:val="Zkladntext"/>
        </w:rPr>
        <w:t>mlouvy.</w:t>
      </w:r>
    </w:p>
    <w:p w:rsidR="00BD496C" w:rsidRDefault="00B67E68">
      <w:pPr>
        <w:pStyle w:val="Zkladntext1"/>
        <w:numPr>
          <w:ilvl w:val="0"/>
          <w:numId w:val="1"/>
        </w:numPr>
        <w:tabs>
          <w:tab w:val="left" w:pos="427"/>
        </w:tabs>
        <w:spacing w:after="240"/>
        <w:ind w:left="420" w:hanging="420"/>
        <w:jc w:val="both"/>
      </w:pPr>
      <w:r>
        <w:rPr>
          <w:rStyle w:val="Zkladntext"/>
        </w:rPr>
        <w:t>Převodce prohlašuje, že je oprávněn s předmětem převodu, způsobem sjednaným v této smlouvě disponovat, a že dispozici s předmětem převodu v souladu s touto smlouvou, nebrání žádná zákonná překážka, ani ujednání s třetí smluvní stranou.</w:t>
      </w:r>
    </w:p>
    <w:p w:rsidR="00BD496C" w:rsidRDefault="00B67E68">
      <w:pPr>
        <w:pStyle w:val="Zkladntext1"/>
        <w:numPr>
          <w:ilvl w:val="0"/>
          <w:numId w:val="1"/>
        </w:numPr>
        <w:tabs>
          <w:tab w:val="left" w:pos="427"/>
        </w:tabs>
        <w:spacing w:after="240" w:line="262" w:lineRule="auto"/>
        <w:ind w:left="420" w:hanging="420"/>
        <w:jc w:val="both"/>
      </w:pPr>
      <w:r>
        <w:rPr>
          <w:rStyle w:val="Zkladntext"/>
        </w:rPr>
        <w:t xml:space="preserve">Garance </w:t>
      </w:r>
      <w:r>
        <w:rPr>
          <w:rStyle w:val="Zkladntext"/>
        </w:rPr>
        <w:t>převodce vztahující se k převodu softwarových licencí jsou platné pouze na území Evropské unie a Evropského hospodářského prostoru. Převodce žádným způsobem negarantuje, že licence splňují požadavky právních řádů platných a účinných mimo vymezené teritoriu</w:t>
      </w:r>
      <w:r>
        <w:rPr>
          <w:rStyle w:val="Zkladntext"/>
        </w:rPr>
        <w:t>m.</w:t>
      </w:r>
    </w:p>
    <w:p w:rsidR="00BD496C" w:rsidRDefault="00B67E68">
      <w:pPr>
        <w:pStyle w:val="Zkladntext1"/>
        <w:numPr>
          <w:ilvl w:val="0"/>
          <w:numId w:val="1"/>
        </w:numPr>
        <w:tabs>
          <w:tab w:val="left" w:pos="427"/>
        </w:tabs>
        <w:spacing w:after="240" w:line="266" w:lineRule="auto"/>
        <w:ind w:left="420" w:hanging="420"/>
        <w:jc w:val="both"/>
      </w:pPr>
      <w:r>
        <w:rPr>
          <w:rStyle w:val="Zkladntext"/>
        </w:rPr>
        <w:t>Předmětem převodu dle této smlouvy jsou licence k softwaru, specifikovanému v příloze č. 1 této smlouvy.</w:t>
      </w:r>
    </w:p>
    <w:p w:rsidR="00BD496C" w:rsidRDefault="00B67E68">
      <w:pPr>
        <w:pStyle w:val="Zkladntext1"/>
        <w:numPr>
          <w:ilvl w:val="0"/>
          <w:numId w:val="1"/>
        </w:numPr>
        <w:tabs>
          <w:tab w:val="left" w:pos="427"/>
        </w:tabs>
        <w:spacing w:after="240" w:line="262" w:lineRule="auto"/>
        <w:ind w:left="420" w:hanging="420"/>
        <w:jc w:val="both"/>
      </w:pPr>
      <w:r>
        <w:rPr>
          <w:rStyle w:val="Zkladntext"/>
        </w:rPr>
        <w:t xml:space="preserve">Je-li předmětem převodu licence </w:t>
      </w:r>
      <w:proofErr w:type="spellStart"/>
      <w:r>
        <w:rPr>
          <w:rStyle w:val="Zkladntext"/>
        </w:rPr>
        <w:t>kjiž</w:t>
      </w:r>
      <w:proofErr w:type="spellEnd"/>
      <w:r>
        <w:rPr>
          <w:rStyle w:val="Zkladntext"/>
        </w:rPr>
        <w:t xml:space="preserve"> na trh uvedenému softwaru dle čl. 1 této smlouvy, převodce nejpozději v okamžiku plnění doloží dokumenty prokaz</w:t>
      </w:r>
      <w:r>
        <w:rPr>
          <w:rStyle w:val="Zkladntext"/>
        </w:rPr>
        <w:t>ující legální původ licencí:</w:t>
      </w:r>
    </w:p>
    <w:p w:rsidR="00BD496C" w:rsidRDefault="00B67E68">
      <w:pPr>
        <w:pStyle w:val="Zkladntext1"/>
        <w:numPr>
          <w:ilvl w:val="0"/>
          <w:numId w:val="2"/>
        </w:numPr>
        <w:tabs>
          <w:tab w:val="left" w:pos="714"/>
        </w:tabs>
        <w:spacing w:after="240" w:line="240" w:lineRule="auto"/>
        <w:ind w:left="720" w:hanging="360"/>
        <w:jc w:val="both"/>
      </w:pPr>
      <w:r>
        <w:rPr>
          <w:rStyle w:val="Zkladntext"/>
        </w:rPr>
        <w:t xml:space="preserve">identifikaci kontraktu, prostřednictvím kterého byly licence poprvé uvedeny na trh s prokázáním jeho existence, např. </w:t>
      </w:r>
      <w:proofErr w:type="spellStart"/>
      <w:r>
        <w:rPr>
          <w:rStyle w:val="Zkladntext"/>
        </w:rPr>
        <w:t>screenshotem</w:t>
      </w:r>
      <w:proofErr w:type="spellEnd"/>
      <w:r>
        <w:rPr>
          <w:rStyle w:val="Zkladntext"/>
        </w:rPr>
        <w:t xml:space="preserve"> z nástroje pro evidenci sw licencí;</w:t>
      </w:r>
    </w:p>
    <w:p w:rsidR="00BD496C" w:rsidRDefault="00B67E68">
      <w:pPr>
        <w:pStyle w:val="Zkladntext1"/>
        <w:numPr>
          <w:ilvl w:val="0"/>
          <w:numId w:val="2"/>
        </w:numPr>
        <w:tabs>
          <w:tab w:val="left" w:pos="710"/>
        </w:tabs>
        <w:spacing w:after="240" w:line="262" w:lineRule="auto"/>
        <w:ind w:firstLine="360"/>
      </w:pPr>
      <w:r>
        <w:rPr>
          <w:rStyle w:val="Zkladntext"/>
        </w:rPr>
        <w:t>identifikaci licencí z kontraktu, a to jejich číslem a úplný</w:t>
      </w:r>
      <w:r>
        <w:rPr>
          <w:rStyle w:val="Zkladntext"/>
        </w:rPr>
        <w:t>m názvem;</w:t>
      </w:r>
    </w:p>
    <w:p w:rsidR="00BD496C" w:rsidRDefault="00B67E68">
      <w:pPr>
        <w:pStyle w:val="Zkladntext1"/>
        <w:numPr>
          <w:ilvl w:val="0"/>
          <w:numId w:val="2"/>
        </w:numPr>
        <w:tabs>
          <w:tab w:val="left" w:pos="740"/>
        </w:tabs>
        <w:spacing w:line="266" w:lineRule="auto"/>
        <w:ind w:left="740" w:hanging="320"/>
        <w:jc w:val="both"/>
      </w:pPr>
      <w:r>
        <w:rPr>
          <w:rStyle w:val="Zkladntext"/>
        </w:rPr>
        <w:lastRenderedPageBreak/>
        <w:t>identifikaci prvního nabyvatele těchto licencí, u kterého bude zřejmé, že byly licence pořízeny na území EHS,</w:t>
      </w:r>
    </w:p>
    <w:p w:rsidR="00BD496C" w:rsidRDefault="00B67E68">
      <w:pPr>
        <w:pStyle w:val="Zkladntext1"/>
        <w:numPr>
          <w:ilvl w:val="0"/>
          <w:numId w:val="2"/>
        </w:numPr>
        <w:tabs>
          <w:tab w:val="left" w:pos="740"/>
        </w:tabs>
        <w:spacing w:line="262" w:lineRule="auto"/>
        <w:ind w:left="740" w:hanging="380"/>
        <w:jc w:val="both"/>
      </w:pPr>
      <w:r>
        <w:rPr>
          <w:rStyle w:val="Zkladntext"/>
        </w:rPr>
        <w:t>prohlášení tohoto původního nabyvatele licence, že licence jsou odinstalovány, nejsou používány a je na straně tohoto nabyvatele zajiště</w:t>
      </w:r>
      <w:r>
        <w:rPr>
          <w:rStyle w:val="Zkladntext"/>
        </w:rPr>
        <w:t>no, že je zamezeno jejich použití v budoucnu a že na nich nevážnou žádná práva třetích stran,</w:t>
      </w:r>
    </w:p>
    <w:p w:rsidR="00BD496C" w:rsidRDefault="00B67E68">
      <w:pPr>
        <w:pStyle w:val="Zkladntext1"/>
        <w:numPr>
          <w:ilvl w:val="0"/>
          <w:numId w:val="2"/>
        </w:numPr>
        <w:tabs>
          <w:tab w:val="left" w:pos="710"/>
        </w:tabs>
        <w:spacing w:line="266" w:lineRule="auto"/>
        <w:ind w:firstLine="360"/>
      </w:pPr>
      <w:r>
        <w:rPr>
          <w:rStyle w:val="Zkladntext"/>
        </w:rPr>
        <w:t>úplnou identifikaci všech dalších, mezitímních držitelů těchto licencí,</w:t>
      </w:r>
    </w:p>
    <w:p w:rsidR="00BD496C" w:rsidRDefault="00B67E68">
      <w:pPr>
        <w:pStyle w:val="Zkladntext1"/>
        <w:numPr>
          <w:ilvl w:val="0"/>
          <w:numId w:val="2"/>
        </w:numPr>
        <w:tabs>
          <w:tab w:val="left" w:pos="710"/>
        </w:tabs>
        <w:spacing w:line="266" w:lineRule="auto"/>
        <w:ind w:firstLine="360"/>
      </w:pPr>
      <w:r>
        <w:rPr>
          <w:rStyle w:val="Zkladntext"/>
        </w:rPr>
        <w:t>prohlášení všech dalších mezitímních držitelů daných licencí dle bodu d);</w:t>
      </w:r>
    </w:p>
    <w:p w:rsidR="00BD496C" w:rsidRDefault="00B67E68">
      <w:pPr>
        <w:pStyle w:val="Zkladntext1"/>
        <w:numPr>
          <w:ilvl w:val="0"/>
          <w:numId w:val="1"/>
        </w:numPr>
        <w:tabs>
          <w:tab w:val="left" w:pos="423"/>
          <w:tab w:val="left" w:pos="427"/>
        </w:tabs>
        <w:spacing w:after="0"/>
      </w:pPr>
      <w:r>
        <w:rPr>
          <w:rStyle w:val="Zkladntext"/>
        </w:rPr>
        <w:t xml:space="preserve">Převodce se </w:t>
      </w:r>
      <w:r>
        <w:rPr>
          <w:rStyle w:val="Zkladntext"/>
        </w:rPr>
        <w:t>zavazuje splnit svůj závazek k dodání licencí podle čl. 1 této smlouvy nejpozději</w:t>
      </w:r>
    </w:p>
    <w:p w:rsidR="00BD496C" w:rsidRDefault="00B67E68">
      <w:pPr>
        <w:pStyle w:val="Zkladntext1"/>
        <w:ind w:left="400" w:firstLine="20"/>
        <w:jc w:val="both"/>
      </w:pPr>
      <w:r>
        <w:rPr>
          <w:rStyle w:val="Zkladntext"/>
        </w:rPr>
        <w:t>do 10 dnů od účinnosti této smlouvy. Předmět převodu bude dodán do zákaznického účtu nabyvatele na online platformě sloužící pro správu licencí. Předmět převodu se považuje z</w:t>
      </w:r>
      <w:r>
        <w:rPr>
          <w:rStyle w:val="Zkladntext"/>
        </w:rPr>
        <w:t>a dodaný v okamžiku jeho připsání do zákaznického účtu nabyvatele. Přístupové údaje k zákaznickému účtu budou převodcem nabyvateli odeslány na jeho kontaktní e-mail.</w:t>
      </w:r>
    </w:p>
    <w:p w:rsidR="00BD496C" w:rsidRDefault="00B67E68">
      <w:pPr>
        <w:pStyle w:val="Zkladntext1"/>
        <w:numPr>
          <w:ilvl w:val="0"/>
          <w:numId w:val="1"/>
        </w:numPr>
        <w:tabs>
          <w:tab w:val="left" w:pos="423"/>
        </w:tabs>
        <w:spacing w:line="266" w:lineRule="auto"/>
        <w:ind w:left="400" w:hanging="400"/>
        <w:jc w:val="both"/>
      </w:pPr>
      <w:r>
        <w:rPr>
          <w:rStyle w:val="Zkladntext"/>
        </w:rPr>
        <w:t>Převodce je povinen spolu s předmětem převodu dodat nabyvateli dokumentaci potřebnou k pro</w:t>
      </w:r>
      <w:r>
        <w:rPr>
          <w:rStyle w:val="Zkladntext"/>
        </w:rPr>
        <w:t>kázání legálního původu licencí. Před uzavřením této smlouvy je nabyvatel povinen se seznámit s právy a povinnostmi, které mu vznikají při užívání online distribuční platformy. Nebezpečí škody na zboží přechází na nabyvatele v okamžiku dodání předmětu přev</w:t>
      </w:r>
      <w:r>
        <w:rPr>
          <w:rStyle w:val="Zkladntext"/>
        </w:rPr>
        <w:t>odu.</w:t>
      </w:r>
    </w:p>
    <w:p w:rsidR="00BD496C" w:rsidRDefault="00B67E68">
      <w:pPr>
        <w:pStyle w:val="Zkladntext1"/>
        <w:numPr>
          <w:ilvl w:val="0"/>
          <w:numId w:val="1"/>
        </w:numPr>
        <w:tabs>
          <w:tab w:val="left" w:pos="423"/>
        </w:tabs>
        <w:spacing w:line="266" w:lineRule="auto"/>
        <w:ind w:left="400" w:hanging="400"/>
        <w:jc w:val="both"/>
      </w:pPr>
      <w:r>
        <w:rPr>
          <w:rStyle w:val="Zkladntext"/>
        </w:rPr>
        <w:t>Nabyvatel se zavazuje zaplatit převodci za předmět převodu podle čl. 1 této smlouvy kupní cenu ve výši 418 236 Kč bez DPH, tj. 506 065,56 Kč včetně DPH. Součástí této ceny jsou veškeré náklady převodce na splnění jeho závazku k dodání předmětu převodu</w:t>
      </w:r>
      <w:r>
        <w:rPr>
          <w:rStyle w:val="Zkladntext"/>
        </w:rPr>
        <w:t xml:space="preserve"> podle této smlouvy, a daň z přidané hodnoty v sazbě podle zákona.</w:t>
      </w:r>
    </w:p>
    <w:p w:rsidR="00BD496C" w:rsidRDefault="00B67E68">
      <w:pPr>
        <w:pStyle w:val="Zkladntext1"/>
        <w:numPr>
          <w:ilvl w:val="0"/>
          <w:numId w:val="1"/>
        </w:numPr>
        <w:tabs>
          <w:tab w:val="left" w:pos="423"/>
        </w:tabs>
        <w:ind w:left="400" w:hanging="400"/>
        <w:jc w:val="both"/>
      </w:pPr>
      <w:r>
        <w:rPr>
          <w:rStyle w:val="Zkladntext"/>
        </w:rPr>
        <w:t xml:space="preserve">Kupní cena podle čl. 9 této smlouvy je splatná na účet převodce po splnění závazku převodce k dodání plnění podle čl. 1 této smlouvy způsobem podle čl. 6 a 7 této smlouvy ve lhůtě do </w:t>
      </w:r>
      <w:proofErr w:type="gramStart"/>
      <w:r>
        <w:rPr>
          <w:rStyle w:val="Zkladntext"/>
        </w:rPr>
        <w:t>30-ti</w:t>
      </w:r>
      <w:proofErr w:type="gramEnd"/>
      <w:r>
        <w:rPr>
          <w:rStyle w:val="Zkladntext"/>
        </w:rPr>
        <w:t xml:space="preserve"> </w:t>
      </w:r>
      <w:r>
        <w:rPr>
          <w:rStyle w:val="Zkladntext"/>
        </w:rPr>
        <w:t>dnů ode dne doručení jejího písemného vyúčtování (faktury/daňového dokladu).</w:t>
      </w:r>
    </w:p>
    <w:p w:rsidR="00BD496C" w:rsidRDefault="00B67E68">
      <w:pPr>
        <w:pStyle w:val="Zkladntext1"/>
        <w:numPr>
          <w:ilvl w:val="0"/>
          <w:numId w:val="1"/>
        </w:numPr>
        <w:tabs>
          <w:tab w:val="left" w:pos="423"/>
        </w:tabs>
        <w:ind w:left="400" w:hanging="400"/>
        <w:jc w:val="both"/>
      </w:pPr>
      <w:r>
        <w:rPr>
          <w:rStyle w:val="Zkladntext"/>
        </w:rPr>
        <w:t xml:space="preserve">Daňový doklad (nebo též „faktura“) bude doručen elektronicky na </w:t>
      </w:r>
      <w:proofErr w:type="gramStart"/>
      <w:r>
        <w:rPr>
          <w:rStyle w:val="Zkladntext"/>
        </w:rPr>
        <w:t xml:space="preserve">email: 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....................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</w:t>
      </w:r>
      <w:r>
        <w:rPr>
          <w:rStyle w:val="Zkladntext"/>
        </w:rPr>
        <w:t xml:space="preserve"> 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................................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</w:t>
      </w:r>
      <w:r>
        <w:rPr>
          <w:rStyle w:val="Zkladntext"/>
          <w:color w:val="64A8E3"/>
          <w:lang w:val="en-US" w:eastAsia="en-US" w:bidi="en-US"/>
        </w:rPr>
        <w:t xml:space="preserve"> </w:t>
      </w:r>
      <w:r>
        <w:rPr>
          <w:rStyle w:val="Zkladntext"/>
        </w:rPr>
        <w:t>a musí</w:t>
      </w:r>
      <w:proofErr w:type="gramEnd"/>
      <w:r>
        <w:rPr>
          <w:rStyle w:val="Zkladntext"/>
        </w:rPr>
        <w:t xml:space="preserve"> obsahovat mimo jiné toto č</w:t>
      </w:r>
      <w:r>
        <w:rPr>
          <w:rStyle w:val="Zkladntext"/>
        </w:rPr>
        <w:t xml:space="preserve">íslo veřejné zakázky: </w:t>
      </w:r>
      <w:r>
        <w:rPr>
          <w:rStyle w:val="Zkladntext"/>
          <w:b/>
          <w:bCs/>
        </w:rPr>
        <w:t xml:space="preserve">P21V00002095. </w:t>
      </w:r>
      <w:r>
        <w:rPr>
          <w:rStyle w:val="Zkladntext"/>
        </w:rPr>
        <w:t xml:space="preserve">Nebude-li faktura splňovat veškeré náležitosti daňového dokladu podle zákona a další náležitosti podle této smlouvy, je kupující oprávněn vrátit takovou fakturu prodávajícímu k opravě, přičemž doba její splatnosti začne </w:t>
      </w:r>
      <w:r>
        <w:rPr>
          <w:rStyle w:val="Zkladntext"/>
        </w:rPr>
        <w:t>znovu celá běžet ode dne doručení opravené faktury kupujícímu.</w:t>
      </w:r>
    </w:p>
    <w:p w:rsidR="00BD496C" w:rsidRDefault="00B67E68">
      <w:pPr>
        <w:pStyle w:val="Zkladntext1"/>
        <w:numPr>
          <w:ilvl w:val="0"/>
          <w:numId w:val="1"/>
        </w:numPr>
        <w:tabs>
          <w:tab w:val="left" w:pos="423"/>
        </w:tabs>
        <w:ind w:left="400" w:hanging="400"/>
        <w:jc w:val="both"/>
      </w:pPr>
      <w:r>
        <w:rPr>
          <w:rStyle w:val="Zkladntext"/>
        </w:rPr>
        <w:t>Za vadná plnění se podle této smlouvy považují taková plnění, která nejsou dodána v ujednaném množství, typu a druhu licence. Za vadu se považuje i nedodání dokumentace potřebné k prokázání leg</w:t>
      </w:r>
      <w:r>
        <w:rPr>
          <w:rStyle w:val="Zkladntext"/>
        </w:rPr>
        <w:t>álního původu licencí. Bude-li mít plnění vady, budou práva nabyvatele z odpovědnosti za vady uspokojeny výhradně dále uvedeným způsobem, a to v následujícím pořadí: dodáním chybějícího množství licencí, dodáním požadovaného typu nebo druhu licence. V příp</w:t>
      </w:r>
      <w:r>
        <w:rPr>
          <w:rStyle w:val="Zkladntext"/>
        </w:rPr>
        <w:t>adě výměny je nabyvatel povinen vrátit chybně dodané plnění nejpozději do 2 dnů ode dne uplatnění práva z vadného plnění společně s prohlášením, že tyto licence nebyly prodány ani použity. Formulář pro prohlášení zašle nabyvateli převodce jako odpověď na t</w:t>
      </w:r>
      <w:r>
        <w:rPr>
          <w:rStyle w:val="Zkladntext"/>
        </w:rPr>
        <w:t>oto oznámení. V případě nedodání prohlášení podle předchozího bodu bude plnění považováno za řádné. Převodce je povinen výměnu uskutečnit do 2 dnů ode dne obdržení řádně vyplněného a podepsaného prohlášení.</w:t>
      </w:r>
    </w:p>
    <w:p w:rsidR="00BD496C" w:rsidRDefault="00B67E68">
      <w:pPr>
        <w:pStyle w:val="Zkladntext1"/>
        <w:numPr>
          <w:ilvl w:val="0"/>
          <w:numId w:val="1"/>
        </w:numPr>
        <w:tabs>
          <w:tab w:val="left" w:pos="423"/>
        </w:tabs>
        <w:spacing w:line="262" w:lineRule="auto"/>
        <w:ind w:left="400" w:hanging="400"/>
        <w:jc w:val="both"/>
      </w:pPr>
      <w:r>
        <w:rPr>
          <w:rStyle w:val="Zkladntext"/>
        </w:rPr>
        <w:t>Pro případ prodlení s úhradou kupní ceny ve lhůtě</w:t>
      </w:r>
      <w:r>
        <w:rPr>
          <w:rStyle w:val="Zkladntext"/>
        </w:rPr>
        <w:t xml:space="preserve"> podle čl. 10 této smlouvy se nabyvatel zavazuje zaplatit převodci úrok z prodlení v sazbě dle zákona.</w:t>
      </w:r>
    </w:p>
    <w:p w:rsidR="00BD496C" w:rsidRDefault="00B67E68">
      <w:pPr>
        <w:pStyle w:val="Zkladntext1"/>
        <w:numPr>
          <w:ilvl w:val="0"/>
          <w:numId w:val="1"/>
        </w:numPr>
        <w:tabs>
          <w:tab w:val="left" w:pos="423"/>
        </w:tabs>
        <w:spacing w:line="262" w:lineRule="auto"/>
        <w:ind w:left="400" w:hanging="400"/>
        <w:jc w:val="both"/>
      </w:pPr>
      <w:r>
        <w:rPr>
          <w:rStyle w:val="Zkladntext"/>
        </w:rPr>
        <w:t>Pro případ prodlení se splněním jeho závazku k dodání plnění ve lhůtě podle čl. 7 této smlouvy se převodce zavazuje platit nabyvateli smluvní pokutu ve v</w:t>
      </w:r>
      <w:r>
        <w:rPr>
          <w:rStyle w:val="Zkladntext"/>
        </w:rPr>
        <w:t>ýši 0,1 % z kupní ceny podle čl. 9 této smlouvy za každý započatý den tohoto prodlení. Pro případ prodlení převodce s odstraněním reklamovaných vad ve lhůtě podle čl. 12 této smlouvy se převodce zavazuje zaplatit nabyvateli smluvní pokutu ve výši 500,-Kč z</w:t>
      </w:r>
      <w:r>
        <w:rPr>
          <w:rStyle w:val="Zkladntext"/>
        </w:rPr>
        <w:t xml:space="preserve">a každý započatý den tohoto prodlení. Tím není dotčeno právo nabyvatele na náhradu škody v plné výši, čímž se vylučuje aplikace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2050 zák. č. 89/2012 Sb., občanského zákoníku na právní vztah mezi oběma stranami v této věci.</w:t>
      </w:r>
      <w:r>
        <w:br w:type="page"/>
      </w:r>
    </w:p>
    <w:p w:rsidR="00BD496C" w:rsidRDefault="00B67E68">
      <w:pPr>
        <w:pStyle w:val="Zkladntext1"/>
        <w:numPr>
          <w:ilvl w:val="0"/>
          <w:numId w:val="1"/>
        </w:numPr>
        <w:tabs>
          <w:tab w:val="left" w:pos="434"/>
        </w:tabs>
        <w:ind w:left="400" w:hanging="400"/>
        <w:jc w:val="both"/>
      </w:pPr>
      <w:r>
        <w:rPr>
          <w:rStyle w:val="Zkladntext"/>
        </w:rPr>
        <w:lastRenderedPageBreak/>
        <w:t>Pro případ prodlení se sp</w:t>
      </w:r>
      <w:r>
        <w:rPr>
          <w:rStyle w:val="Zkladntext"/>
        </w:rPr>
        <w:t xml:space="preserve">lněním jeho závazku k dodání plnění ve lhůtě podle čl. 7 této smlouvy o více, než 1 týden nebo pro případ výskytu neodstranitelné vady resp. výskytu tří a více vad, a i to i postupně, je nabyvatel oprávněn odstoupit od této smlouvy s účinky ex </w:t>
      </w:r>
      <w:proofErr w:type="spellStart"/>
      <w:r>
        <w:rPr>
          <w:rStyle w:val="Zkladntext"/>
        </w:rPr>
        <w:t>tunc</w:t>
      </w:r>
      <w:proofErr w:type="spellEnd"/>
      <w:r>
        <w:rPr>
          <w:rStyle w:val="Zkladntext"/>
        </w:rPr>
        <w:t>.</w:t>
      </w:r>
    </w:p>
    <w:p w:rsidR="00BD496C" w:rsidRDefault="00B67E68">
      <w:pPr>
        <w:pStyle w:val="Zkladntext1"/>
        <w:numPr>
          <w:ilvl w:val="0"/>
          <w:numId w:val="1"/>
        </w:numPr>
        <w:tabs>
          <w:tab w:val="left" w:pos="434"/>
        </w:tabs>
        <w:ind w:left="400" w:hanging="400"/>
        <w:jc w:val="both"/>
      </w:pPr>
      <w:r>
        <w:rPr>
          <w:rStyle w:val="Zkladntext"/>
        </w:rPr>
        <w:t>Není-l</w:t>
      </w:r>
      <w:r>
        <w:rPr>
          <w:rStyle w:val="Zkladntext"/>
        </w:rPr>
        <w:t xml:space="preserve">i touto smlouvou ujednáno jinak, řídí se vzájemný právní vztah mezi převodcem a nabyvatelem dle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 xml:space="preserve">. § 2079 až § 2084 zák. č. 89/2012 Sb., občanského zákoníku,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 xml:space="preserve">. § 2358 a násl. zák. č. 89/2012 Sb., občanského zákoníku a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2586 a násl. zák. č. 89/20</w:t>
      </w:r>
      <w:r>
        <w:rPr>
          <w:rStyle w:val="Zkladntext"/>
        </w:rPr>
        <w:t xml:space="preserve">12 Sb., občanského zákoníku. Obě strany přitom vylučují aplikaci tzv. obchodních zvyklostí na tento vztah mezi oběma stranami ve smyslu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558 zák. č. 89/2012 Sb., občanského zákoníku.</w:t>
      </w:r>
    </w:p>
    <w:p w:rsidR="00BD496C" w:rsidRDefault="00B67E68">
      <w:pPr>
        <w:pStyle w:val="Zkladntext1"/>
        <w:numPr>
          <w:ilvl w:val="0"/>
          <w:numId w:val="1"/>
        </w:numPr>
        <w:tabs>
          <w:tab w:val="left" w:pos="434"/>
        </w:tabs>
        <w:spacing w:line="266" w:lineRule="auto"/>
      </w:pPr>
      <w:r>
        <w:rPr>
          <w:rStyle w:val="Zkladntext"/>
        </w:rPr>
        <w:t xml:space="preserve">Tuto smlouvu lze změnit nebo zrušit pouze jinou písemnou dohodu </w:t>
      </w:r>
      <w:r>
        <w:rPr>
          <w:rStyle w:val="Zkladntext"/>
        </w:rPr>
        <w:t>obou smluvních stran.</w:t>
      </w:r>
    </w:p>
    <w:p w:rsidR="00BD496C" w:rsidRDefault="00B67E68">
      <w:pPr>
        <w:pStyle w:val="Zkladntext1"/>
        <w:numPr>
          <w:ilvl w:val="0"/>
          <w:numId w:val="1"/>
        </w:numPr>
        <w:tabs>
          <w:tab w:val="left" w:pos="439"/>
        </w:tabs>
        <w:spacing w:line="266" w:lineRule="auto"/>
        <w:ind w:left="400" w:hanging="400"/>
        <w:jc w:val="both"/>
      </w:pPr>
      <w:r>
        <w:rPr>
          <w:rStyle w:val="Zkladntext"/>
        </w:rPr>
        <w:t>Tato smlouva se uzavírá na základě návrhu na její uzavření ze strany nabyvatele. Předpokladem uzavření této smlouvy je její písemná forma a dohoda o celém jejím obsahu jak je obsažen v jejích článcích 1 až 21.</w:t>
      </w:r>
    </w:p>
    <w:p w:rsidR="00BD496C" w:rsidRDefault="00B67E68">
      <w:pPr>
        <w:pStyle w:val="Zkladntext1"/>
        <w:numPr>
          <w:ilvl w:val="0"/>
          <w:numId w:val="1"/>
        </w:numPr>
        <w:tabs>
          <w:tab w:val="left" w:pos="439"/>
        </w:tabs>
        <w:spacing w:line="276" w:lineRule="auto"/>
        <w:ind w:left="400" w:hanging="400"/>
        <w:jc w:val="both"/>
      </w:pPr>
      <w:r>
        <w:rPr>
          <w:rStyle w:val="Zkladntext"/>
        </w:rPr>
        <w:t>Kupující přitom předem v</w:t>
      </w:r>
      <w:r>
        <w:rPr>
          <w:rStyle w:val="Zkladntext"/>
        </w:rPr>
        <w:t xml:space="preserve">ylučuje přijetí tohoto návrhu s dodatkem nebo odchylkou ve smyslu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1740 odst. 3 zák. č. 89/2012 Sb., občanského zákoníku.</w:t>
      </w:r>
    </w:p>
    <w:p w:rsidR="00BD496C" w:rsidRDefault="00B67E68">
      <w:pPr>
        <w:pStyle w:val="Zkladntext1"/>
        <w:numPr>
          <w:ilvl w:val="0"/>
          <w:numId w:val="1"/>
        </w:numPr>
        <w:tabs>
          <w:tab w:val="left" w:pos="443"/>
        </w:tabs>
        <w:spacing w:line="266" w:lineRule="auto"/>
        <w:ind w:left="400" w:hanging="400"/>
        <w:jc w:val="both"/>
      </w:pPr>
      <w:r>
        <w:rPr>
          <w:rStyle w:val="Zkladntext"/>
        </w:rPr>
        <w:t>Tato smlouva nabývá platnosti dnem jejího uzavření a účinnosti jejího uveřejnění v registru smluv dle zákona č. 340/2015 Sb. o r</w:t>
      </w:r>
      <w:r>
        <w:rPr>
          <w:rStyle w:val="Zkladntext"/>
        </w:rPr>
        <w:t>egistru smluv.</w:t>
      </w:r>
    </w:p>
    <w:p w:rsidR="00BD496C" w:rsidRDefault="00B67E68">
      <w:pPr>
        <w:pStyle w:val="Zkladntext1"/>
        <w:numPr>
          <w:ilvl w:val="0"/>
          <w:numId w:val="1"/>
        </w:numPr>
        <w:tabs>
          <w:tab w:val="left" w:pos="443"/>
        </w:tabs>
        <w:spacing w:after="440" w:line="276" w:lineRule="auto"/>
        <w:ind w:left="400" w:hanging="40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893445</wp:posOffset>
                </wp:positionH>
                <wp:positionV relativeFrom="paragraph">
                  <wp:posOffset>558800</wp:posOffset>
                </wp:positionV>
                <wp:extent cx="688975" cy="19177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D496C" w:rsidRDefault="00B67E68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V Brně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0.350000000000009pt;margin-top:44.pt;width:54.25pt;height:15.1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Brně dne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</w:rPr>
        <w:t>Dáno ve dvou originálních písemných vyhotoveních, z nichž každá ze smluvních stran obdrží po jednom.</w:t>
      </w:r>
    </w:p>
    <w:p w:rsidR="00BD496C" w:rsidRDefault="00B67E68">
      <w:pPr>
        <w:pStyle w:val="Zkladntext1"/>
        <w:spacing w:after="1400" w:line="240" w:lineRule="auto"/>
        <w:ind w:left="4080"/>
      </w:pPr>
      <w:r>
        <w:rPr>
          <w:noProof/>
          <w:lang w:bidi="ar-SA"/>
        </w:rPr>
        <mc:AlternateContent>
          <mc:Choice Requires="wps">
            <w:drawing>
              <wp:anchor distT="100330" distB="899160" distL="275590" distR="1635760" simplePos="0" relativeHeight="125829383" behindDoc="0" locked="0" layoutInCell="1" allowOverlap="1">
                <wp:simplePos x="0" y="0"/>
                <wp:positionH relativeFrom="page">
                  <wp:posOffset>4441190</wp:posOffset>
                </wp:positionH>
                <wp:positionV relativeFrom="paragraph">
                  <wp:posOffset>341630</wp:posOffset>
                </wp:positionV>
                <wp:extent cx="701040" cy="28956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D496C" w:rsidRDefault="00B67E68">
                            <w:pPr>
                              <w:pStyle w:val="Zkladntext40"/>
                            </w:pPr>
                            <w:proofErr w:type="gramStart"/>
                            <w:r>
                              <w:rPr>
                                <w:rStyle w:val="Zkladntext4"/>
                              </w:rPr>
                              <w:t>PŘE</w:t>
                            </w:r>
                            <w:r>
                              <w:rPr>
                                <w:rStyle w:val="Zkladntext4"/>
                                <w:spacing w:val="31"/>
                                <w:shd w:val="clear" w:color="auto" w:fill="000000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49.69999999999999pt;margin-top:26.900000000000002pt;width:55.200000000000003pt;height:22.800000000000001pt;z-index:-125829370;mso-wrap-distance-left:21.699999999999999pt;mso-wrap-distance-top:7.9000000000000004pt;mso-wrap-distance-right:128.80000000000001pt;mso-wrap-distance-bottom:70.799999999999997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PŘE</w:t>
                      </w:r>
                      <w:r>
                        <w:rPr>
                          <w:rStyle w:val="CharStyle5"/>
                          <w:spacing w:val="31"/>
                          <w:shd w:val="clear" w:color="auto" w:fill="000000"/>
                        </w:rPr>
                        <w:t>..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90855" distB="657860" distL="269875" distR="1040765" simplePos="0" relativeHeight="125829385" behindDoc="0" locked="0" layoutInCell="1" allowOverlap="1">
                <wp:simplePos x="0" y="0"/>
                <wp:positionH relativeFrom="page">
                  <wp:posOffset>4435475</wp:posOffset>
                </wp:positionH>
                <wp:positionV relativeFrom="paragraph">
                  <wp:posOffset>732155</wp:posOffset>
                </wp:positionV>
                <wp:extent cx="1301750" cy="140335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D496C" w:rsidRDefault="00B67E68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 xml:space="preserve">veselé </w:t>
                            </w:r>
                            <w:proofErr w:type="gramStart"/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 xml:space="preserve">169/24, </w:t>
                            </w:r>
                            <w:r>
                              <w:rPr>
                                <w:rStyle w:val="Zkladntext2"/>
                                <w:b/>
                                <w:bCs/>
                                <w:spacing w:val="2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Zkladntext2"/>
                                <w:b/>
                                <w:bCs/>
                                <w:spacing w:val="3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Zkladntext2"/>
                                <w:b/>
                                <w:bCs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2"/>
                                <w:b/>
                                <w:bCs/>
                                <w:spacing w:val="7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Zkladntext2"/>
                                <w:b/>
                                <w:bCs/>
                                <w:spacing w:val="8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Zkladntext2"/>
                                <w:b/>
                                <w:bCs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2"/>
                                <w:b/>
                                <w:bCs/>
                                <w:spacing w:val="1"/>
                                <w:shd w:val="clear" w:color="auto" w:fill="000000"/>
                              </w:rPr>
                              <w:t>..............</w:t>
                            </w:r>
                            <w:r>
                              <w:rPr>
                                <w:rStyle w:val="Zkladntext2"/>
                                <w:b/>
                                <w:bCs/>
                                <w:spacing w:val="2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Zkladntext2"/>
                                <w:b/>
                                <w:bCs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2"/>
                                <w:b/>
                                <w:bCs/>
                                <w:spacing w:val="32"/>
                                <w:shd w:val="clear" w:color="auto" w:fill="000000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49.25pt;margin-top:57.649999999999999pt;width:102.5pt;height:11.050000000000001pt;z-index:-125829368;mso-wrap-distance-left:21.25pt;mso-wrap-distance-top:38.649999999999999pt;mso-wrap-distance-right:81.950000000000003pt;mso-wrap-distance-bottom:51.800000000000004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  <w:b/>
                          <w:bCs/>
                        </w:rPr>
                        <w:t xml:space="preserve">veselé 169/24, </w:t>
                      </w:r>
                      <w:r>
                        <w:rPr>
                          <w:rStyle w:val="CharStyle8"/>
                          <w:b/>
                          <w:bCs/>
                          <w:spacing w:val="2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8"/>
                          <w:b/>
                          <w:bCs/>
                          <w:spacing w:val="3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8"/>
                          <w:b/>
                          <w:bCs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8"/>
                          <w:b/>
                          <w:bCs/>
                          <w:spacing w:val="7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8"/>
                          <w:b/>
                          <w:bCs/>
                          <w:spacing w:val="8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8"/>
                          <w:b/>
                          <w:bCs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8"/>
                          <w:b/>
                          <w:bCs/>
                          <w:spacing w:val="1"/>
                          <w:shd w:val="clear" w:color="auto" w:fill="000000"/>
                        </w:rPr>
                        <w:t>..............</w:t>
                      </w:r>
                      <w:r>
                        <w:rPr>
                          <w:rStyle w:val="CharStyle8"/>
                          <w:b/>
                          <w:bCs/>
                          <w:spacing w:val="2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8"/>
                          <w:b/>
                          <w:bCs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8"/>
                          <w:b/>
                          <w:bCs/>
                          <w:spacing w:val="32"/>
                          <w:shd w:val="clear" w:color="auto" w:fill="000000"/>
                        </w:rPr>
                        <w:t>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982980" distR="114300" simplePos="0" relativeHeight="125829387" behindDoc="0" locked="0" layoutInCell="1" allowOverlap="1">
            <wp:simplePos x="0" y="0"/>
            <wp:positionH relativeFrom="page">
              <wp:posOffset>5148580</wp:posOffset>
            </wp:positionH>
            <wp:positionV relativeFrom="paragraph">
              <wp:posOffset>241300</wp:posOffset>
            </wp:positionV>
            <wp:extent cx="1517650" cy="1292225"/>
            <wp:effectExtent l="0" t="0" r="0" b="0"/>
            <wp:wrapSquare wrapText="left"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517650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4279900</wp:posOffset>
                </wp:positionH>
                <wp:positionV relativeFrom="paragraph">
                  <wp:posOffset>1027430</wp:posOffset>
                </wp:positionV>
                <wp:extent cx="1121410" cy="44831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410" cy="448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D496C" w:rsidRDefault="00B67E68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</w:rPr>
                              <w:t xml:space="preserve">Mgr. </w:t>
                            </w:r>
                            <w:proofErr w:type="gramStart"/>
                            <w:r>
                              <w:rPr>
                                <w:rStyle w:val="Titulekobrzku"/>
                              </w:rPr>
                              <w:t xml:space="preserve">Martin </w:t>
                            </w:r>
                            <w:r>
                              <w:rPr>
                                <w:rStyle w:val="Titulekobrzku"/>
                                <w:spacing w:val="1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Titulekobrzku"/>
                                <w:spacing w:val="2"/>
                                <w:shd w:val="clear" w:color="auto" w:fill="000000"/>
                              </w:rPr>
                              <w:t>.........</w:t>
                            </w:r>
                            <w:r>
                              <w:rPr>
                                <w:rStyle w:val="Titulekobrzku"/>
                              </w:rPr>
                              <w:t xml:space="preserve"> jednatel</w:t>
                            </w:r>
                            <w:proofErr w:type="gramEnd"/>
                            <w:r>
                              <w:rPr>
                                <w:rStyle w:val="Titulekobrzku"/>
                              </w:rPr>
                              <w:t xml:space="preserve"> </w:t>
                            </w:r>
                            <w:r>
                              <w:rPr>
                                <w:rStyle w:val="Titulekobrzku"/>
                                <w:b/>
                                <w:bCs/>
                              </w:rPr>
                              <w:t>Prodávající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37.pt;margin-top:80.900000000000006pt;width:88.299999999999997pt;height:35.300000000000004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17"/>
                        </w:rPr>
                        <w:t xml:space="preserve">Mgr. Martin </w:t>
                      </w:r>
                      <w:r>
                        <w:rPr>
                          <w:rStyle w:val="CharStyle17"/>
                          <w:spacing w:val="1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17"/>
                          <w:spacing w:val="2"/>
                          <w:shd w:val="clear" w:color="auto" w:fill="000000"/>
                        </w:rPr>
                        <w:t>.........</w:t>
                      </w:r>
                      <w:r>
                        <w:rPr>
                          <w:rStyle w:val="CharStyle17"/>
                        </w:rPr>
                        <w:t xml:space="preserve"> jednatel </w:t>
                      </w:r>
                      <w:r>
                        <w:rPr>
                          <w:rStyle w:val="CharStyle17"/>
                          <w:b/>
                          <w:bCs/>
                        </w:rPr>
                        <w:t>Prodávající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Style w:val="Zkladntext"/>
        </w:rPr>
        <w:t>V Brně dne 25^ŽŮ2T</w:t>
      </w:r>
    </w:p>
    <w:p w:rsidR="00BD496C" w:rsidRDefault="00B67E68">
      <w:pPr>
        <w:pStyle w:val="Zkladntext1"/>
        <w:spacing w:after="0" w:line="240" w:lineRule="auto"/>
      </w:pPr>
      <w:r>
        <w:rPr>
          <w:rStyle w:val="Zkladntext"/>
        </w:rPr>
        <w:t xml:space="preserve">MUDr. </w:t>
      </w:r>
      <w:proofErr w:type="gramStart"/>
      <w:r>
        <w:rPr>
          <w:rStyle w:val="Zkladntext"/>
        </w:rPr>
        <w:t>Han</w:t>
      </w:r>
      <w:r>
        <w:rPr>
          <w:rStyle w:val="Zkladntext"/>
          <w:spacing w:val="20"/>
          <w:shd w:val="clear" w:color="auto" w:fill="000000"/>
        </w:rPr>
        <w:t>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2"/>
          <w:shd w:val="clear" w:color="auto" w:fill="000000"/>
        </w:rPr>
        <w:t>.....</w:t>
      </w:r>
      <w:r>
        <w:rPr>
          <w:rStyle w:val="Zkladntext"/>
          <w:spacing w:val="3"/>
          <w:shd w:val="clear" w:color="auto" w:fill="000000"/>
        </w:rPr>
        <w:t>.............</w:t>
      </w:r>
      <w:proofErr w:type="gramEnd"/>
    </w:p>
    <w:p w:rsidR="00BD496C" w:rsidRDefault="00B67E68">
      <w:pPr>
        <w:pStyle w:val="Zkladntext1"/>
        <w:spacing w:after="0" w:line="240" w:lineRule="auto"/>
      </w:pPr>
      <w:r>
        <w:rPr>
          <w:rStyle w:val="Zkladntext"/>
        </w:rPr>
        <w:t xml:space="preserve">re d i tel </w:t>
      </w:r>
      <w:proofErr w:type="spellStart"/>
      <w:r>
        <w:rPr>
          <w:rStyle w:val="Zkladntext"/>
        </w:rPr>
        <w:t>ka</w:t>
      </w:r>
      <w:proofErr w:type="spellEnd"/>
    </w:p>
    <w:p w:rsidR="00BD496C" w:rsidRDefault="00B67E68">
      <w:pPr>
        <w:pStyle w:val="Zkladntext1"/>
        <w:spacing w:after="0" w:line="240" w:lineRule="auto"/>
      </w:pPr>
      <w:r>
        <w:rPr>
          <w:rStyle w:val="Zkladntext"/>
          <w:b/>
          <w:bCs/>
        </w:rPr>
        <w:t xml:space="preserve">Kupující </w:t>
      </w:r>
      <w:r>
        <w:rPr>
          <w:rStyle w:val="Zkladntext"/>
          <w:color w:val="64A8E3"/>
        </w:rPr>
        <w:t>Zdravotnická záchranná služba</w:t>
      </w:r>
    </w:p>
    <w:p w:rsidR="00BD496C" w:rsidRDefault="00B67E68">
      <w:pPr>
        <w:pStyle w:val="Zkladntext1"/>
        <w:spacing w:after="0" w:line="240" w:lineRule="auto"/>
        <w:ind w:left="1220"/>
      </w:pPr>
      <w:r>
        <w:rPr>
          <w:rStyle w:val="Zkladntext"/>
          <w:color w:val="64A8E3"/>
        </w:rPr>
        <w:t>Jihomoravského kraje, p o</w:t>
      </w:r>
    </w:p>
    <w:p w:rsidR="00BD496C" w:rsidRDefault="00B67E68">
      <w:pPr>
        <w:pStyle w:val="Zkladntext1"/>
        <w:spacing w:after="0" w:line="233" w:lineRule="auto"/>
        <w:ind w:left="1040"/>
      </w:pPr>
      <w:r>
        <w:rPr>
          <w:rStyle w:val="Zkladntext"/>
          <w:color w:val="64A8E3"/>
        </w:rPr>
        <w:t>Kamenice 798/1 d, 625 00 Brno</w:t>
      </w:r>
    </w:p>
    <w:p w:rsidR="00B67E68" w:rsidRDefault="00B67E68" w:rsidP="00E176D0">
      <w:pPr>
        <w:pStyle w:val="Titulektabulky0"/>
      </w:pPr>
      <w:bookmarkStart w:id="2" w:name="_GoBack"/>
      <w:bookmarkEnd w:id="2"/>
    </w:p>
    <w:sectPr w:rsidR="00B67E68">
      <w:footerReference w:type="default" r:id="rId9"/>
      <w:pgSz w:w="11900" w:h="16840"/>
      <w:pgMar w:top="1518" w:right="1354" w:bottom="1518" w:left="13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E68" w:rsidRDefault="00B67E68">
      <w:r>
        <w:separator/>
      </w:r>
    </w:p>
  </w:endnote>
  <w:endnote w:type="continuationSeparator" w:id="0">
    <w:p w:rsidR="00B67E68" w:rsidRDefault="00B6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96C" w:rsidRDefault="00B67E6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902970</wp:posOffset>
              </wp:positionH>
              <wp:positionV relativeFrom="page">
                <wp:posOffset>10099675</wp:posOffset>
              </wp:positionV>
              <wp:extent cx="2298065" cy="10668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06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D496C" w:rsidRDefault="00B67E68">
                          <w:pPr>
                            <w:pStyle w:val="Zhlavnebozpat20"/>
                          </w:pPr>
                          <w:r>
                            <w:rPr>
                              <w:rStyle w:val="Zhlavnebozpat2"/>
                              <w:rFonts w:ascii="Calibri" w:eastAsia="Calibri" w:hAnsi="Calibri" w:cs="Calibri"/>
                            </w:rPr>
                            <w:t>Veřejná zakázka 32-21: Licence MS Exchange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71.100000000000009pt;margin-top:795.25pt;width:180.95000000000002pt;height:8.4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24"/>
                        <w:rFonts w:ascii="Calibri" w:eastAsia="Calibri" w:hAnsi="Calibri" w:cs="Calibri"/>
                        <w:sz w:val="20"/>
                        <w:szCs w:val="20"/>
                      </w:rPr>
                      <w:t>Veřejná zakázka 32-21: Licence MS Exchange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E68" w:rsidRDefault="00B67E68"/>
  </w:footnote>
  <w:footnote w:type="continuationSeparator" w:id="0">
    <w:p w:rsidR="00B67E68" w:rsidRDefault="00B67E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82B81"/>
    <w:multiLevelType w:val="multilevel"/>
    <w:tmpl w:val="46848BA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8C5271"/>
    <w:multiLevelType w:val="multilevel"/>
    <w:tmpl w:val="1A62AAF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96C"/>
    <w:rsid w:val="00B67E68"/>
    <w:rsid w:val="00BD496C"/>
    <w:rsid w:val="00E1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54438"/>
  <w15:docId w15:val="{822472C7-04AB-4FB2-AE81-80308C44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pacing w:after="220" w:line="264" w:lineRule="auto"/>
    </w:pPr>
    <w:rPr>
      <w:rFonts w:ascii="Arial" w:eastAsia="Arial" w:hAnsi="Arial" w:cs="Arial"/>
      <w:sz w:val="18"/>
      <w:szCs w:val="18"/>
    </w:rPr>
  </w:style>
  <w:style w:type="paragraph" w:customStyle="1" w:styleId="Zkladntext40">
    <w:name w:val="Základní text (4)"/>
    <w:basedOn w:val="Normln"/>
    <w:link w:val="Zkladntext4"/>
    <w:rPr>
      <w:rFonts w:ascii="Arial" w:eastAsia="Arial" w:hAnsi="Arial" w:cs="Arial"/>
      <w:sz w:val="38"/>
      <w:szCs w:val="38"/>
    </w:rPr>
  </w:style>
  <w:style w:type="paragraph" w:customStyle="1" w:styleId="Zkladntext20">
    <w:name w:val="Základní text (2)"/>
    <w:basedOn w:val="Normln"/>
    <w:link w:val="Zkladntext2"/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Titulekobrzku0">
    <w:name w:val="Titulek obrázku"/>
    <w:basedOn w:val="Normln"/>
    <w:link w:val="Titulekobrzku"/>
    <w:pPr>
      <w:spacing w:line="262" w:lineRule="auto"/>
    </w:pPr>
    <w:rPr>
      <w:rFonts w:ascii="Arial" w:eastAsia="Arial" w:hAnsi="Arial" w:cs="Arial"/>
      <w:sz w:val="18"/>
      <w:szCs w:val="18"/>
    </w:rPr>
  </w:style>
  <w:style w:type="paragraph" w:customStyle="1" w:styleId="Nadpis10">
    <w:name w:val="Nadpis #1"/>
    <w:basedOn w:val="Normln"/>
    <w:link w:val="Nadpis1"/>
    <w:pPr>
      <w:ind w:right="640"/>
      <w:jc w:val="right"/>
      <w:outlineLvl w:val="0"/>
    </w:pPr>
    <w:rPr>
      <w:rFonts w:ascii="Arial" w:eastAsia="Arial" w:hAnsi="Arial" w:cs="Arial"/>
      <w:sz w:val="64"/>
      <w:szCs w:val="64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pacing w:after="680"/>
      <w:ind w:right="640"/>
      <w:jc w:val="right"/>
    </w:pPr>
    <w:rPr>
      <w:rFonts w:ascii="Calibri" w:eastAsia="Calibri" w:hAnsi="Calibri" w:cs="Calibri"/>
      <w:sz w:val="20"/>
      <w:szCs w:val="20"/>
    </w:rPr>
  </w:style>
  <w:style w:type="paragraph" w:customStyle="1" w:styleId="Nadpis20">
    <w:name w:val="Nadpis #2"/>
    <w:basedOn w:val="Normln"/>
    <w:link w:val="Nadpis2"/>
    <w:pPr>
      <w:spacing w:line="218" w:lineRule="auto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sz w:val="18"/>
      <w:szCs w:val="18"/>
    </w:rPr>
  </w:style>
  <w:style w:type="paragraph" w:customStyle="1" w:styleId="Jin0">
    <w:name w:val="Jiné"/>
    <w:basedOn w:val="Normln"/>
    <w:link w:val="Jin"/>
    <w:pPr>
      <w:spacing w:after="220" w:line="264" w:lineRule="auto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1141</Words>
  <Characters>6734</Characters>
  <Application>Microsoft Office Word</Application>
  <DocSecurity>0</DocSecurity>
  <Lines>56</Lines>
  <Paragraphs>15</Paragraphs>
  <ScaleCrop>false</ScaleCrop>
  <Company>HP Inc.</Company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2021-09-13T11:34:00Z</dcterms:created>
  <dcterms:modified xsi:type="dcterms:W3CDTF">2021-09-13T11:34:00Z</dcterms:modified>
</cp:coreProperties>
</file>