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57" w:rsidRPr="000D5920" w:rsidRDefault="00CD4A63" w:rsidP="004F5A57">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4F5A57" w:rsidRPr="00400A69" w:rsidRDefault="00CD4A63" w:rsidP="004F5A57">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4F5A57" w:rsidRPr="000D5920" w:rsidRDefault="00CD4A63" w:rsidP="004F5A57">
      <w:pPr>
        <w:pStyle w:val="Nzev"/>
        <w:spacing w:line="276" w:lineRule="auto"/>
        <w:rPr>
          <w:rFonts w:ascii="Arial" w:hAnsi="Arial" w:cs="Arial"/>
          <w:b w:val="0"/>
          <w:bCs/>
          <w:sz w:val="20"/>
        </w:rPr>
      </w:pPr>
      <w:r w:rsidRPr="000D5920">
        <w:rPr>
          <w:rFonts w:ascii="Arial" w:hAnsi="Arial" w:cs="Arial"/>
          <w:b w:val="0"/>
          <w:bCs/>
          <w:sz w:val="20"/>
        </w:rPr>
        <w:t>(dále jen „smlouva“)</w:t>
      </w:r>
    </w:p>
    <w:p w:rsidR="004F5A57" w:rsidRPr="000D5920" w:rsidRDefault="00CD4A63" w:rsidP="004F5A57">
      <w:pPr>
        <w:pStyle w:val="Bezseznamu1"/>
        <w:spacing w:before="60"/>
        <w:rPr>
          <w:rFonts w:ascii="Arial" w:hAnsi="Arial" w:cs="Arial"/>
          <w:bCs/>
        </w:rPr>
      </w:pPr>
      <w:r w:rsidRPr="000D5920">
        <w:rPr>
          <w:rFonts w:ascii="Arial" w:eastAsia="Arial" w:hAnsi="Arial" w:cs="Arial"/>
        </w:rPr>
        <w:t xml:space="preserve">číslo smlouvy objednatele: </w:t>
      </w:r>
      <w:r w:rsidR="00457864" w:rsidRPr="00457864">
        <w:rPr>
          <w:rFonts w:ascii="Arial" w:eastAsia="Arial" w:hAnsi="Arial" w:cs="Arial"/>
        </w:rPr>
        <w:t>8500000267</w:t>
      </w:r>
    </w:p>
    <w:p w:rsidR="004F5A57" w:rsidRPr="000D5920" w:rsidRDefault="00CD4A63" w:rsidP="004F5A57">
      <w:pPr>
        <w:pStyle w:val="Bezseznamu1"/>
        <w:rPr>
          <w:rFonts w:ascii="Arial" w:eastAsia="Arial" w:hAnsi="Arial" w:cs="Arial"/>
        </w:rPr>
      </w:pPr>
      <w:r w:rsidRPr="00131BFC">
        <w:rPr>
          <w:rFonts w:ascii="Arial" w:eastAsia="Arial" w:hAnsi="Arial" w:cs="Arial"/>
        </w:rPr>
        <w:t xml:space="preserve">číslo smlouvy dodavatele: </w:t>
      </w:r>
    </w:p>
    <w:p w:rsidR="004F5A57" w:rsidRPr="00400A69" w:rsidRDefault="00CD4A63" w:rsidP="004F5A57">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4F5A57" w:rsidRPr="000D5920" w:rsidRDefault="00CD4A63" w:rsidP="004F5A57">
      <w:pPr>
        <w:pStyle w:val="Bezseznamu1"/>
        <w:spacing w:after="60"/>
        <w:rPr>
          <w:rFonts w:ascii="Arial" w:hAnsi="Arial" w:cs="Arial"/>
          <w:b/>
          <w:bCs/>
        </w:rPr>
      </w:pPr>
      <w:r w:rsidRPr="000D5920">
        <w:rPr>
          <w:rFonts w:ascii="Arial" w:hAnsi="Arial" w:cs="Arial"/>
          <w:b/>
          <w:bCs/>
        </w:rPr>
        <w:t>Správa a údržba silnic Plzeňského kraje, p.o.</w:t>
      </w:r>
    </w:p>
    <w:p w:rsidR="004F5A57" w:rsidRPr="000D5920" w:rsidRDefault="00CD4A63" w:rsidP="004F5A57">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4F5A57" w:rsidRPr="000D5920" w:rsidRDefault="00CD4A63" w:rsidP="004F5A57">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4F5A57" w:rsidRPr="000D5920" w:rsidRDefault="00CD4A63" w:rsidP="004F5A57">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415258">
        <w:rPr>
          <w:rFonts w:ascii="Arial" w:eastAsia="Arial" w:hAnsi="Arial" w:cs="Arial"/>
          <w:bCs/>
        </w:rPr>
        <w:t>Bc. Pavel Panuška</w:t>
      </w:r>
      <w:r w:rsidRPr="000D5920">
        <w:rPr>
          <w:rFonts w:ascii="Arial" w:hAnsi="Arial" w:cs="Arial"/>
        </w:rPr>
        <w:t xml:space="preserve">, </w:t>
      </w:r>
      <w:r w:rsidR="00415258">
        <w:rPr>
          <w:rFonts w:ascii="Arial" w:eastAsia="Arial" w:hAnsi="Arial" w:cs="Arial"/>
          <w:bCs/>
        </w:rPr>
        <w:t xml:space="preserve">generální ředitel </w:t>
      </w:r>
    </w:p>
    <w:p w:rsidR="004F5A57" w:rsidRDefault="00CD4A63" w:rsidP="004F5A57">
      <w:pPr>
        <w:pStyle w:val="Bezseznamu1"/>
        <w:spacing w:after="120"/>
        <w:rPr>
          <w:rFonts w:ascii="Arial" w:eastAsia="Arial" w:hAnsi="Arial" w:cs="Arial"/>
          <w:bCs/>
          <w:lang w:val="en-US"/>
        </w:rPr>
      </w:pPr>
      <w:r w:rsidRPr="000D5920">
        <w:rPr>
          <w:rFonts w:ascii="Arial" w:eastAsia="Arial" w:hAnsi="Arial" w:cs="Arial"/>
        </w:rPr>
        <w:t>kontaktní osoba</w:t>
      </w:r>
      <w:r w:rsidR="00E9046A">
        <w:rPr>
          <w:rFonts w:ascii="Arial" w:eastAsia="Arial" w:hAnsi="Arial" w:cs="Arial"/>
        </w:rPr>
        <w:t xml:space="preserve"> oprávněná k převzetí předmětu plnění</w:t>
      </w:r>
      <w:r w:rsidRPr="000D5920">
        <w:rPr>
          <w:rFonts w:ascii="Arial" w:eastAsia="Arial" w:hAnsi="Arial" w:cs="Arial"/>
        </w:rPr>
        <w:t>:</w:t>
      </w:r>
      <w:r w:rsidRPr="000D5920">
        <w:rPr>
          <w:rFonts w:ascii="Arial" w:eastAsia="Arial" w:hAnsi="Arial" w:cs="Arial"/>
          <w:color w:val="808080"/>
        </w:rPr>
        <w:t xml:space="preserve"> </w:t>
      </w:r>
      <w:r w:rsidRPr="000D5920">
        <w:rPr>
          <w:rFonts w:ascii="Arial" w:eastAsia="Arial" w:hAnsi="Arial" w:cs="Arial"/>
          <w:color w:val="808080"/>
        </w:rPr>
        <w:tab/>
      </w:r>
      <w:r w:rsidR="00BE4253">
        <w:rPr>
          <w:rFonts w:ascii="Arial" w:hAnsi="Arial" w:cs="Arial"/>
        </w:rPr>
        <w:t>David Procházka</w:t>
      </w:r>
      <w:r w:rsidRPr="000D5920">
        <w:rPr>
          <w:rFonts w:ascii="Arial" w:eastAsia="Arial" w:hAnsi="Arial" w:cs="Arial"/>
        </w:rPr>
        <w:t>, tel. +420</w:t>
      </w:r>
      <w:r w:rsidR="00BE4253">
        <w:rPr>
          <w:rFonts w:ascii="Arial" w:eastAsia="Arial" w:hAnsi="Arial" w:cs="Arial"/>
        </w:rPr>
        <w:t> </w:t>
      </w:r>
      <w:r w:rsidR="00BE4253">
        <w:rPr>
          <w:rFonts w:ascii="Arial" w:eastAsia="Arial" w:hAnsi="Arial" w:cs="Arial"/>
          <w:bCs/>
        </w:rPr>
        <w:t>603 476 647</w:t>
      </w:r>
      <w:r w:rsidRPr="000D5920">
        <w:rPr>
          <w:rFonts w:ascii="Arial" w:eastAsia="Arial" w:hAnsi="Arial" w:cs="Arial"/>
        </w:rPr>
        <w:t xml:space="preserve">, </w:t>
      </w:r>
      <w:r w:rsidR="00BA7A6C">
        <w:rPr>
          <w:rFonts w:ascii="Arial" w:eastAsia="Arial" w:hAnsi="Arial" w:cs="Arial"/>
        </w:rPr>
        <w:t xml:space="preserve">                          </w:t>
      </w:r>
      <w:r w:rsidRPr="000D5920">
        <w:rPr>
          <w:rFonts w:ascii="Arial" w:eastAsia="Arial" w:hAnsi="Arial" w:cs="Arial"/>
        </w:rPr>
        <w:t xml:space="preserve">e-mail: </w:t>
      </w:r>
      <w:hyperlink r:id="rId9" w:history="1">
        <w:r w:rsidR="00BE4253" w:rsidRPr="009C7983">
          <w:rPr>
            <w:rStyle w:val="Hypertextovodkaz"/>
            <w:rFonts w:ascii="Arial" w:eastAsia="Arial" w:hAnsi="Arial" w:cs="Arial"/>
            <w:bCs/>
          </w:rPr>
          <w:t>david.prochazka</w:t>
        </w:r>
        <w:r w:rsidR="00BE4253" w:rsidRPr="009C7983">
          <w:rPr>
            <w:rStyle w:val="Hypertextovodkaz"/>
            <w:rFonts w:ascii="Arial" w:eastAsia="Arial" w:hAnsi="Arial" w:cs="Arial"/>
            <w:bCs/>
            <w:lang w:val="en-US"/>
          </w:rPr>
          <w:t>@suspk.eu</w:t>
        </w:r>
      </w:hyperlink>
    </w:p>
    <w:p w:rsidR="004F5A57" w:rsidRPr="000D5920" w:rsidRDefault="00CD4A63" w:rsidP="004F5A57">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4F5A57" w:rsidRPr="000D5920" w:rsidRDefault="00CD4A63" w:rsidP="004F5A57">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4F5A57" w:rsidRPr="000D5920" w:rsidRDefault="00BE4253" w:rsidP="004F5A57">
      <w:pPr>
        <w:pStyle w:val="Bezseznamu1"/>
        <w:tabs>
          <w:tab w:val="left" w:pos="284"/>
          <w:tab w:val="left" w:pos="2835"/>
        </w:tabs>
        <w:spacing w:after="60"/>
        <w:rPr>
          <w:rFonts w:ascii="Arial" w:hAnsi="Arial" w:cs="Arial"/>
          <w:b/>
        </w:rPr>
      </w:pPr>
      <w:r>
        <w:rPr>
          <w:rFonts w:ascii="Arial" w:eastAsia="Arial" w:hAnsi="Arial" w:cs="Arial"/>
          <w:b/>
          <w:bCs/>
        </w:rPr>
        <w:t>Ladislav Procházka</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BE4253">
        <w:rPr>
          <w:rFonts w:ascii="Arial" w:eastAsia="Arial" w:hAnsi="Arial" w:cs="Arial"/>
          <w:bCs/>
          <w:sz w:val="20"/>
        </w:rPr>
        <w:t>Žlutická 54</w:t>
      </w:r>
      <w:r w:rsidR="008A659E">
        <w:rPr>
          <w:rFonts w:ascii="Arial" w:eastAsia="Arial" w:hAnsi="Arial" w:cs="Arial"/>
          <w:bCs/>
          <w:sz w:val="20"/>
        </w:rPr>
        <w:t xml:space="preserve">, </w:t>
      </w:r>
      <w:r w:rsidR="00BE4253">
        <w:rPr>
          <w:rFonts w:ascii="Arial" w:eastAsia="Arial" w:hAnsi="Arial" w:cs="Arial"/>
          <w:bCs/>
          <w:sz w:val="20"/>
        </w:rPr>
        <w:t>323 00</w:t>
      </w:r>
      <w:r w:rsidR="008A659E">
        <w:rPr>
          <w:rFonts w:ascii="Arial" w:eastAsia="Arial" w:hAnsi="Arial" w:cs="Arial"/>
          <w:bCs/>
          <w:sz w:val="20"/>
        </w:rPr>
        <w:t xml:space="preserve"> </w:t>
      </w:r>
      <w:r w:rsidR="00BE4253">
        <w:rPr>
          <w:rFonts w:ascii="Arial" w:eastAsia="Arial" w:hAnsi="Arial" w:cs="Arial"/>
          <w:bCs/>
          <w:sz w:val="20"/>
        </w:rPr>
        <w:t>Plzeň</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BE4253">
        <w:rPr>
          <w:rFonts w:ascii="Arial" w:eastAsia="Arial" w:hAnsi="Arial" w:cs="Arial"/>
          <w:bCs/>
          <w:sz w:val="20"/>
        </w:rPr>
        <w:t>63517264</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E042F0">
        <w:rPr>
          <w:rFonts w:ascii="Arial" w:eastAsia="Arial" w:hAnsi="Arial" w:cs="Arial"/>
          <w:bCs/>
          <w:sz w:val="20"/>
        </w:rPr>
        <w:t>CZ</w:t>
      </w:r>
      <w:r w:rsidR="00BE4253">
        <w:rPr>
          <w:rFonts w:ascii="Arial" w:eastAsia="Arial" w:hAnsi="Arial" w:cs="Arial"/>
          <w:bCs/>
          <w:sz w:val="20"/>
        </w:rPr>
        <w:t>6603030555</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EB4B6F">
        <w:rPr>
          <w:rFonts w:ascii="Arial" w:eastAsia="Arial" w:hAnsi="Arial" w:cs="Arial"/>
          <w:bCs/>
        </w:rPr>
        <w:t xml:space="preserve">Ladislav Procházka </w:t>
      </w:r>
    </w:p>
    <w:p w:rsidR="00EB4B6F" w:rsidRDefault="00CD4A63" w:rsidP="004F5A57">
      <w:pPr>
        <w:pStyle w:val="Bezseznamu1"/>
        <w:spacing w:before="120" w:after="120"/>
        <w:rPr>
          <w:rFonts w:ascii="Arial" w:eastAsia="Arial" w:hAnsi="Arial" w:cs="Arial"/>
          <w:lang w:val="en-U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EB4B6F">
        <w:rPr>
          <w:rFonts w:ascii="Arial" w:eastAsia="Arial" w:hAnsi="Arial" w:cs="Arial"/>
          <w:bCs/>
        </w:rPr>
        <w:t>Ladislav Procházka</w:t>
      </w:r>
      <w:r w:rsidRPr="000D5920">
        <w:rPr>
          <w:rFonts w:ascii="Arial" w:eastAsia="Arial" w:hAnsi="Arial" w:cs="Arial"/>
        </w:rPr>
        <w:t>, tel. +420</w:t>
      </w:r>
      <w:r w:rsidR="00EB4B6F">
        <w:rPr>
          <w:rFonts w:ascii="Arial" w:eastAsia="Arial" w:hAnsi="Arial" w:cs="Arial"/>
        </w:rPr>
        <w:t> </w:t>
      </w:r>
      <w:r w:rsidR="00EB4B6F">
        <w:rPr>
          <w:rFonts w:ascii="Arial" w:eastAsia="Arial" w:hAnsi="Arial" w:cs="Arial"/>
          <w:bCs/>
        </w:rPr>
        <w:t>603 476 647</w:t>
      </w:r>
      <w:r w:rsidRPr="000D5920">
        <w:rPr>
          <w:rFonts w:ascii="Arial" w:eastAsia="Arial" w:hAnsi="Arial" w:cs="Arial"/>
        </w:rPr>
        <w:t>, e-mail:</w:t>
      </w:r>
      <w:r w:rsidR="00EB4B6F">
        <w:rPr>
          <w:rFonts w:ascii="Arial" w:eastAsia="Arial" w:hAnsi="Arial" w:cs="Arial"/>
        </w:rPr>
        <w:t xml:space="preserve"> </w:t>
      </w:r>
      <w:hyperlink r:id="rId10" w:history="1">
        <w:r w:rsidR="00EB4B6F" w:rsidRPr="009C7983">
          <w:rPr>
            <w:rStyle w:val="Hypertextovodkaz"/>
            <w:rFonts w:ascii="Arial" w:eastAsia="Arial" w:hAnsi="Arial" w:cs="Arial"/>
          </w:rPr>
          <w:t>ladproch</w:t>
        </w:r>
        <w:r w:rsidR="00EB4B6F" w:rsidRPr="009C7983">
          <w:rPr>
            <w:rStyle w:val="Hypertextovodkaz"/>
            <w:rFonts w:ascii="Arial" w:eastAsia="Arial" w:hAnsi="Arial" w:cs="Arial"/>
            <w:lang w:val="en-US"/>
          </w:rPr>
          <w:t>@volny.cz</w:t>
        </w:r>
      </w:hyperlink>
    </w:p>
    <w:p w:rsidR="004F5A57" w:rsidRPr="000D5920" w:rsidRDefault="00CD4A63" w:rsidP="004F5A57">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E042F0">
        <w:rPr>
          <w:rFonts w:ascii="Arial" w:eastAsia="Arial" w:hAnsi="Arial" w:cs="Arial"/>
          <w:bCs/>
        </w:rPr>
        <w:t>není</w:t>
      </w:r>
    </w:p>
    <w:p w:rsidR="004F5A57" w:rsidRDefault="00CD4A63" w:rsidP="004F5A57">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4F5A57" w:rsidRPr="000D5920" w:rsidRDefault="004F5A57"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EB4B6F">
        <w:rPr>
          <w:rFonts w:ascii="Arial" w:eastAsia="Arial" w:hAnsi="Arial" w:cs="Arial"/>
        </w:rPr>
        <w:t>řez a průklest keřů a stromoví podél silnice I/26 v úseku od MÚK Kyšice po MÚK Ejpovice.</w:t>
      </w:r>
      <w:r w:rsidR="000A3919">
        <w:rPr>
          <w:rFonts w:ascii="Arial" w:eastAsia="Arial" w:hAnsi="Arial" w:cs="Arial"/>
        </w:rPr>
        <w:t xml:space="preserve"> </w:t>
      </w:r>
      <w:r w:rsidR="00EB4B6F">
        <w:rPr>
          <w:rFonts w:ascii="Arial" w:eastAsia="Arial" w:hAnsi="Arial" w:cs="Arial"/>
        </w:rPr>
        <w:t>Rozsah práce je stanoven v rozsahu 5 818m</w:t>
      </w:r>
      <w:r w:rsidR="00B12057">
        <w:rPr>
          <w:b/>
          <w:bCs/>
          <w:vertAlign w:val="superscript"/>
        </w:rPr>
        <w:t>2</w:t>
      </w:r>
      <w:r w:rsidR="00EB4B6F">
        <w:rPr>
          <w:rFonts w:ascii="Arial" w:eastAsia="Arial" w:hAnsi="Arial" w:cs="Arial"/>
        </w:rPr>
        <w:t xml:space="preserve">. </w:t>
      </w:r>
    </w:p>
    <w:p w:rsidR="004F5A57" w:rsidRPr="000D5920" w:rsidRDefault="004F5A57" w:rsidP="004F5A57">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367836">
        <w:rPr>
          <w:rFonts w:ascii="Arial" w:eastAsia="Arial" w:hAnsi="Arial" w:cs="Arial"/>
          <w:bCs/>
        </w:rPr>
        <w:t>3</w:t>
      </w:r>
      <w:r w:rsidR="008A659E">
        <w:rPr>
          <w:rFonts w:ascii="Arial" w:eastAsia="Arial" w:hAnsi="Arial" w:cs="Arial"/>
          <w:bCs/>
        </w:rPr>
        <w:t>1. 03</w:t>
      </w:r>
      <w:r>
        <w:rPr>
          <w:rFonts w:ascii="Arial" w:eastAsia="Arial" w:hAnsi="Arial" w:cs="Arial"/>
          <w:bCs/>
        </w:rPr>
        <w:t>.</w:t>
      </w:r>
      <w:r w:rsidR="00471580">
        <w:rPr>
          <w:rFonts w:ascii="Arial" w:eastAsia="Arial" w:hAnsi="Arial" w:cs="Arial"/>
          <w:bCs/>
        </w:rPr>
        <w:t xml:space="preserve"> 2017</w:t>
      </w:r>
    </w:p>
    <w:p w:rsidR="004F5A57" w:rsidRPr="000D5920" w:rsidRDefault="00EB4B6F"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Místo plnění: Kyšice, Ejpovice</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sidR="00BA7A6C">
        <w:rPr>
          <w:rFonts w:ascii="Arial" w:eastAsia="Arial" w:hAnsi="Arial" w:cs="Arial"/>
          <w:bCs/>
        </w:rPr>
        <w:t>12 měsíců</w:t>
      </w:r>
      <w:r>
        <w:rPr>
          <w:rFonts w:ascii="Arial" w:eastAsia="Arial" w:hAnsi="Arial" w:cs="Arial"/>
          <w:bCs/>
        </w:rPr>
        <w:t>.</w:t>
      </w:r>
    </w:p>
    <w:p w:rsidR="004F5A57"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B12057"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za </w:t>
      </w:r>
      <w:r w:rsidR="00B12057">
        <w:rPr>
          <w:rFonts w:ascii="Arial" w:eastAsia="Arial" w:hAnsi="Arial" w:cs="Arial"/>
        </w:rPr>
        <w:t>řez a průklest keřů 1 m</w:t>
      </w:r>
      <w:r w:rsidR="00B12057">
        <w:rPr>
          <w:b/>
          <w:bCs/>
          <w:vertAlign w:val="superscript"/>
        </w:rPr>
        <w:t xml:space="preserve">2 </w:t>
      </w:r>
      <w:r w:rsidR="00B12057">
        <w:rPr>
          <w:rFonts w:ascii="Arial" w:eastAsia="Arial" w:hAnsi="Arial" w:cs="Arial"/>
        </w:rPr>
        <w:t>činí 50,- Kč bez DPH.</w:t>
      </w:r>
    </w:p>
    <w:p w:rsidR="004F5A57" w:rsidRPr="000D5920" w:rsidRDefault="00B12057" w:rsidP="00B12057">
      <w:pPr>
        <w:pStyle w:val="Bezseznamu1"/>
        <w:spacing w:after="120"/>
        <w:ind w:left="567"/>
        <w:jc w:val="both"/>
        <w:rPr>
          <w:rFonts w:ascii="Arial" w:eastAsia="Arial" w:hAnsi="Arial" w:cs="Arial"/>
        </w:rPr>
      </w:pPr>
      <w:r>
        <w:rPr>
          <w:rFonts w:ascii="Arial" w:eastAsia="Arial" w:hAnsi="Arial" w:cs="Arial"/>
        </w:rPr>
        <w:t>Cena celkem za řádně a</w:t>
      </w:r>
      <w:r w:rsidR="00CD4A63" w:rsidRPr="000D5920">
        <w:rPr>
          <w:rFonts w:ascii="Arial" w:eastAsia="Arial" w:hAnsi="Arial" w:cs="Arial"/>
        </w:rPr>
        <w:t xml:space="preserve"> včas poskytnut</w:t>
      </w:r>
      <w:r w:rsidR="00CD4A63">
        <w:rPr>
          <w:rFonts w:ascii="Arial" w:eastAsia="Arial" w:hAnsi="Arial" w:cs="Arial"/>
        </w:rPr>
        <w:t>ý</w:t>
      </w:r>
      <w:r w:rsidR="00CD4A63" w:rsidRPr="000D5920">
        <w:rPr>
          <w:rFonts w:ascii="Arial" w:eastAsia="Arial" w:hAnsi="Arial" w:cs="Arial"/>
        </w:rPr>
        <w:t xml:space="preserve"> </w:t>
      </w:r>
      <w:r w:rsidR="00CD4A63">
        <w:rPr>
          <w:rFonts w:ascii="Arial" w:eastAsia="Arial" w:hAnsi="Arial" w:cs="Arial"/>
        </w:rPr>
        <w:t xml:space="preserve">předmět </w:t>
      </w:r>
      <w:r>
        <w:rPr>
          <w:rFonts w:ascii="Arial" w:eastAsia="Arial" w:hAnsi="Arial" w:cs="Arial"/>
        </w:rPr>
        <w:t>plnění činí</w:t>
      </w:r>
      <w:r w:rsidR="00CD4A63" w:rsidRPr="000D5920">
        <w:rPr>
          <w:rFonts w:ascii="Arial" w:eastAsia="Arial" w:hAnsi="Arial" w:cs="Arial"/>
        </w:rPr>
        <w:t xml:space="preserve">: </w:t>
      </w:r>
      <w:r w:rsidR="00EB4B6F">
        <w:rPr>
          <w:rFonts w:ascii="Arial" w:eastAsia="Arial" w:hAnsi="Arial" w:cs="Arial"/>
          <w:b/>
        </w:rPr>
        <w:t>290 900</w:t>
      </w:r>
      <w:r w:rsidR="007F71C0">
        <w:rPr>
          <w:rFonts w:ascii="Arial" w:eastAsia="Arial" w:hAnsi="Arial" w:cs="Arial"/>
          <w:b/>
        </w:rPr>
        <w:t>,00</w:t>
      </w:r>
      <w:r w:rsidR="00CD4A63" w:rsidRPr="00204BDC">
        <w:rPr>
          <w:rFonts w:ascii="Arial" w:eastAsia="Arial" w:hAnsi="Arial" w:cs="Arial"/>
          <w:b/>
        </w:rPr>
        <w:t xml:space="preserve"> Kč be</w:t>
      </w:r>
      <w:r w:rsidR="00CD4A63" w:rsidRPr="000D5920">
        <w:rPr>
          <w:rFonts w:ascii="Arial" w:eastAsia="Arial" w:hAnsi="Arial" w:cs="Arial"/>
          <w:b/>
        </w:rPr>
        <w:t>z DPH.</w:t>
      </w:r>
    </w:p>
    <w:p w:rsidR="004F5A57" w:rsidRPr="000D5920" w:rsidRDefault="00CD4A63" w:rsidP="004F5A57">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4F5A57"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4F5A57" w:rsidRPr="000D5920">
        <w:rPr>
          <w:rFonts w:ascii="Arial" w:eastAsia="Arial" w:hAnsi="Arial" w:cs="Arial"/>
        </w:rPr>
        <w:t xml:space="preserve"> </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4F5A57" w:rsidRPr="000D5920" w:rsidRDefault="00CD4A63" w:rsidP="00457864">
      <w:pPr>
        <w:pStyle w:val="Bezseznamu1"/>
        <w:spacing w:after="120"/>
        <w:ind w:firstLine="425"/>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4F5A57" w:rsidRPr="00400A69" w:rsidRDefault="00CD4A63" w:rsidP="004F5A57">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4F5A57" w:rsidRPr="00400A69" w:rsidRDefault="00CD4A63" w:rsidP="004F5A57">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4F5A57" w:rsidRPr="00400A69"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4F5A57" w:rsidRPr="00226011"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4F5A57" w:rsidRPr="00B607AC" w:rsidRDefault="004F5A57" w:rsidP="004F5A57">
      <w:pPr>
        <w:pStyle w:val="Bezseznamu1"/>
        <w:ind w:left="1080"/>
        <w:jc w:val="both"/>
        <w:rPr>
          <w:rFonts w:ascii="Arial" w:eastAsia="Arial" w:hAnsi="Arial" w:cs="Arial"/>
          <w:i/>
          <w:sz w:val="16"/>
          <w:szCs w:val="16"/>
        </w:rPr>
      </w:pPr>
    </w:p>
    <w:p w:rsidR="004F5A57" w:rsidRPr="000D5920" w:rsidRDefault="009B7685" w:rsidP="004F5A57">
      <w:pPr>
        <w:pStyle w:val="Bezseznamu1"/>
        <w:ind w:left="993" w:hanging="993"/>
        <w:rPr>
          <w:rFonts w:ascii="Arial" w:hAnsi="Arial" w:cs="Arial"/>
          <w:i/>
        </w:rPr>
      </w:pPr>
      <w:r>
        <w:rPr>
          <w:rFonts w:ascii="Arial" w:hAnsi="Arial" w:cs="Arial"/>
          <w:i/>
        </w:rPr>
        <w:t>objednatel: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r w:rsidR="005062A1">
        <w:rPr>
          <w:rFonts w:ascii="Arial" w:hAnsi="Arial" w:cs="Arial"/>
          <w:i/>
        </w:rPr>
        <w:t xml:space="preserve">   </w:t>
      </w:r>
      <w:r w:rsidR="00CD4A63" w:rsidRPr="00400A69">
        <w:rPr>
          <w:rFonts w:ascii="Arial" w:hAnsi="Arial" w:cs="Arial"/>
          <w:i/>
        </w:rPr>
        <w:t>dodavatel:</w:t>
      </w:r>
    </w:p>
    <w:p w:rsidR="004F5A57" w:rsidRPr="00B607AC" w:rsidRDefault="004F5A57" w:rsidP="004F5A57">
      <w:pPr>
        <w:pStyle w:val="Bezseznamu1"/>
        <w:rPr>
          <w:rFonts w:ascii="Arial" w:hAnsi="Arial" w:cs="Arial"/>
          <w:sz w:val="16"/>
          <w:szCs w:val="16"/>
        </w:rPr>
      </w:pPr>
    </w:p>
    <w:p w:rsidR="004F5A57" w:rsidRPr="000D5920" w:rsidRDefault="00CD4A63" w:rsidP="004F5A57">
      <w:pPr>
        <w:pStyle w:val="Bezseznamu1"/>
        <w:ind w:left="993" w:hanging="993"/>
        <w:rPr>
          <w:rFonts w:ascii="Arial" w:eastAsia="Arial" w:hAnsi="Arial" w:cs="Arial"/>
        </w:rPr>
      </w:pPr>
      <w:r w:rsidRPr="000D5920">
        <w:rPr>
          <w:rFonts w:ascii="Arial" w:eastAsia="Arial" w:hAnsi="Arial" w:cs="Arial"/>
        </w:rPr>
        <w:t>V Plzni dne</w:t>
      </w:r>
      <w:r w:rsidR="00415258">
        <w:rPr>
          <w:rFonts w:ascii="Arial" w:eastAsia="Arial" w:hAnsi="Arial" w:cs="Arial"/>
        </w:rPr>
        <w:t xml:space="preserve"> </w:t>
      </w:r>
      <w:r w:rsidR="00EB4B6F">
        <w:rPr>
          <w:rFonts w:ascii="Arial" w:eastAsia="Arial" w:hAnsi="Arial" w:cs="Arial"/>
        </w:rPr>
        <w:t>16</w:t>
      </w:r>
      <w:r w:rsidR="00367836">
        <w:rPr>
          <w:rFonts w:ascii="Arial" w:eastAsia="Arial" w:hAnsi="Arial" w:cs="Arial"/>
        </w:rPr>
        <w:t>. 03</w:t>
      </w:r>
      <w:r w:rsidR="00C73603">
        <w:rPr>
          <w:rFonts w:ascii="Arial" w:eastAsia="Arial" w:hAnsi="Arial" w:cs="Arial"/>
        </w:rPr>
        <w:t xml:space="preserve">. </w:t>
      </w:r>
      <w:r w:rsidR="000A3919">
        <w:rPr>
          <w:rFonts w:ascii="Arial" w:eastAsia="Arial" w:hAnsi="Arial" w:cs="Arial"/>
        </w:rPr>
        <w:t>2017</w:t>
      </w:r>
      <w:r w:rsidR="000A3919">
        <w:rPr>
          <w:rFonts w:ascii="Arial" w:eastAsia="Arial" w:hAnsi="Arial" w:cs="Arial"/>
        </w:rPr>
        <w:tab/>
      </w:r>
      <w:r w:rsidR="000A3919">
        <w:rPr>
          <w:rFonts w:ascii="Arial" w:eastAsia="Arial" w:hAnsi="Arial" w:cs="Arial"/>
        </w:rPr>
        <w:tab/>
      </w:r>
      <w:r w:rsidR="000A3919">
        <w:rPr>
          <w:rFonts w:ascii="Arial" w:eastAsia="Arial" w:hAnsi="Arial" w:cs="Arial"/>
        </w:rPr>
        <w:tab/>
      </w:r>
      <w:r w:rsidR="000A3919">
        <w:rPr>
          <w:rFonts w:ascii="Arial" w:eastAsia="Arial" w:hAnsi="Arial" w:cs="Arial"/>
        </w:rPr>
        <w:tab/>
        <w:t xml:space="preserve">      </w:t>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4F5A57" w:rsidRPr="000D5920" w:rsidRDefault="004F5A57" w:rsidP="004F5A57">
      <w:pPr>
        <w:pStyle w:val="Bezseznamu1"/>
        <w:tabs>
          <w:tab w:val="center" w:pos="2268"/>
          <w:tab w:val="center" w:pos="6804"/>
        </w:tabs>
        <w:rPr>
          <w:rFonts w:ascii="Arial" w:eastAsia="Arial" w:hAnsi="Arial" w:cs="Arial"/>
        </w:rPr>
      </w:pPr>
    </w:p>
    <w:p w:rsidR="00415258" w:rsidRDefault="00415258" w:rsidP="004F5A57">
      <w:pPr>
        <w:pStyle w:val="Bezseznamu1"/>
        <w:rPr>
          <w:rFonts w:ascii="Arial" w:hAnsi="Arial" w:cs="Arial"/>
        </w:rPr>
      </w:pPr>
    </w:p>
    <w:p w:rsidR="00415258" w:rsidRDefault="00415258" w:rsidP="004F5A57">
      <w:pPr>
        <w:pStyle w:val="Bezseznamu1"/>
        <w:rPr>
          <w:rFonts w:ascii="Arial" w:hAnsi="Arial" w:cs="Arial"/>
        </w:rPr>
      </w:pPr>
    </w:p>
    <w:p w:rsidR="004F5A57" w:rsidRPr="000D5920" w:rsidRDefault="000A3919" w:rsidP="004F5A57">
      <w:pPr>
        <w:pStyle w:val="Bezseznamu1"/>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t xml:space="preserve">        </w:t>
      </w:r>
      <w:r w:rsidR="00CD4A63" w:rsidRPr="000D5920">
        <w:rPr>
          <w:rFonts w:ascii="Arial" w:hAnsi="Arial" w:cs="Arial"/>
        </w:rPr>
        <w:t>_____________________</w:t>
      </w:r>
    </w:p>
    <w:p w:rsidR="004F5A57" w:rsidRPr="000D5920" w:rsidRDefault="00CD4A63" w:rsidP="000A3919">
      <w:pPr>
        <w:pStyle w:val="Bezseznamu1"/>
        <w:tabs>
          <w:tab w:val="left" w:pos="284"/>
          <w:tab w:val="left" w:pos="2835"/>
        </w:tabs>
        <w:spacing w:after="6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0A3919">
        <w:rPr>
          <w:rFonts w:ascii="Arial" w:eastAsia="Arial" w:hAnsi="Arial" w:cs="Arial"/>
        </w:rPr>
        <w:t xml:space="preserve">        </w:t>
      </w:r>
      <w:r w:rsidR="00EB4B6F">
        <w:rPr>
          <w:rFonts w:ascii="Arial" w:eastAsia="Arial" w:hAnsi="Arial" w:cs="Arial"/>
          <w:b/>
          <w:bCs/>
        </w:rPr>
        <w:t>Ladislav Procházka</w:t>
      </w:r>
    </w:p>
    <w:p w:rsidR="004F5A57" w:rsidRPr="000D5920" w:rsidRDefault="00E9046A" w:rsidP="004F5A57">
      <w:pPr>
        <w:pStyle w:val="Bezseznamu1"/>
        <w:tabs>
          <w:tab w:val="center" w:pos="2268"/>
          <w:tab w:val="center" w:pos="6804"/>
        </w:tabs>
        <w:rPr>
          <w:rFonts w:ascii="Arial" w:eastAsia="Arial" w:hAnsi="Arial" w:cs="Arial"/>
        </w:rPr>
      </w:pPr>
      <w:r>
        <w:rPr>
          <w:rFonts w:ascii="Arial" w:eastAsia="Arial" w:hAnsi="Arial" w:cs="Arial"/>
        </w:rPr>
        <w:t xml:space="preserve">Bc. </w:t>
      </w:r>
      <w:r w:rsidR="00204BDC">
        <w:rPr>
          <w:rFonts w:ascii="Arial" w:eastAsia="Arial" w:hAnsi="Arial" w:cs="Arial"/>
        </w:rPr>
        <w:t xml:space="preserve">Pavel Panuška </w:t>
      </w:r>
      <w:r w:rsidR="00CD4A63" w:rsidRPr="000D5920">
        <w:rPr>
          <w:rFonts w:ascii="Arial" w:eastAsia="Arial" w:hAnsi="Arial" w:cs="Arial"/>
        </w:rPr>
        <w:tab/>
      </w:r>
      <w:r w:rsidR="00CD4A63" w:rsidRPr="000D5920">
        <w:rPr>
          <w:rFonts w:ascii="Arial" w:eastAsia="Arial" w:hAnsi="Arial" w:cs="Arial"/>
        </w:rPr>
        <w:tab/>
      </w:r>
      <w:r w:rsidR="006F4839">
        <w:rPr>
          <w:rFonts w:ascii="Arial" w:eastAsia="Arial" w:hAnsi="Arial" w:cs="Arial"/>
        </w:rPr>
        <w:t xml:space="preserve"> </w:t>
      </w:r>
    </w:p>
    <w:p w:rsidR="004F5A57" w:rsidRPr="000D5920" w:rsidRDefault="00204BDC" w:rsidP="004F5A57">
      <w:pPr>
        <w:pStyle w:val="Bezseznamu1"/>
        <w:tabs>
          <w:tab w:val="center" w:pos="2268"/>
          <w:tab w:val="center" w:pos="6804"/>
        </w:tabs>
        <w:rPr>
          <w:rFonts w:ascii="Arial" w:eastAsia="Arial" w:hAnsi="Arial" w:cs="Arial"/>
        </w:rPr>
      </w:pPr>
      <w:r>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p>
    <w:sectPr w:rsidR="004F5A57" w:rsidRPr="000D5920" w:rsidSect="004F5A57">
      <w:footerReference w:type="default" r:id="rId11"/>
      <w:headerReference w:type="first" r:id="rId12"/>
      <w:footerReference w:type="first" r:id="rId13"/>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53" w:rsidRDefault="00BE4253">
      <w:pPr>
        <w:spacing w:after="0" w:line="240" w:lineRule="auto"/>
      </w:pPr>
      <w:r>
        <w:separator/>
      </w:r>
    </w:p>
  </w:endnote>
  <w:endnote w:type="continuationSeparator" w:id="0">
    <w:p w:rsidR="00BE4253" w:rsidRDefault="00BE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53" w:rsidRDefault="00BE4253"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F276F">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F276F">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53" w:rsidRDefault="00BE4253"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6F276F">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6F276F">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53" w:rsidRDefault="00BE4253">
      <w:pPr>
        <w:spacing w:after="0" w:line="240" w:lineRule="auto"/>
      </w:pPr>
      <w:r>
        <w:separator/>
      </w:r>
    </w:p>
  </w:footnote>
  <w:footnote w:type="continuationSeparator" w:id="0">
    <w:p w:rsidR="00BE4253" w:rsidRDefault="00BE4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53" w:rsidRDefault="00BE4253" w:rsidP="004F5A57">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BE7"/>
    <w:rsid w:val="000A3919"/>
    <w:rsid w:val="001250D9"/>
    <w:rsid w:val="00131BFC"/>
    <w:rsid w:val="00204BDC"/>
    <w:rsid w:val="00290F65"/>
    <w:rsid w:val="00367836"/>
    <w:rsid w:val="00415258"/>
    <w:rsid w:val="00457864"/>
    <w:rsid w:val="00471580"/>
    <w:rsid w:val="004D49F5"/>
    <w:rsid w:val="004F5A57"/>
    <w:rsid w:val="005062A1"/>
    <w:rsid w:val="006F276F"/>
    <w:rsid w:val="006F4839"/>
    <w:rsid w:val="007F71C0"/>
    <w:rsid w:val="008A659E"/>
    <w:rsid w:val="0097005A"/>
    <w:rsid w:val="009B7685"/>
    <w:rsid w:val="00A5215A"/>
    <w:rsid w:val="00B12057"/>
    <w:rsid w:val="00BA7A6C"/>
    <w:rsid w:val="00BE4253"/>
    <w:rsid w:val="00C73603"/>
    <w:rsid w:val="00CD4A63"/>
    <w:rsid w:val="00E042F0"/>
    <w:rsid w:val="00E9046A"/>
    <w:rsid w:val="00EB4B6F"/>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dproch@volny.cz" TargetMode="External"/><Relationship Id="rId4" Type="http://schemas.microsoft.com/office/2007/relationships/stylesWithEffects" Target="stylesWithEffects.xml"/><Relationship Id="rId9" Type="http://schemas.openxmlformats.org/officeDocument/2006/relationships/hyperlink" Target="mailto:david.prochazka@suspk.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F6A0-942A-4622-900B-DE7240B0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48DA0CB3.dotm</Template>
  <TotalTime>0</TotalTime>
  <Pages>2</Pages>
  <Words>625</Words>
  <Characters>3692</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2017-03-24T13:14:00Z</dcterms:created>
  <dcterms:modified xsi:type="dcterms:W3CDTF">2017-03-24T13:14:00Z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