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140" w:rsidRDefault="0072064F">
      <w:pPr>
        <w:pStyle w:val="Nzev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Předávací protokol / licenční smlouva</w:t>
      </w:r>
    </w:p>
    <w:p w:rsidR="00F00140" w:rsidRDefault="0072064F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Přebírající</w:t>
      </w:r>
    </w:p>
    <w:p w:rsidR="00F00140" w:rsidRDefault="0072064F">
      <w:pPr>
        <w:shd w:val="clear" w:color="auto" w:fill="FFFFFF"/>
        <w:spacing w:after="0" w:line="240" w:lineRule="auto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 xml:space="preserve">Název </w:t>
      </w:r>
      <w:r w:rsidR="00042E95" w:rsidRPr="00C47146">
        <w:rPr>
          <w:rFonts w:ascii="Georgia" w:eastAsia="Georgia" w:hAnsi="Georgia" w:cs="Georgia"/>
          <w:b/>
          <w:sz w:val="24"/>
          <w:szCs w:val="24"/>
        </w:rPr>
        <w:t xml:space="preserve">Městská knihovna </w:t>
      </w:r>
      <w:r w:rsidR="00042E95">
        <w:rPr>
          <w:rFonts w:ascii="Georgia" w:eastAsia="Georgia" w:hAnsi="Georgia" w:cs="Georgia"/>
          <w:b/>
          <w:sz w:val="24"/>
          <w:szCs w:val="24"/>
        </w:rPr>
        <w:t>O</w:t>
      </w:r>
      <w:r w:rsidR="00042E95" w:rsidRPr="00C47146">
        <w:rPr>
          <w:rFonts w:ascii="Georgia" w:eastAsia="Georgia" w:hAnsi="Georgia" w:cs="Georgia"/>
          <w:b/>
          <w:sz w:val="24"/>
          <w:szCs w:val="24"/>
        </w:rPr>
        <w:t>rlová, příspěvková organizace</w:t>
      </w:r>
    </w:p>
    <w:p w:rsidR="00F00140" w:rsidRDefault="0072064F" w:rsidP="00042E95">
      <w:pPr>
        <w:shd w:val="clear" w:color="auto" w:fill="FFFFFF"/>
        <w:spacing w:after="0" w:line="240" w:lineRule="auto"/>
        <w:ind w:left="1429" w:hanging="709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se sídlem </w:t>
      </w:r>
      <w:r w:rsidR="00042E95" w:rsidRPr="00C47146">
        <w:rPr>
          <w:rFonts w:ascii="Georgia" w:eastAsia="Georgia" w:hAnsi="Georgia" w:cs="Georgia"/>
          <w:sz w:val="24"/>
          <w:szCs w:val="24"/>
        </w:rPr>
        <w:t>Masarykova třída 1324, 735 14 Orlová-Lutyně</w:t>
      </w:r>
    </w:p>
    <w:p w:rsidR="00042E95" w:rsidRDefault="0072064F" w:rsidP="00042E95">
      <w:pPr>
        <w:shd w:val="clear" w:color="auto" w:fill="FFFFFF"/>
        <w:spacing w:after="0" w:line="240" w:lineRule="auto"/>
        <w:ind w:left="1429" w:hanging="709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IČ: </w:t>
      </w:r>
      <w:r w:rsidR="00042E95" w:rsidRPr="00C47146">
        <w:rPr>
          <w:rFonts w:ascii="Georgia" w:eastAsia="Georgia" w:hAnsi="Georgia" w:cs="Georgia"/>
          <w:sz w:val="24"/>
          <w:szCs w:val="24"/>
        </w:rPr>
        <w:t>72050098</w:t>
      </w:r>
      <w:r>
        <w:rPr>
          <w:rFonts w:ascii="Georgia" w:eastAsia="Georgia" w:hAnsi="Georgia" w:cs="Georgia"/>
          <w:sz w:val="24"/>
          <w:szCs w:val="24"/>
        </w:rPr>
        <w:t xml:space="preserve">  </w:t>
      </w:r>
      <w:r>
        <w:rPr>
          <w:rFonts w:ascii="Georgia" w:eastAsia="Georgia" w:hAnsi="Georgia" w:cs="Georgia"/>
          <w:sz w:val="24"/>
          <w:szCs w:val="24"/>
        </w:rPr>
        <w:tab/>
        <w:t xml:space="preserve">   </w:t>
      </w:r>
    </w:p>
    <w:p w:rsidR="00042E95" w:rsidRDefault="0072064F" w:rsidP="00042E95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zastoupen </w:t>
      </w:r>
      <w:r w:rsidR="00042E95">
        <w:rPr>
          <w:rFonts w:ascii="Georgia" w:eastAsia="Georgia" w:hAnsi="Georgia" w:cs="Georgia"/>
          <w:sz w:val="24"/>
          <w:szCs w:val="24"/>
        </w:rPr>
        <w:t>B</w:t>
      </w:r>
      <w:r w:rsidR="00042E95" w:rsidRPr="00C47146">
        <w:rPr>
          <w:rFonts w:ascii="Georgia" w:eastAsia="Georgia" w:hAnsi="Georgia" w:cs="Georgia"/>
          <w:sz w:val="24"/>
          <w:szCs w:val="24"/>
        </w:rPr>
        <w:t>c. Ivou Suškovou</w:t>
      </w:r>
    </w:p>
    <w:p w:rsidR="00F00140" w:rsidRDefault="0072064F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„Přebírající“)</w:t>
      </w:r>
    </w:p>
    <w:p w:rsidR="00F00140" w:rsidRDefault="0072064F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:rsidR="00F00140" w:rsidRDefault="00F00140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:rsidR="00F00140" w:rsidRDefault="0072064F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Předávající</w:t>
      </w:r>
    </w:p>
    <w:p w:rsidR="00F00140" w:rsidRDefault="0072064F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Tritius Solutions a.s.</w:t>
      </w:r>
    </w:p>
    <w:p w:rsidR="00F00140" w:rsidRDefault="0072064F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se sídlem Vodní 258/13, Brno 602 00, Pošta na: Tomkova 2099, 390 01 Tábor </w:t>
      </w:r>
    </w:p>
    <w:p w:rsidR="00F00140" w:rsidRDefault="0072064F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05700582,  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</w:t>
      </w:r>
    </w:p>
    <w:p w:rsidR="00F00140" w:rsidRDefault="0072064F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předsedou představenstva Ing. Jiřím Šilhou</w:t>
      </w:r>
    </w:p>
    <w:p w:rsidR="00F00140" w:rsidRDefault="0072064F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„Předávající“)</w:t>
      </w:r>
    </w:p>
    <w:p w:rsidR="00F00140" w:rsidRDefault="00F00140">
      <w:pPr>
        <w:shd w:val="clear" w:color="auto" w:fill="FFFFFF"/>
        <w:spacing w:after="0" w:line="240" w:lineRule="auto"/>
        <w:ind w:left="708"/>
        <w:rPr>
          <w:rFonts w:ascii="Georgia" w:eastAsia="Georgia" w:hAnsi="Georgia" w:cs="Georgia"/>
          <w:sz w:val="20"/>
          <w:szCs w:val="20"/>
        </w:rPr>
      </w:pPr>
    </w:p>
    <w:p w:rsidR="00F00140" w:rsidRDefault="007206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ředání</w:t>
      </w:r>
    </w:p>
    <w:p w:rsidR="00F00140" w:rsidRDefault="007206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bookmarkStart w:id="0" w:name="_gjdgxs" w:colFirst="0" w:colLast="0"/>
      <w:bookmarkEnd w:id="0"/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ystém Tritius (dá</w:t>
      </w:r>
      <w:r>
        <w:rPr>
          <w:rFonts w:ascii="Georgia" w:eastAsia="Georgia" w:hAnsi="Georgia" w:cs="Georgia"/>
          <w:sz w:val="22"/>
          <w:szCs w:val="22"/>
        </w:rPr>
        <w:t xml:space="preserve">le jen systém) </w:t>
      </w:r>
      <w:r>
        <w:rPr>
          <w:rFonts w:ascii="Georgia" w:eastAsia="Georgia" w:hAnsi="Georgia" w:cs="Georgia"/>
          <w:color w:val="000000"/>
          <w:sz w:val="22"/>
          <w:szCs w:val="22"/>
        </w:rPr>
        <w:t>byl do běžného provozu předán</w:t>
      </w:r>
      <w:r>
        <w:rPr>
          <w:rFonts w:ascii="Georgia" w:eastAsia="Georgia" w:hAnsi="Georgia" w:cs="Georgia"/>
          <w:sz w:val="22"/>
          <w:szCs w:val="22"/>
        </w:rPr>
        <w:t xml:space="preserve"> dne </w:t>
      </w:r>
      <w:r>
        <w:rPr>
          <w:rFonts w:ascii="Georgia" w:eastAsia="Georgia" w:hAnsi="Georgia" w:cs="Georgia"/>
          <w:color w:val="000000"/>
          <w:sz w:val="22"/>
          <w:szCs w:val="22"/>
        </w:rPr>
        <w:t>…………………</w:t>
      </w:r>
    </w:p>
    <w:p w:rsidR="00F00140" w:rsidRDefault="007206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 xml:space="preserve">Přebírající potvrzuje předání </w:t>
      </w:r>
      <w:r>
        <w:rPr>
          <w:rFonts w:ascii="Georgia" w:eastAsia="Georgia" w:hAnsi="Georgia" w:cs="Georgia"/>
          <w:color w:val="000000"/>
          <w:sz w:val="22"/>
          <w:szCs w:val="22"/>
        </w:rPr>
        <w:t>modul</w:t>
      </w:r>
      <w:r>
        <w:rPr>
          <w:rFonts w:ascii="Georgia" w:eastAsia="Georgia" w:hAnsi="Georgia" w:cs="Georgia"/>
          <w:sz w:val="22"/>
          <w:szCs w:val="22"/>
        </w:rPr>
        <w:t>ů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a část</w:t>
      </w:r>
      <w:r>
        <w:rPr>
          <w:rFonts w:ascii="Georgia" w:eastAsia="Georgia" w:hAnsi="Georgia" w:cs="Georgia"/>
          <w:sz w:val="22"/>
          <w:szCs w:val="22"/>
        </w:rPr>
        <w:t>í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systému včetně nastavení a převodu dat ze stávající</w:t>
      </w:r>
      <w:r>
        <w:rPr>
          <w:rFonts w:ascii="Georgia" w:eastAsia="Georgia" w:hAnsi="Georgia" w:cs="Georgia"/>
          <w:sz w:val="22"/>
          <w:szCs w:val="22"/>
        </w:rPr>
        <w:t>ho systému v rozsahu tabulky, kdy je vyplněn datum převzetí:</w:t>
      </w:r>
    </w:p>
    <w:tbl>
      <w:tblPr>
        <w:tblStyle w:val="a"/>
        <w:tblW w:w="8250" w:type="dxa"/>
        <w:tblInd w:w="8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6270"/>
      </w:tblGrid>
      <w:tr w:rsidR="00F00140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140" w:rsidRDefault="00720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Datum předání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140" w:rsidRDefault="0072064F">
            <w:pPr>
              <w:spacing w:after="0" w:line="240" w:lineRule="auto"/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Název části systému Tritius</w:t>
            </w:r>
          </w:p>
        </w:tc>
      </w:tr>
      <w:tr w:rsidR="00F00140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140" w:rsidRDefault="00F00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140" w:rsidRDefault="0072064F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Katalogizace všech druhů dokumentů, včetně Z-klienta,</w:t>
            </w:r>
          </w:p>
        </w:tc>
      </w:tr>
      <w:tr w:rsidR="00F00140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140" w:rsidRDefault="00F00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140" w:rsidRDefault="0072064F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Výpůjční protokol a služební katalog,</w:t>
            </w:r>
          </w:p>
        </w:tc>
      </w:tr>
      <w:tr w:rsidR="00F00140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140" w:rsidRDefault="00F00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140" w:rsidRDefault="0072064F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Webový katalog</w:t>
            </w:r>
          </w:p>
        </w:tc>
      </w:tr>
      <w:tr w:rsidR="00F00140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140" w:rsidRDefault="00F00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140" w:rsidRDefault="0072064F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Elektronická meziknihovní služba (MVS)</w:t>
            </w:r>
          </w:p>
        </w:tc>
      </w:tr>
      <w:tr w:rsidR="00F00140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140" w:rsidRDefault="00F00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140" w:rsidRDefault="00720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Revize fondu </w:t>
            </w:r>
          </w:p>
        </w:tc>
      </w:tr>
      <w:tr w:rsidR="00F00140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140" w:rsidRDefault="00F00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140" w:rsidRDefault="0072064F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Dispečink Internetu</w:t>
            </w:r>
          </w:p>
        </w:tc>
      </w:tr>
      <w:tr w:rsidR="00F00140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140" w:rsidRDefault="00F00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140" w:rsidRDefault="0072064F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Výměnné soubory</w:t>
            </w:r>
          </w:p>
        </w:tc>
      </w:tr>
      <w:tr w:rsidR="00F00140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140" w:rsidRDefault="00F00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140" w:rsidRDefault="00720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Akvizice (všech druhů dokumentů)</w:t>
            </w:r>
          </w:p>
        </w:tc>
      </w:tr>
      <w:tr w:rsidR="00F00140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140" w:rsidRDefault="00F00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140" w:rsidRDefault="0072064F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OAI Provider (mimo použití s CKP a NK ČR)</w:t>
            </w:r>
          </w:p>
        </w:tc>
      </w:tr>
      <w:tr w:rsidR="00F00140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140" w:rsidRDefault="00F00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140" w:rsidRDefault="00720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Z39.50 klient aktivní pro odesílání záznamů</w:t>
            </w:r>
          </w:p>
        </w:tc>
      </w:tr>
      <w:tr w:rsidR="00F00140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140" w:rsidRDefault="00F00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140" w:rsidRDefault="00720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Z39.50 server</w:t>
            </w:r>
          </w:p>
        </w:tc>
      </w:tr>
      <w:tr w:rsidR="00F00140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140" w:rsidRDefault="00F00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140" w:rsidRDefault="00720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NCIP Server (mimo použití s CPK a NK ČR)</w:t>
            </w:r>
          </w:p>
        </w:tc>
      </w:tr>
      <w:tr w:rsidR="00F00140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140" w:rsidRDefault="00F00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140" w:rsidRDefault="00720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Portál Metis (pro zdroje mimo základní nabídku)</w:t>
            </w:r>
          </w:p>
        </w:tc>
      </w:tr>
      <w:tr w:rsidR="00F00140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140" w:rsidRDefault="00F00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140" w:rsidRDefault="0072064F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SIP2 protokol server pro jedno zařízení RFID</w:t>
            </w:r>
          </w:p>
        </w:tc>
      </w:tr>
      <w:tr w:rsidR="00F00140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140" w:rsidRDefault="00F00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140" w:rsidRDefault="0072064F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Platební brána</w:t>
            </w:r>
          </w:p>
        </w:tc>
      </w:tr>
    </w:tbl>
    <w:p w:rsidR="00F00140" w:rsidRDefault="007206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br/>
      </w:r>
    </w:p>
    <w:p w:rsidR="00F00140" w:rsidRDefault="007206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Další předané vybavení:</w:t>
      </w:r>
    </w:p>
    <w:p w:rsidR="00F00140" w:rsidRDefault="0072064F">
      <w:pPr>
        <w:shd w:val="clear" w:color="auto" w:fill="FFFFFF"/>
        <w:spacing w:after="0" w:line="240" w:lineRule="auto"/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br/>
      </w:r>
      <w:r>
        <w:rPr>
          <w:rFonts w:ascii="Georgia" w:eastAsia="Georgia" w:hAnsi="Georgia" w:cs="Georgia"/>
          <w:sz w:val="22"/>
          <w:szCs w:val="22"/>
        </w:rPr>
        <w:tab/>
        <w:t>……………………………………………………………………………………………………………………</w:t>
      </w:r>
    </w:p>
    <w:p w:rsidR="00F00140" w:rsidRDefault="007206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Případné připomínky a dohodnuté úpravy: </w:t>
      </w:r>
    </w:p>
    <w:p w:rsidR="00F00140" w:rsidRDefault="0072064F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eastAsia="Georgia" w:hAnsi="Georgia" w:cs="Georgia"/>
          <w:sz w:val="22"/>
          <w:szCs w:val="22"/>
        </w:rPr>
        <w:tab/>
        <w:t>………………………………………………………………………………………………………………………</w:t>
      </w:r>
    </w:p>
    <w:p w:rsidR="00F00140" w:rsidRDefault="00F00140">
      <w:pPr>
        <w:shd w:val="clear" w:color="auto" w:fill="FFFFFF"/>
        <w:spacing w:after="0" w:line="240" w:lineRule="auto"/>
        <w:ind w:left="792" w:hanging="720"/>
        <w:rPr>
          <w:rFonts w:ascii="Georgia" w:eastAsia="Georgia" w:hAnsi="Georgia" w:cs="Georgia"/>
          <w:sz w:val="22"/>
          <w:szCs w:val="22"/>
        </w:rPr>
      </w:pPr>
    </w:p>
    <w:p w:rsidR="00F00140" w:rsidRDefault="0072064F">
      <w:pPr>
        <w:shd w:val="clear" w:color="auto" w:fill="FFFFFF"/>
        <w:spacing w:after="0" w:line="240" w:lineRule="auto"/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Georgia" w:eastAsia="Georgia" w:hAnsi="Georgia" w:cs="Georgia"/>
          <w:sz w:val="22"/>
          <w:szCs w:val="22"/>
        </w:rPr>
        <w:br/>
      </w:r>
    </w:p>
    <w:p w:rsidR="00F00140" w:rsidRDefault="007206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Licenční ujednání</w:t>
      </w:r>
    </w:p>
    <w:p w:rsidR="00F00140" w:rsidRDefault="007206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Předávající tímto poskytuje přebírajícímu licenci:</w:t>
      </w:r>
    </w:p>
    <w:p w:rsidR="00F00140" w:rsidRDefault="0072064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sz w:val="22"/>
          <w:szCs w:val="22"/>
        </w:rPr>
        <w:t>nevýhradní</w:t>
      </w:r>
      <w:r>
        <w:rPr>
          <w:rFonts w:ascii="Georgia" w:eastAsia="Georgia" w:hAnsi="Georgia" w:cs="Georgia"/>
          <w:sz w:val="22"/>
          <w:szCs w:val="22"/>
        </w:rPr>
        <w:t xml:space="preserve">, </w:t>
      </w:r>
      <w:r>
        <w:rPr>
          <w:rFonts w:ascii="Georgia" w:eastAsia="Georgia" w:hAnsi="Georgia" w:cs="Georgia"/>
          <w:b/>
          <w:sz w:val="22"/>
          <w:szCs w:val="22"/>
        </w:rPr>
        <w:t>územně neomezenou</w:t>
      </w:r>
      <w:r>
        <w:rPr>
          <w:rFonts w:ascii="Georgia" w:eastAsia="Georgia" w:hAnsi="Georgia" w:cs="Georgia"/>
          <w:sz w:val="22"/>
          <w:szCs w:val="22"/>
        </w:rPr>
        <w:t>,</w:t>
      </w:r>
    </w:p>
    <w:p w:rsidR="00F00140" w:rsidRDefault="0072064F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časově neomezenou</w:t>
      </w:r>
      <w:r>
        <w:rPr>
          <w:rFonts w:ascii="Georgia" w:eastAsia="Georgia" w:hAnsi="Georgia" w:cs="Georgia"/>
          <w:sz w:val="22"/>
          <w:szCs w:val="22"/>
        </w:rPr>
        <w:t xml:space="preserve"> nebo pro Službu SaaS: </w:t>
      </w:r>
      <w:r>
        <w:rPr>
          <w:rFonts w:ascii="Georgia" w:eastAsia="Georgia" w:hAnsi="Georgia" w:cs="Georgia"/>
          <w:b/>
          <w:sz w:val="22"/>
          <w:szCs w:val="22"/>
        </w:rPr>
        <w:t>časově omezenou</w:t>
      </w:r>
      <w:r>
        <w:rPr>
          <w:rFonts w:ascii="Georgia" w:eastAsia="Georgia" w:hAnsi="Georgia" w:cs="Georgia"/>
          <w:sz w:val="22"/>
          <w:szCs w:val="22"/>
        </w:rPr>
        <w:t xml:space="preserve"> na dobu trvání smlouvy o poskytnutí služby Tritius,</w:t>
      </w:r>
    </w:p>
    <w:p w:rsidR="00F00140" w:rsidRDefault="0072064F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sz w:val="22"/>
          <w:szCs w:val="22"/>
        </w:rPr>
        <w:t>omezenou pouze pro moduly</w:t>
      </w:r>
      <w:r>
        <w:rPr>
          <w:rFonts w:ascii="Georgia" w:eastAsia="Georgia" w:hAnsi="Georgia" w:cs="Georgia"/>
          <w:sz w:val="22"/>
          <w:szCs w:val="22"/>
        </w:rPr>
        <w:t xml:space="preserve"> specifikované v této licenční smlouvě</w:t>
      </w:r>
      <w:r>
        <w:rPr>
          <w:rFonts w:ascii="Georgia" w:eastAsia="Georgia" w:hAnsi="Georgia" w:cs="Georgia"/>
          <w:i/>
          <w:sz w:val="22"/>
          <w:szCs w:val="22"/>
        </w:rPr>
        <w:t>,</w:t>
      </w:r>
    </w:p>
    <w:p w:rsidR="00F00140" w:rsidRDefault="0072064F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sz w:val="22"/>
          <w:szCs w:val="22"/>
        </w:rPr>
        <w:t>omezenou pro 1 instanci systému</w:t>
      </w:r>
      <w:r>
        <w:rPr>
          <w:rFonts w:ascii="Georgia" w:eastAsia="Georgia" w:hAnsi="Georgia" w:cs="Georgia"/>
          <w:sz w:val="22"/>
          <w:szCs w:val="22"/>
        </w:rPr>
        <w:t>,</w:t>
      </w:r>
    </w:p>
    <w:p w:rsidR="00F00140" w:rsidRDefault="0072064F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sz w:val="22"/>
          <w:szCs w:val="22"/>
        </w:rPr>
        <w:t xml:space="preserve">   dále charakterizovanou následujícími velikostními parametry</w:t>
      </w:r>
      <w:r>
        <w:rPr>
          <w:rFonts w:ascii="Georgia" w:eastAsia="Georgia" w:hAnsi="Georgia" w:cs="Georgia"/>
          <w:sz w:val="22"/>
          <w:szCs w:val="22"/>
        </w:rPr>
        <w:t>:</w:t>
      </w:r>
      <w:r>
        <w:rPr>
          <w:rFonts w:ascii="Georgia" w:eastAsia="Georgia" w:hAnsi="Georgia" w:cs="Georgia"/>
          <w:sz w:val="22"/>
          <w:szCs w:val="22"/>
        </w:rPr>
        <w:br/>
      </w:r>
    </w:p>
    <w:tbl>
      <w:tblPr>
        <w:tblStyle w:val="a0"/>
        <w:tblW w:w="7830" w:type="dxa"/>
        <w:tblInd w:w="1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5"/>
        <w:gridCol w:w="3225"/>
      </w:tblGrid>
      <w:tr w:rsidR="00F00140">
        <w:trPr>
          <w:trHeight w:val="345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140" w:rsidRDefault="0072064F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Maximální velikost fondu (počet svazků)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140" w:rsidRDefault="00F00140">
            <w:pPr>
              <w:widowControl w:val="0"/>
              <w:spacing w:after="0" w:line="240" w:lineRule="auto"/>
              <w:jc w:val="right"/>
              <w:rPr>
                <w:rFonts w:ascii="Georgia" w:eastAsia="Georgia" w:hAnsi="Georgia" w:cs="Georgia"/>
                <w:sz w:val="22"/>
                <w:szCs w:val="22"/>
                <w:highlight w:val="yellow"/>
              </w:rPr>
            </w:pPr>
          </w:p>
        </w:tc>
      </w:tr>
      <w:tr w:rsidR="00F00140"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140" w:rsidRDefault="0072064F" w:rsidP="00F9293A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Počet poboček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140" w:rsidRDefault="00F00140">
            <w:pPr>
              <w:widowControl w:val="0"/>
              <w:spacing w:after="0" w:line="240" w:lineRule="auto"/>
              <w:jc w:val="right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  <w:tr w:rsidR="00F00140"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140" w:rsidRDefault="0072064F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Počet REKS knihoven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140" w:rsidRDefault="00F00140">
            <w:pPr>
              <w:widowControl w:val="0"/>
              <w:spacing w:after="0" w:line="240" w:lineRule="auto"/>
              <w:jc w:val="right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  <w:tr w:rsidR="00F00140"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140" w:rsidRDefault="0072064F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Počet uživatelských stanic PC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140" w:rsidRDefault="00F00140">
            <w:pPr>
              <w:widowControl w:val="0"/>
              <w:spacing w:after="0" w:line="240" w:lineRule="auto"/>
              <w:jc w:val="right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</w:tbl>
    <w:p w:rsidR="00F00140" w:rsidRDefault="00F001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224"/>
        <w:rPr>
          <w:rFonts w:ascii="Georgia" w:eastAsia="Georgia" w:hAnsi="Georgia" w:cs="Georgia"/>
          <w:sz w:val="22"/>
          <w:szCs w:val="22"/>
        </w:rPr>
      </w:pPr>
    </w:p>
    <w:p w:rsidR="00F00140" w:rsidRDefault="0072064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upravenou dále v souladu s dalšími ustanoveními smlouvy a VOP</w:t>
      </w:r>
      <w:r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:rsidR="00F00140" w:rsidRDefault="007206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Přebírající je oprávněn současně s právem užívat systém užívat také existující </w:t>
      </w:r>
      <w:bookmarkStart w:id="1" w:name="_GoBack"/>
      <w:bookmarkEnd w:id="1"/>
      <w:r>
        <w:rPr>
          <w:rFonts w:ascii="Georgia" w:eastAsia="Georgia" w:hAnsi="Georgia" w:cs="Georgia"/>
          <w:color w:val="000000"/>
          <w:sz w:val="22"/>
          <w:szCs w:val="22"/>
        </w:rPr>
        <w:t>elektronickou dokumentaci vztahující se k systému.</w:t>
      </w:r>
    </w:p>
    <w:p w:rsidR="00F00140" w:rsidRDefault="007206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V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případě, že </w:t>
      </w:r>
      <w:r>
        <w:rPr>
          <w:rFonts w:ascii="Georgia" w:eastAsia="Georgia" w:hAnsi="Georgia" w:cs="Georgia"/>
          <w:sz w:val="22"/>
          <w:szCs w:val="22"/>
        </w:rPr>
        <w:t xml:space="preserve">přebírající </w:t>
      </w:r>
      <w:r>
        <w:rPr>
          <w:rFonts w:ascii="Georgia" w:eastAsia="Georgia" w:hAnsi="Georgia" w:cs="Georgia"/>
          <w:color w:val="000000"/>
          <w:sz w:val="22"/>
          <w:szCs w:val="22"/>
        </w:rPr>
        <w:t>překročí velikostní limit licence</w:t>
      </w:r>
      <w:r>
        <w:rPr>
          <w:rFonts w:ascii="Georgia" w:eastAsia="Georgia" w:hAnsi="Georgia" w:cs="Georgia"/>
          <w:sz w:val="22"/>
          <w:szCs w:val="22"/>
        </w:rPr>
        <w:t>, je povinen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objednat a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uhradit předávajícímu další velikostní licenci, tak aby jejich limit nebránil dalšímu používání systému.</w:t>
      </w:r>
    </w:p>
    <w:p w:rsidR="00F00140" w:rsidRDefault="007206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Přebírající nemá právo udělit třetím osobám podlicenci.</w:t>
      </w:r>
    </w:p>
    <w:p w:rsidR="00F00140" w:rsidRDefault="007206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Přebírající nemá právo postoupit licenci bez souhlasu předávajícího.</w:t>
      </w:r>
    </w:p>
    <w:p w:rsidR="00F00140" w:rsidRDefault="007206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Pravidla užívání systému</w:t>
      </w:r>
    </w:p>
    <w:p w:rsidR="00F00140" w:rsidRDefault="007206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Přebírající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je povinen </w:t>
      </w:r>
      <w:r>
        <w:rPr>
          <w:rFonts w:ascii="Georgia" w:eastAsia="Georgia" w:hAnsi="Georgia" w:cs="Georgia"/>
          <w:sz w:val="22"/>
          <w:szCs w:val="22"/>
        </w:rPr>
        <w:t xml:space="preserve">systém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užívat výlučně pro své vnitřní účely v souladu s účelem, pro které byl software vytvořen a dále </w:t>
      </w:r>
      <w:r>
        <w:rPr>
          <w:rFonts w:ascii="Georgia" w:eastAsia="Georgia" w:hAnsi="Georgia" w:cs="Georgia"/>
          <w:sz w:val="22"/>
          <w:szCs w:val="22"/>
        </w:rPr>
        <w:t>za podmínek smlouvy a VOP.</w:t>
      </w:r>
    </w:p>
    <w:p w:rsidR="00F00140" w:rsidRDefault="0072064F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Závěrečná ujednání</w:t>
      </w:r>
    </w:p>
    <w:p w:rsidR="00F00140" w:rsidRDefault="0072064F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Předávající tímto uděluje právo k používání licence ve výše uvedeném rozsahu.</w:t>
      </w:r>
    </w:p>
    <w:p w:rsidR="00F00140" w:rsidRDefault="0072064F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Přebírající tímto potvrzuje převzetí licence a implementace systému Tritius včetně převedení databáze stávajícího systému ve výše uveden</w:t>
      </w:r>
      <w:r>
        <w:rPr>
          <w:rFonts w:ascii="Georgia" w:eastAsia="Georgia" w:hAnsi="Georgia" w:cs="Georgia"/>
          <w:sz w:val="22"/>
          <w:szCs w:val="22"/>
        </w:rPr>
        <w:t>é</w:t>
      </w:r>
      <w:r>
        <w:rPr>
          <w:rFonts w:ascii="Georgia" w:eastAsia="Georgia" w:hAnsi="Georgia" w:cs="Georgia"/>
          <w:color w:val="000000"/>
          <w:sz w:val="22"/>
          <w:szCs w:val="22"/>
        </w:rPr>
        <w:t>m rozsahu.</w:t>
      </w:r>
      <w:r>
        <w:rPr>
          <w:rFonts w:ascii="Georgia" w:eastAsia="Georgia" w:hAnsi="Georgia" w:cs="Georgia"/>
          <w:color w:val="000000"/>
          <w:sz w:val="22"/>
          <w:szCs w:val="22"/>
        </w:rPr>
        <w:br/>
      </w:r>
    </w:p>
    <w:p w:rsidR="00F00140" w:rsidRDefault="00F00140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F00140" w:rsidRDefault="0072064F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 ……………………………………………….    dne  ………...………….</w:t>
      </w:r>
    </w:p>
    <w:p w:rsidR="00F00140" w:rsidRDefault="00F00140">
      <w:pPr>
        <w:rPr>
          <w:rFonts w:ascii="Georgia" w:eastAsia="Georgia" w:hAnsi="Georgia" w:cs="Georgia"/>
          <w:sz w:val="22"/>
          <w:szCs w:val="22"/>
        </w:rPr>
      </w:pPr>
    </w:p>
    <w:p w:rsidR="00F00140" w:rsidRDefault="0072064F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</w:p>
    <w:p w:rsidR="00F00140" w:rsidRDefault="0072064F">
      <w:pPr>
        <w:spacing w:after="0"/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(Předávající)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(Přebírající)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sectPr w:rsidR="00F00140">
      <w:headerReference w:type="default" r:id="rId7"/>
      <w:footerReference w:type="default" r:id="rId8"/>
      <w:pgSz w:w="11906" w:h="16838"/>
      <w:pgMar w:top="1133" w:right="1417" w:bottom="1133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B66" w:rsidRDefault="00E54B66">
      <w:pPr>
        <w:spacing w:after="0" w:line="240" w:lineRule="auto"/>
      </w:pPr>
      <w:r>
        <w:separator/>
      </w:r>
    </w:p>
  </w:endnote>
  <w:endnote w:type="continuationSeparator" w:id="0">
    <w:p w:rsidR="00E54B66" w:rsidRDefault="00E5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140" w:rsidRDefault="007206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9293A">
      <w:rPr>
        <w:noProof/>
        <w:color w:val="000000"/>
      </w:rPr>
      <w:t>2</w:t>
    </w:r>
    <w:r>
      <w:rPr>
        <w:color w:val="000000"/>
      </w:rPr>
      <w:fldChar w:fldCharType="end"/>
    </w:r>
  </w:p>
  <w:p w:rsidR="00F00140" w:rsidRDefault="00F001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B66" w:rsidRDefault="00E54B66">
      <w:pPr>
        <w:spacing w:after="0" w:line="240" w:lineRule="auto"/>
      </w:pPr>
      <w:r>
        <w:separator/>
      </w:r>
    </w:p>
  </w:footnote>
  <w:footnote w:type="continuationSeparator" w:id="0">
    <w:p w:rsidR="00E54B66" w:rsidRDefault="00E54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140" w:rsidRDefault="007206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sz w:val="16"/>
        <w:szCs w:val="16"/>
      </w:rPr>
    </w:pPr>
    <w:r>
      <w:rPr>
        <w:color w:val="000000"/>
        <w:sz w:val="16"/>
        <w:szCs w:val="16"/>
      </w:rPr>
      <w:t>SA-APLA – Předávací protokol- 20200</w:t>
    </w:r>
    <w:r>
      <w:rPr>
        <w:sz w:val="16"/>
        <w:szCs w:val="16"/>
      </w:rPr>
      <w:t>127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66A4D"/>
    <w:multiLevelType w:val="multilevel"/>
    <w:tmpl w:val="A54605B2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sz w:val="18"/>
        <w:szCs w:val="18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40"/>
    <w:rsid w:val="00042E95"/>
    <w:rsid w:val="0072064F"/>
    <w:rsid w:val="00E54B66"/>
    <w:rsid w:val="00F00140"/>
    <w:rsid w:val="00F9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97AAD-B809-4B42-A2D6-9E2F083D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titul">
    <w:name w:val="Subtitle"/>
    <w:basedOn w:val="Normln"/>
    <w:next w:val="Normln"/>
    <w:pPr>
      <w:jc w:val="center"/>
    </w:pPr>
    <w:rPr>
      <w:color w:val="44546A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443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3</cp:revision>
  <dcterms:created xsi:type="dcterms:W3CDTF">2021-09-07T08:34:00Z</dcterms:created>
  <dcterms:modified xsi:type="dcterms:W3CDTF">2021-09-07T09:01:00Z</dcterms:modified>
</cp:coreProperties>
</file>