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C3" w:rsidRDefault="00C70082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 č. 1/2021</w:t>
      </w:r>
    </w:p>
    <w:p w:rsidR="006F64C3" w:rsidRDefault="00C7008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6F64C3" w:rsidRPr="00C47146" w:rsidRDefault="00C4714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C47146">
        <w:rPr>
          <w:rFonts w:ascii="Georgia" w:eastAsia="Georgia" w:hAnsi="Georgia" w:cs="Georgia"/>
          <w:b/>
          <w:sz w:val="24"/>
          <w:szCs w:val="24"/>
        </w:rPr>
        <w:t xml:space="preserve">Městská knihovna </w:t>
      </w:r>
      <w:r>
        <w:rPr>
          <w:rFonts w:ascii="Georgia" w:eastAsia="Georgia" w:hAnsi="Georgia" w:cs="Georgia"/>
          <w:b/>
          <w:sz w:val="24"/>
          <w:szCs w:val="24"/>
        </w:rPr>
        <w:t>O</w:t>
      </w:r>
      <w:r w:rsidRPr="00C47146">
        <w:rPr>
          <w:rFonts w:ascii="Georgia" w:eastAsia="Georgia" w:hAnsi="Georgia" w:cs="Georgia"/>
          <w:b/>
          <w:sz w:val="24"/>
          <w:szCs w:val="24"/>
        </w:rPr>
        <w:t>rlová, příspěvková organizace</w:t>
      </w:r>
    </w:p>
    <w:p w:rsidR="006F64C3" w:rsidRPr="00C47146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47146">
        <w:rPr>
          <w:rFonts w:ascii="Georgia" w:eastAsia="Georgia" w:hAnsi="Georgia" w:cs="Georgia"/>
          <w:sz w:val="24"/>
          <w:szCs w:val="24"/>
        </w:rPr>
        <w:t>se sídlem</w:t>
      </w:r>
      <w:r w:rsidR="00C47146" w:rsidRPr="00C47146">
        <w:rPr>
          <w:rFonts w:ascii="Georgia" w:eastAsia="Georgia" w:hAnsi="Georgia" w:cs="Georgia"/>
          <w:sz w:val="24"/>
          <w:szCs w:val="24"/>
        </w:rPr>
        <w:t xml:space="preserve"> Masarykova třída 1324, 735 14 Orlová-Lutyně</w:t>
      </w:r>
      <w:r w:rsidRPr="00C47146">
        <w:rPr>
          <w:rFonts w:ascii="Georgia" w:eastAsia="Georgia" w:hAnsi="Georgia" w:cs="Georgia"/>
          <w:sz w:val="24"/>
          <w:szCs w:val="24"/>
        </w:rPr>
        <w:t xml:space="preserve"> </w:t>
      </w:r>
    </w:p>
    <w:p w:rsidR="006F64C3" w:rsidRPr="00C47146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47146">
        <w:rPr>
          <w:rFonts w:ascii="Georgia" w:eastAsia="Georgia" w:hAnsi="Georgia" w:cs="Georgia"/>
          <w:sz w:val="24"/>
          <w:szCs w:val="24"/>
        </w:rPr>
        <w:t xml:space="preserve">IČ: </w:t>
      </w:r>
      <w:r w:rsidR="00C47146" w:rsidRPr="00C47146">
        <w:rPr>
          <w:rFonts w:ascii="Georgia" w:eastAsia="Georgia" w:hAnsi="Georgia" w:cs="Georgia"/>
          <w:sz w:val="24"/>
          <w:szCs w:val="24"/>
        </w:rPr>
        <w:t>72050098</w:t>
      </w:r>
    </w:p>
    <w:p w:rsidR="006F64C3" w:rsidRPr="00C47146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47146">
        <w:rPr>
          <w:rFonts w:ascii="Georgia" w:eastAsia="Georgia" w:hAnsi="Georgia" w:cs="Georgia"/>
          <w:sz w:val="24"/>
          <w:szCs w:val="24"/>
        </w:rPr>
        <w:t xml:space="preserve">DIČ: </w:t>
      </w:r>
      <w:r w:rsidR="00C47146" w:rsidRPr="00C47146">
        <w:rPr>
          <w:rFonts w:ascii="Georgia" w:eastAsia="Georgia" w:hAnsi="Georgia" w:cs="Georgia"/>
          <w:sz w:val="24"/>
          <w:szCs w:val="24"/>
        </w:rPr>
        <w:t>CZ72050098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47146">
        <w:rPr>
          <w:rFonts w:ascii="Georgia" w:eastAsia="Georgia" w:hAnsi="Georgia" w:cs="Georgia"/>
          <w:sz w:val="24"/>
          <w:szCs w:val="24"/>
        </w:rPr>
        <w:t xml:space="preserve">zastoupen </w:t>
      </w:r>
      <w:r w:rsidR="00952EB4">
        <w:rPr>
          <w:rFonts w:ascii="Georgia" w:eastAsia="Georgia" w:hAnsi="Georgia" w:cs="Georgia"/>
          <w:sz w:val="24"/>
          <w:szCs w:val="24"/>
        </w:rPr>
        <w:t>B</w:t>
      </w:r>
      <w:r w:rsidR="00C47146" w:rsidRPr="00C47146">
        <w:rPr>
          <w:rFonts w:ascii="Georgia" w:eastAsia="Georgia" w:hAnsi="Georgia" w:cs="Georgia"/>
          <w:sz w:val="24"/>
          <w:szCs w:val="24"/>
        </w:rPr>
        <w:t>c. Ivou Suškovou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6F64C3" w:rsidRDefault="00C7008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6F64C3" w:rsidRDefault="006F64C3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6F64C3" w:rsidRDefault="00C7008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doručit: Tomkova 2099, 390 01 Tábor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6F64C3" w:rsidRDefault="00C7008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6F64C3" w:rsidRDefault="006F64C3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6F64C3" w:rsidRDefault="00C7008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:rsidR="006F64C3" w:rsidRDefault="006F64C3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Tritius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6F64C3" w:rsidRDefault="006F64C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předání VM Tritius správci virtualizačního prostředí,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color w:val="000000"/>
          <w:sz w:val="22"/>
          <w:szCs w:val="22"/>
        </w:rPr>
        <w:t>nstalace a konfigurace VM na serveru (pouze pro platformu Windows a VirtualBox),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6F64C3" w:rsidRDefault="006F64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6F64C3" w:rsidRDefault="00C7008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Technické požadavky na provoz systému Tritius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Umožnit vzdálenou správu virtuálního stroje se systémem Tritius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Zajistit nastavení síťové infrastruktury podle požadavků pro provoz virtuálního stroje se systémem Tritius, zejména se jedná o zpřístupnění potřebných portů dle veřejné dokumentace.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:rsidR="006F64C3" w:rsidRDefault="006F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6F64C3">
        <w:tc>
          <w:tcPr>
            <w:tcW w:w="5250" w:type="dxa"/>
            <w:shd w:val="clear" w:color="auto" w:fill="D9D9D9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6F64C3">
        <w:tc>
          <w:tcPr>
            <w:tcW w:w="5250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Trvalá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 100 000 svazků</w:t>
            </w:r>
          </w:p>
        </w:tc>
        <w:tc>
          <w:tcPr>
            <w:tcW w:w="2895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196 000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,00 Kč</w:t>
            </w:r>
          </w:p>
        </w:tc>
      </w:tr>
      <w:tr w:rsidR="006F64C3">
        <w:tc>
          <w:tcPr>
            <w:tcW w:w="5250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29 400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,00 Kč</w:t>
            </w:r>
          </w:p>
        </w:tc>
      </w:tr>
      <w:tr w:rsidR="006F64C3">
        <w:tc>
          <w:tcPr>
            <w:tcW w:w="5250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225 400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,00 Kč</w:t>
            </w:r>
          </w:p>
        </w:tc>
      </w:tr>
      <w:tr w:rsidR="006F64C3">
        <w:tc>
          <w:tcPr>
            <w:tcW w:w="5250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6F64C3" w:rsidRDefault="00C70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272 734,00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6F64C3" w:rsidRDefault="006F64C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6F64C3" w:rsidRDefault="006F64C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90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6F64C3">
        <w:tc>
          <w:tcPr>
            <w:tcW w:w="3465" w:type="dxa"/>
            <w:shd w:val="clear" w:color="auto" w:fill="D9D9D9"/>
          </w:tcPr>
          <w:p w:rsidR="006F64C3" w:rsidRDefault="00C70082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:rsidR="006F64C3" w:rsidRDefault="00C70082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:rsidR="006F64C3" w:rsidRDefault="00C70082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6F64C3">
        <w:tc>
          <w:tcPr>
            <w:tcW w:w="346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 a přípravu VM Tritius do virtualizačního prostředí</w:t>
            </w:r>
          </w:p>
        </w:tc>
        <w:tc>
          <w:tcPr>
            <w:tcW w:w="214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poskytnutí údajů</w:t>
            </w:r>
          </w:p>
        </w:tc>
        <w:tc>
          <w:tcPr>
            <w:tcW w:w="2580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6F64C3">
        <w:tc>
          <w:tcPr>
            <w:tcW w:w="3465" w:type="dxa"/>
          </w:tcPr>
          <w:p w:rsidR="006F64C3" w:rsidRDefault="00C70082" w:rsidP="00C4714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testovací převod)</w:t>
            </w:r>
          </w:p>
        </w:tc>
        <w:tc>
          <w:tcPr>
            <w:tcW w:w="214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 zprovoznění VM Tritius na serveru</w:t>
            </w:r>
          </w:p>
        </w:tc>
        <w:tc>
          <w:tcPr>
            <w:tcW w:w="2580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součinnosti objednatele resp. správce serveru</w:t>
            </w:r>
          </w:p>
        </w:tc>
      </w:tr>
      <w:tr w:rsidR="006F64C3">
        <w:tc>
          <w:tcPr>
            <w:tcW w:w="346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 zprovoznění VM Tritius na serveru</w:t>
            </w:r>
          </w:p>
        </w:tc>
        <w:tc>
          <w:tcPr>
            <w:tcW w:w="2580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6F64C3">
        <w:tc>
          <w:tcPr>
            <w:tcW w:w="346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 zprovoznění VM Tritius na serveru</w:t>
            </w:r>
          </w:p>
        </w:tc>
        <w:tc>
          <w:tcPr>
            <w:tcW w:w="2580" w:type="dxa"/>
          </w:tcPr>
          <w:p w:rsidR="006F64C3" w:rsidRDefault="00C70082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6F64C3" w:rsidRDefault="006F64C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6F64C3" w:rsidRDefault="00C7008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6F64C3" w:rsidRDefault="00C7008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:rsidR="006F64C3" w:rsidRDefault="00C7008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>jinak. V předávacím protokolu je možné uvést výhrady a dohodnuté opravy systému, nelze však dílo nepřevzít a přitom jej dále používat.</w:t>
      </w:r>
    </w:p>
    <w:p w:rsidR="006F64C3" w:rsidRDefault="00C7008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6F64C3" w:rsidRDefault="00C7008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6F64C3" w:rsidRDefault="00C7008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6F64C3" w:rsidRDefault="006F64C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6F64C3" w:rsidRDefault="00C700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6F64C3" w:rsidRDefault="00C7008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6F64C3" w:rsidRDefault="006F64C3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</w:t>
      </w:r>
      <w:r w:rsidRPr="00C47146">
        <w:rPr>
          <w:rFonts w:ascii="Georgia" w:eastAsia="Georgia" w:hAnsi="Georgia" w:cs="Georgia"/>
          <w:sz w:val="22"/>
          <w:szCs w:val="22"/>
        </w:rPr>
        <w:t>do 31.</w:t>
      </w:r>
      <w:r w:rsidR="00C47146">
        <w:rPr>
          <w:rFonts w:ascii="Georgia" w:eastAsia="Georgia" w:hAnsi="Georgia" w:cs="Georgia"/>
          <w:sz w:val="22"/>
          <w:szCs w:val="22"/>
        </w:rPr>
        <w:t xml:space="preserve"> </w:t>
      </w:r>
      <w:r w:rsidRPr="00C47146">
        <w:rPr>
          <w:rFonts w:ascii="Georgia" w:eastAsia="Georgia" w:hAnsi="Georgia" w:cs="Georgia"/>
          <w:sz w:val="22"/>
          <w:szCs w:val="22"/>
        </w:rPr>
        <w:t>12.</w:t>
      </w:r>
      <w:r w:rsidR="00C47146">
        <w:rPr>
          <w:rFonts w:ascii="Georgia" w:eastAsia="Georgia" w:hAnsi="Georgia" w:cs="Georgia"/>
          <w:sz w:val="22"/>
          <w:szCs w:val="22"/>
        </w:rPr>
        <w:t xml:space="preserve"> </w:t>
      </w:r>
      <w:r w:rsidRPr="00C47146">
        <w:rPr>
          <w:rFonts w:ascii="Georgia" w:eastAsia="Georgia" w:hAnsi="Georgia" w:cs="Georgia"/>
          <w:sz w:val="22"/>
          <w:szCs w:val="22"/>
        </w:rPr>
        <w:t>2022</w:t>
      </w:r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6F64C3" w:rsidRDefault="006F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110/2019 Sb. o zpracování osobních údajů a nařízení evropského parlamentu č. 2016/679 o ochraně osobních údajů fyzických osob (GDPR).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6F64C3" w:rsidRDefault="006F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6F64C3" w:rsidRDefault="006F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6F64C3" w:rsidRDefault="00C7008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6F64C3" w:rsidRPr="00C47146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C47146" w:rsidRDefault="00C47146" w:rsidP="00C47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6F64C3" w:rsidRDefault="006F6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F64C3" w:rsidRDefault="00C700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Další ujednání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6F64C3" w:rsidRDefault="00C700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F64C3" w:rsidRDefault="00C70082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6F64C3" w:rsidRDefault="00C7008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:rsidR="006F64C3" w:rsidRDefault="00C700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:rsidR="006F64C3" w:rsidRDefault="006F64C3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6F64C3" w:rsidRDefault="006F64C3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6F64C3" w:rsidRDefault="006F64C3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6F64C3" w:rsidRDefault="00C70082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="00C47146">
        <w:rPr>
          <w:rFonts w:ascii="Georgia" w:eastAsia="Georgia" w:hAnsi="Georgia" w:cs="Georgia"/>
          <w:sz w:val="22"/>
          <w:szCs w:val="22"/>
        </w:rPr>
        <w:t>Orlové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  <w:r w:rsidR="00D146FD">
        <w:rPr>
          <w:rFonts w:ascii="Georgia" w:eastAsia="Georgia" w:hAnsi="Georgia" w:cs="Georgia"/>
          <w:sz w:val="22"/>
          <w:szCs w:val="22"/>
        </w:rPr>
        <w:t>10</w:t>
      </w:r>
      <w:bookmarkStart w:id="0" w:name="_GoBack"/>
      <w:bookmarkEnd w:id="0"/>
      <w:r w:rsidR="00C47146">
        <w:rPr>
          <w:rFonts w:ascii="Georgia" w:eastAsia="Georgia" w:hAnsi="Georgia" w:cs="Georgia"/>
          <w:sz w:val="22"/>
          <w:szCs w:val="22"/>
        </w:rPr>
        <w:t>. 09. 2021</w:t>
      </w:r>
    </w:p>
    <w:p w:rsidR="006F64C3" w:rsidRDefault="006F64C3">
      <w:pPr>
        <w:rPr>
          <w:rFonts w:ascii="Georgia" w:eastAsia="Georgia" w:hAnsi="Georgia" w:cs="Georgia"/>
          <w:sz w:val="22"/>
          <w:szCs w:val="22"/>
        </w:rPr>
      </w:pPr>
    </w:p>
    <w:p w:rsidR="006F64C3" w:rsidRDefault="00C47146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:rsidR="006F64C3" w:rsidRDefault="00C70082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6F64C3" w:rsidRDefault="00C70082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C47146">
        <w:rPr>
          <w:rFonts w:ascii="Georgia" w:eastAsia="Georgia" w:hAnsi="Georgia" w:cs="Georgia"/>
          <w:sz w:val="22"/>
          <w:szCs w:val="22"/>
        </w:rPr>
        <w:t>Iva Sušková,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6F64C3" w:rsidRDefault="006F64C3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:rsidR="006F64C3" w:rsidRDefault="006F64C3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6F64C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1A" w:rsidRDefault="0053601A">
      <w:pPr>
        <w:spacing w:after="0" w:line="240" w:lineRule="auto"/>
      </w:pPr>
      <w:r>
        <w:separator/>
      </w:r>
    </w:p>
  </w:endnote>
  <w:endnote w:type="continuationSeparator" w:id="0">
    <w:p w:rsidR="0053601A" w:rsidRDefault="0053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C3" w:rsidRDefault="00C70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46FD">
      <w:rPr>
        <w:noProof/>
        <w:color w:val="000000"/>
      </w:rPr>
      <w:t>3</w:t>
    </w:r>
    <w:r>
      <w:rPr>
        <w:color w:val="000000"/>
      </w:rPr>
      <w:fldChar w:fldCharType="end"/>
    </w:r>
  </w:p>
  <w:p w:rsidR="006F64C3" w:rsidRDefault="006F64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1A" w:rsidRDefault="0053601A">
      <w:pPr>
        <w:spacing w:after="0" w:line="240" w:lineRule="auto"/>
      </w:pPr>
      <w:r>
        <w:separator/>
      </w:r>
    </w:p>
  </w:footnote>
  <w:footnote w:type="continuationSeparator" w:id="0">
    <w:p w:rsidR="0053601A" w:rsidRDefault="0053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C3" w:rsidRDefault="00C70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20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7CB0"/>
    <w:multiLevelType w:val="multilevel"/>
    <w:tmpl w:val="79C053C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C3"/>
    <w:rsid w:val="00245C11"/>
    <w:rsid w:val="00451A76"/>
    <w:rsid w:val="0053601A"/>
    <w:rsid w:val="006F64C3"/>
    <w:rsid w:val="00952EB4"/>
    <w:rsid w:val="00C47146"/>
    <w:rsid w:val="00C70082"/>
    <w:rsid w:val="00D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27B6-7898-489B-AAF8-B09AA4B3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1347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4</cp:revision>
  <dcterms:created xsi:type="dcterms:W3CDTF">2021-09-07T08:30:00Z</dcterms:created>
  <dcterms:modified xsi:type="dcterms:W3CDTF">2021-09-07T08:43:00Z</dcterms:modified>
</cp:coreProperties>
</file>