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4056" w14:textId="77777777" w:rsidR="00726B26" w:rsidRPr="00726B26" w:rsidRDefault="009A1F27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5871FC4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27E741BA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DD13690" w14:textId="77777777" w:rsidR="00726B26" w:rsidRDefault="00726B26" w:rsidP="00726B26"/>
    <w:p w14:paraId="0E2722C9" w14:textId="2ACC7878" w:rsidR="00726B26" w:rsidRPr="00726B26" w:rsidRDefault="00F605EC" w:rsidP="00726B26">
      <w:pPr>
        <w:rPr>
          <w:b/>
        </w:rPr>
      </w:pPr>
      <w:r>
        <w:rPr>
          <w:b/>
        </w:rPr>
        <w:t>C SYSTEM CZ a.s.</w:t>
      </w:r>
    </w:p>
    <w:p w14:paraId="0E6E1EDD" w14:textId="7EF25FF1" w:rsidR="00726B26" w:rsidRDefault="00726B26" w:rsidP="00726B26">
      <w:r>
        <w:t xml:space="preserve">IČ: </w:t>
      </w:r>
      <w:r w:rsidR="00F605EC">
        <w:t>27675645</w:t>
      </w:r>
    </w:p>
    <w:p w14:paraId="31A2AD59" w14:textId="6036071A" w:rsidR="00726B26" w:rsidRPr="00512AB9" w:rsidRDefault="00726B26" w:rsidP="00726B26">
      <w:r>
        <w:t xml:space="preserve">DIČ: </w:t>
      </w:r>
      <w:r w:rsidR="00F605EC">
        <w:t>CZ27675645</w:t>
      </w:r>
    </w:p>
    <w:p w14:paraId="48E0F77D" w14:textId="1ED30190" w:rsidR="00726B26" w:rsidRPr="00512AB9" w:rsidRDefault="00726B26" w:rsidP="00726B26">
      <w:r>
        <w:t>se sídlem</w:t>
      </w:r>
      <w:r w:rsidRPr="00512AB9">
        <w:t xml:space="preserve">:  </w:t>
      </w:r>
      <w:r w:rsidR="00F605EC">
        <w:t>Otakara Ševčíka 840/10, 636 00 Brno</w:t>
      </w:r>
    </w:p>
    <w:p w14:paraId="79834D2D" w14:textId="409D5DCC" w:rsidR="00726B26" w:rsidRPr="00512AB9" w:rsidRDefault="00726B26" w:rsidP="00726B26">
      <w:r>
        <w:t>zastoupena</w:t>
      </w:r>
      <w:r w:rsidRPr="00512AB9">
        <w:t xml:space="preserve">: </w:t>
      </w:r>
      <w:r w:rsidR="00F605EC">
        <w:t xml:space="preserve">Mgr. Romanem </w:t>
      </w:r>
      <w:proofErr w:type="spellStart"/>
      <w:r w:rsidR="00F605EC">
        <w:t>Klimusem</w:t>
      </w:r>
      <w:proofErr w:type="spellEnd"/>
      <w:r w:rsidR="00F605EC">
        <w:t>, předsedou představenstva</w:t>
      </w:r>
    </w:p>
    <w:p w14:paraId="3D349E3A" w14:textId="1EFC9736" w:rsidR="00726B26" w:rsidRPr="00512AB9" w:rsidRDefault="00726B26" w:rsidP="00726B26">
      <w:r w:rsidRPr="00512AB9">
        <w:t xml:space="preserve">bankovní spojení: </w:t>
      </w:r>
      <w:proofErr w:type="spellStart"/>
      <w:r w:rsidR="00F605EC">
        <w:t>UniCredit</w:t>
      </w:r>
      <w:proofErr w:type="spellEnd"/>
      <w:r w:rsidR="00F605EC">
        <w:t xml:space="preserve"> Bank Czech Republic and Slovakia, a.s.</w:t>
      </w:r>
    </w:p>
    <w:p w14:paraId="26A6D9AF" w14:textId="58FA3C0B" w:rsidR="00726B26" w:rsidRPr="00512AB9" w:rsidRDefault="00726B26" w:rsidP="00726B26">
      <w:r w:rsidRPr="00512AB9">
        <w:t xml:space="preserve">číslo účtu: </w:t>
      </w:r>
      <w:r w:rsidR="00F605EC">
        <w:t>1387284101/2700</w:t>
      </w:r>
    </w:p>
    <w:p w14:paraId="69F9D468" w14:textId="6ABC5CAA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F605EC">
        <w:t>Krajským</w:t>
      </w:r>
      <w:r>
        <w:t xml:space="preserve"> </w:t>
      </w:r>
      <w:r w:rsidRPr="00652864">
        <w:t>soudem v </w:t>
      </w:r>
      <w:r w:rsidR="00F605EC">
        <w:t>Brně</w:t>
      </w:r>
      <w:r w:rsidRPr="00652864">
        <w:t xml:space="preserve">, oddíl </w:t>
      </w:r>
      <w:r w:rsidR="00F605EC">
        <w:t>B</w:t>
      </w:r>
      <w:r w:rsidRPr="00652864">
        <w:t xml:space="preserve">, vložka </w:t>
      </w:r>
      <w:r w:rsidR="00F605EC">
        <w:t>4576</w:t>
      </w:r>
    </w:p>
    <w:p w14:paraId="30567EB6" w14:textId="77777777" w:rsidR="00726B26" w:rsidRPr="002B77A6" w:rsidRDefault="00726B26" w:rsidP="00726B26">
      <w:pPr>
        <w:rPr>
          <w:rStyle w:val="platne1"/>
        </w:rPr>
      </w:pPr>
    </w:p>
    <w:p w14:paraId="0147D94C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3C67EF88" w14:textId="77777777" w:rsidR="00726B26" w:rsidRPr="002B77A6" w:rsidRDefault="00726B26" w:rsidP="00726B26">
      <w:pPr>
        <w:rPr>
          <w:rStyle w:val="platne1"/>
        </w:rPr>
      </w:pPr>
    </w:p>
    <w:p w14:paraId="7A5D13B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5FCA3A95" w14:textId="77777777" w:rsidR="00726B26" w:rsidRPr="002B77A6" w:rsidRDefault="00726B26" w:rsidP="00726B26">
      <w:pPr>
        <w:rPr>
          <w:rStyle w:val="platne1"/>
        </w:rPr>
      </w:pPr>
    </w:p>
    <w:p w14:paraId="6C363D9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77E4E2E7" w14:textId="77777777" w:rsidR="00726B26" w:rsidRPr="002B77A6" w:rsidRDefault="00726B26" w:rsidP="00726B26">
      <w:r w:rsidRPr="002B77A6">
        <w:t>IČ: 65269705</w:t>
      </w:r>
    </w:p>
    <w:p w14:paraId="22E1A23E" w14:textId="77777777" w:rsidR="00726B26" w:rsidRPr="002B77A6" w:rsidRDefault="00726B26" w:rsidP="00726B26">
      <w:r w:rsidRPr="002B77A6">
        <w:t>DIČ: CZ65269705</w:t>
      </w:r>
    </w:p>
    <w:p w14:paraId="4519F4C6" w14:textId="77777777" w:rsidR="00726B26" w:rsidRPr="002B77A6" w:rsidRDefault="00726B26" w:rsidP="00726B26">
      <w:r w:rsidRPr="002B77A6">
        <w:t xml:space="preserve">se sídlem: Brno, Jihlavská 20, PSČ 625 00 </w:t>
      </w:r>
    </w:p>
    <w:p w14:paraId="0FD01804" w14:textId="77777777" w:rsidR="00726B26" w:rsidRPr="002B77A6" w:rsidRDefault="00726B26" w:rsidP="00726B26">
      <w:r>
        <w:t>zastoupena</w:t>
      </w:r>
      <w:r w:rsidRPr="002B77A6">
        <w:t xml:space="preserve">: </w:t>
      </w:r>
      <w:r w:rsidR="002003F2" w:rsidRPr="002003F2">
        <w:t>prof. MUDr. Jaroslav Štěrba, Ph.D.</w:t>
      </w:r>
      <w:r w:rsidRPr="002B77A6">
        <w:t xml:space="preserve">, ředitel </w:t>
      </w:r>
    </w:p>
    <w:p w14:paraId="3D35FAE4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AE6C176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198B464" w14:textId="77777777" w:rsidR="00726B26" w:rsidRDefault="00726B26" w:rsidP="00726B26"/>
    <w:p w14:paraId="3A4D4914" w14:textId="77777777" w:rsidR="00726B26" w:rsidRDefault="00726B26" w:rsidP="00735A8F">
      <w:pPr>
        <w:spacing w:line="240" w:lineRule="auto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F95B8F" w14:textId="77777777" w:rsidR="00EC32A0" w:rsidRPr="002B77A6" w:rsidRDefault="00EC32A0" w:rsidP="00735A8F">
      <w:pPr>
        <w:spacing w:line="240" w:lineRule="auto"/>
      </w:pPr>
    </w:p>
    <w:p w14:paraId="163A47E1" w14:textId="77777777" w:rsidR="00726B26" w:rsidRPr="002B77A6" w:rsidRDefault="00726B26" w:rsidP="00726B26">
      <w:pPr>
        <w:rPr>
          <w:rStyle w:val="platne1"/>
        </w:rPr>
      </w:pPr>
    </w:p>
    <w:p w14:paraId="54E44ECA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5AF833C" w14:textId="77777777" w:rsidR="00726B26" w:rsidRPr="002B77A6" w:rsidRDefault="00726B26" w:rsidP="00726B26">
      <w:pPr>
        <w:rPr>
          <w:rStyle w:val="platne1"/>
        </w:rPr>
      </w:pPr>
    </w:p>
    <w:p w14:paraId="494A6532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4619052F" w14:textId="77777777" w:rsidR="00726B26" w:rsidRPr="002B77A6" w:rsidRDefault="00726B26" w:rsidP="00726B26">
      <w:pPr>
        <w:spacing w:after="60"/>
        <w:rPr>
          <w:rStyle w:val="platne1"/>
        </w:rPr>
      </w:pPr>
    </w:p>
    <w:p w14:paraId="48E8A3A1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1FDA433D" w14:textId="77777777" w:rsidR="00726B26" w:rsidRPr="002B77A6" w:rsidRDefault="00726B26" w:rsidP="00726B26">
      <w:pPr>
        <w:jc w:val="center"/>
        <w:rPr>
          <w:b/>
          <w:bCs/>
        </w:rPr>
      </w:pPr>
    </w:p>
    <w:p w14:paraId="13523648" w14:textId="3E57C81E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kupní smlouvy (dále též jen „</w:t>
      </w:r>
      <w:r>
        <w:rPr>
          <w:b/>
        </w:rPr>
        <w:t>smlouva</w:t>
      </w:r>
      <w:r>
        <w:t xml:space="preserve">“) je sjednání podmínek </w:t>
      </w:r>
      <w:r w:rsidR="00544555">
        <w:t xml:space="preserve">dodávky </w:t>
      </w:r>
      <w:r>
        <w:t xml:space="preserve">zboží </w:t>
      </w:r>
      <w:r w:rsidR="002317B2">
        <w:t xml:space="preserve">na základě </w:t>
      </w:r>
      <w:r w:rsidR="00513EA3">
        <w:t>objednávek</w:t>
      </w:r>
      <w:r w:rsidR="002317B2">
        <w:t xml:space="preserve">, </w:t>
      </w:r>
      <w:r>
        <w:t>v rámci veřejné zakázky</w:t>
      </w:r>
      <w:r w:rsidR="000D35F4">
        <w:t xml:space="preserve"> </w:t>
      </w:r>
      <w:r w:rsidR="002317B2">
        <w:t>„Obnova ICT</w:t>
      </w:r>
      <w:r w:rsidR="00201BD2">
        <w:t>, část č.</w:t>
      </w:r>
      <w:r w:rsidR="00A30EA0">
        <w:t xml:space="preserve"> </w:t>
      </w:r>
      <w:r w:rsidR="001B35A3">
        <w:t>4</w:t>
      </w:r>
      <w:r w:rsidR="00B24EC9">
        <w:t xml:space="preserve"> – Tencí klienti</w:t>
      </w:r>
      <w:r>
        <w:t>“ (dále jen „</w:t>
      </w:r>
      <w:r w:rsidRPr="00AC626E">
        <w:rPr>
          <w:b/>
        </w:rPr>
        <w:t>Veřejná zakázka</w:t>
      </w:r>
      <w:r>
        <w:t>“)</w:t>
      </w:r>
      <w:r w:rsidR="002317B2">
        <w:t>, které budou na základě této smlouvy zasílány Prodávajícímu</w:t>
      </w:r>
      <w:r>
        <w:t>.</w:t>
      </w:r>
    </w:p>
    <w:p w14:paraId="53F927B2" w14:textId="77777777" w:rsidR="00014CFB" w:rsidRDefault="00014CFB" w:rsidP="00014CFB">
      <w:pPr>
        <w:jc w:val="center"/>
        <w:rPr>
          <w:b/>
          <w:bCs/>
        </w:rPr>
      </w:pPr>
    </w:p>
    <w:p w14:paraId="1874B2B4" w14:textId="77777777" w:rsidR="00014CFB" w:rsidRDefault="00014CFB" w:rsidP="00014CFB">
      <w:pPr>
        <w:pStyle w:val="Nadpis1"/>
      </w:pPr>
      <w:r>
        <w:t>Předmět smlouvy</w:t>
      </w:r>
    </w:p>
    <w:p w14:paraId="4FF87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925C66A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09397E5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DB195EA" w14:textId="77777777" w:rsidR="00014CFB" w:rsidRDefault="00513EA3" w:rsidP="00544555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objednávek, </w:t>
      </w:r>
      <w:r>
        <w:lastRenderedPageBreak/>
        <w:t xml:space="preserve">které jsou jednostranným právním jednáním Kupujícího, zasílaných Kupujícím 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>“)</w:t>
      </w:r>
    </w:p>
    <w:p w14:paraId="20D133F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C23078" w14:textId="77777777" w:rsidR="00513EA3" w:rsidRDefault="00513EA3" w:rsidP="00513E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  <w:r w:rsidRPr="002110F3">
        <w:t xml:space="preserve">Prodávající se zavazuje dodávat pouze </w:t>
      </w:r>
      <w:r>
        <w:t>Z</w:t>
      </w:r>
      <w:r w:rsidRPr="002110F3">
        <w:t xml:space="preserve">boží splňující požadavky stanovené pro </w:t>
      </w:r>
      <w:r>
        <w:t>Z</w:t>
      </w:r>
      <w:r w:rsidRPr="002110F3">
        <w:t xml:space="preserve">boží tohoto druhu v České republice včetně požadavků na nakládání s takovým </w:t>
      </w:r>
      <w:r>
        <w:t>Z</w:t>
      </w:r>
      <w:r w:rsidRPr="002110F3">
        <w:t>božím.</w:t>
      </w:r>
    </w:p>
    <w:p w14:paraId="78CA1A7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C676F19" w14:textId="77777777" w:rsidR="00544555" w:rsidRPr="00544555" w:rsidRDefault="00544555" w:rsidP="00544555">
      <w:pPr>
        <w:pStyle w:val="Odstavecsmlouvy"/>
      </w:pPr>
      <w:r>
        <w:t>Prodávající je povinen předat Kupujícímu společně se Zbožím veškerou dokumentaci nutnou k převzetí a řádnému užívání Zboží a dokumentaci, kterou vyžadují příslušné právní předpisy (tyto a následující doklady dále souhrnně jen „</w:t>
      </w:r>
      <w:r w:rsidRPr="00EA4C8B">
        <w:rPr>
          <w:b/>
        </w:rPr>
        <w:t>Doklady</w:t>
      </w:r>
      <w:r>
        <w:t>“), případně včetně nezbytného software, a to zejména</w:t>
      </w:r>
      <w:r w:rsidRPr="00544555">
        <w:t>:</w:t>
      </w:r>
    </w:p>
    <w:p w14:paraId="271E00C1" w14:textId="77777777" w:rsidR="00544555" w:rsidRPr="00544555" w:rsidRDefault="00544555" w:rsidP="00544555">
      <w:pPr>
        <w:pStyle w:val="Psmenoodstavce"/>
      </w:pPr>
      <w:r>
        <w:t>o</w:t>
      </w:r>
      <w:r w:rsidRPr="00544555">
        <w:t>vladače k</w:t>
      </w:r>
      <w:r>
        <w:t xml:space="preserve"> hardware, ledaže </w:t>
      </w:r>
      <w:r w:rsidRPr="00544555">
        <w:t xml:space="preserve">jsou </w:t>
      </w:r>
      <w:r>
        <w:t xml:space="preserve">tyto </w:t>
      </w:r>
      <w:r w:rsidRPr="00544555">
        <w:t>ovladače volně ke stažení z webu dodavatele nebo výrobce</w:t>
      </w:r>
      <w:r>
        <w:t xml:space="preserve"> a Prodávající tuto skutečnost včetně webové adresy uvedl ve své nabídce na Veřejnou zakázku;</w:t>
      </w:r>
      <w:r w:rsidRPr="00544555">
        <w:t xml:space="preserve"> </w:t>
      </w:r>
    </w:p>
    <w:p w14:paraId="450FAA87" w14:textId="77777777" w:rsidR="00544555" w:rsidRPr="00544555" w:rsidRDefault="00544555" w:rsidP="00544555">
      <w:pPr>
        <w:pStyle w:val="Psmenoodstavce"/>
      </w:pPr>
      <w:r>
        <w:t xml:space="preserve">tzv. </w:t>
      </w:r>
      <w:proofErr w:type="spellStart"/>
      <w:r w:rsidRPr="00544555">
        <w:t>datasheet</w:t>
      </w:r>
      <w:r>
        <w:t>y</w:t>
      </w:r>
      <w:proofErr w:type="spellEnd"/>
      <w:r>
        <w:t xml:space="preserve"> ke Zboží;</w:t>
      </w:r>
    </w:p>
    <w:p w14:paraId="050DE2A6" w14:textId="77777777" w:rsidR="00544555" w:rsidRDefault="00544555" w:rsidP="00544555">
      <w:pPr>
        <w:pStyle w:val="Psmenoodstavce"/>
      </w:pPr>
      <w:r>
        <w:t>p</w:t>
      </w:r>
      <w:r w:rsidRPr="00544555">
        <w:t>rohlášení o shodě dle zákona č. 22/1997 Sb., o technických požadavcích na výrobky, ve znění pozdějších předpisů</w:t>
      </w:r>
      <w:r>
        <w:t>,</w:t>
      </w:r>
      <w:r w:rsidRPr="00544555">
        <w:t xml:space="preserve"> a to v českém jazyce.</w:t>
      </w:r>
    </w:p>
    <w:p w14:paraId="00BCB979" w14:textId="77777777" w:rsidR="00525505" w:rsidRDefault="00525505" w:rsidP="00525505">
      <w:pPr>
        <w:pStyle w:val="Odstavecsmlouvy"/>
        <w:numPr>
          <w:ilvl w:val="0"/>
          <w:numId w:val="0"/>
        </w:numPr>
        <w:ind w:left="567"/>
      </w:pPr>
    </w:p>
    <w:p w14:paraId="63240F27" w14:textId="77777777" w:rsidR="00525505" w:rsidRDefault="00525505" w:rsidP="00525505">
      <w:pPr>
        <w:pStyle w:val="Odstavecsmlouvy"/>
      </w:pPr>
      <w:r>
        <w:t xml:space="preserve">V případě, že součástí Zboží </w:t>
      </w:r>
      <w:r w:rsidR="00072AB4">
        <w:t xml:space="preserve">nebo Dokladů </w:t>
      </w:r>
      <w:r>
        <w:t>je autorské dílo, zejména počítačový program, je Prodávající povinen poskytnou</w:t>
      </w:r>
      <w:r w:rsidR="00072AB4">
        <w:t>t</w:t>
      </w:r>
      <w:r>
        <w:t xml:space="preserve"> plnění podle této smlouvy tak, aby Kupující měl nejpozději při převzetí Zboží k takovému autorskému dílu </w:t>
      </w:r>
      <w:r w:rsidR="00072AB4">
        <w:t xml:space="preserve">dostatek </w:t>
      </w:r>
      <w:r>
        <w:t>užívací</w:t>
      </w:r>
      <w:r w:rsidR="00072AB4">
        <w:t>ch práv</w:t>
      </w:r>
      <w:r>
        <w:t xml:space="preserve"> (licenci)</w:t>
      </w:r>
      <w:r w:rsidR="00072AB4">
        <w:t>, a to</w:t>
      </w:r>
      <w:r>
        <w:t xml:space="preserve"> v rozsahu nezbytném pro řádné užívání Zboží a všech jeho součástí, </w:t>
      </w:r>
      <w:r w:rsidR="00072AB4">
        <w:t xml:space="preserve">všemi způsoby, </w:t>
      </w:r>
      <w:r w:rsidR="00072AB4" w:rsidRPr="00525505">
        <w:t xml:space="preserve">bez omezení počtu užití, bez omezení počtu uživatelů, </w:t>
      </w:r>
      <w:r>
        <w:t xml:space="preserve">bez časového </w:t>
      </w:r>
      <w:r w:rsidR="00072AB4">
        <w:t xml:space="preserve">a územního </w:t>
      </w:r>
      <w:r>
        <w:t xml:space="preserve">omezení a </w:t>
      </w:r>
      <w:r w:rsidR="00072AB4">
        <w:t xml:space="preserve">nejméně </w:t>
      </w:r>
      <w:r>
        <w:t>v rozsahu, který vyplývá z přílohy č. 1 této smlouvy a z účelového určení Zboží</w:t>
      </w:r>
      <w:r w:rsidR="00072AB4">
        <w:t>.</w:t>
      </w:r>
    </w:p>
    <w:p w14:paraId="79662DD9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5FF9CB9A" w14:textId="77777777" w:rsidR="00513EA3" w:rsidRDefault="00513EA3" w:rsidP="00513EA3">
      <w:pPr>
        <w:pStyle w:val="Odstavecsmlouvy"/>
      </w:pPr>
      <w:r>
        <w:t>Kupující není povinen vystavit byť jedinou Objednávku.</w:t>
      </w:r>
    </w:p>
    <w:p w14:paraId="0D04B0D5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0800A5B6" w14:textId="77777777" w:rsidR="00513EA3" w:rsidRDefault="00513EA3" w:rsidP="00513EA3">
      <w:pPr>
        <w:pStyle w:val="Odstavecsmlouvy"/>
      </w:pPr>
      <w:r>
        <w:t>Kupující se v rámci každé Objednávky zavazuje za podmínek této smlouvy dodané Zboží převzít a uhradit za něj Prodávajícímu Kupní cenu stanovenou dle této smlouvy.</w:t>
      </w:r>
    </w:p>
    <w:p w14:paraId="46058E7A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5E37ABB8" w14:textId="77777777" w:rsidR="00513EA3" w:rsidRDefault="00513EA3" w:rsidP="00513EA3">
      <w:pPr>
        <w:pStyle w:val="Nadpis1"/>
      </w:pPr>
      <w:bookmarkStart w:id="1" w:name="_Ref534806146"/>
      <w:r>
        <w:t>Objednávky</w:t>
      </w:r>
      <w:bookmarkEnd w:id="1"/>
    </w:p>
    <w:p w14:paraId="18C3A40A" w14:textId="77777777" w:rsidR="00513EA3" w:rsidRPr="002B77A6" w:rsidRDefault="00513EA3" w:rsidP="00513EA3">
      <w:pPr>
        <w:jc w:val="center"/>
        <w:rPr>
          <w:b/>
          <w:bCs/>
        </w:rPr>
      </w:pPr>
    </w:p>
    <w:p w14:paraId="2478C038" w14:textId="77777777" w:rsidR="00513EA3" w:rsidRDefault="00513EA3" w:rsidP="00513E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4772DABE" w14:textId="1546F420" w:rsidR="00513EA3" w:rsidRDefault="00513EA3" w:rsidP="00513EA3">
      <w:pPr>
        <w:pStyle w:val="Psmenoodstavce"/>
        <w:ind w:hanging="742"/>
      </w:pPr>
      <w:r>
        <w:t xml:space="preserve">e-mailem na adresu </w:t>
      </w:r>
      <w:r w:rsidR="00F605EC">
        <w:t>info@csystem.cz</w:t>
      </w:r>
      <w:r>
        <w:t>;</w:t>
      </w:r>
    </w:p>
    <w:p w14:paraId="2EBDBA9C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3FACCE89" w14:textId="5A5E3944" w:rsidR="00513EA3" w:rsidRDefault="00513EA3" w:rsidP="00513EA3">
      <w:pPr>
        <w:pStyle w:val="Odstavecsmlouvy"/>
      </w:pPr>
      <w:r>
        <w:t xml:space="preserve">V naléhavých případech je Kupující oprávněn učinit Objednávku rovněž telefonicky na čísle </w:t>
      </w:r>
      <w:r w:rsidR="00F605EC">
        <w:t>+420 532 140 172</w:t>
      </w:r>
      <w:r>
        <w:t xml:space="preserve">. </w:t>
      </w:r>
    </w:p>
    <w:p w14:paraId="637C2BC5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2DA801C7" w14:textId="77777777" w:rsidR="00513EA3" w:rsidRDefault="00513EA3" w:rsidP="00513EA3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215907A3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6F86B19B" w14:textId="77777777" w:rsidR="00513EA3" w:rsidRDefault="00513EA3" w:rsidP="00513EA3">
      <w:pPr>
        <w:pStyle w:val="Odstavecsmlouvy"/>
      </w:pPr>
      <w:r>
        <w:t>Minimální (finanční) objem jednotlivých dílčích plnění není stanoven.</w:t>
      </w:r>
    </w:p>
    <w:p w14:paraId="1D588CC2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691CB548" w14:textId="654766C7" w:rsidR="00513EA3" w:rsidRDefault="00513EA3" w:rsidP="00513EA3">
      <w:pPr>
        <w:pStyle w:val="Odstavecsmlouvy"/>
      </w:pPr>
      <w:r>
        <w:t xml:space="preserve">Prodávající je povinen doručení Objednávky Kupujícímu písemně potvrdit, a to e-mailem bez zbytečného odkladu po přijetí Objednávky na adresu, z níž byla Objednávka odeslána, případně rovněž na jinou, mezi smluvními stranami dohodnutou, adresu. V případě Objednávky učiněné telefonicky nebo faxem je Prodávající povinen doručení Objednávky Kupujícímu potvrdit e-mailem bez zbytečného odkladu na adresu </w:t>
      </w:r>
      <w:r w:rsidR="00520CB8">
        <w:t>XXXXXXXXXX</w:t>
      </w:r>
      <w:r w:rsidR="00520CB8">
        <w:t>.</w:t>
      </w:r>
      <w:bookmarkStart w:id="3" w:name="_GoBack"/>
      <w:bookmarkEnd w:id="3"/>
    </w:p>
    <w:p w14:paraId="0D637DF3" w14:textId="77777777" w:rsidR="00513EA3" w:rsidRDefault="00513EA3" w:rsidP="00513EA3">
      <w:pPr>
        <w:pStyle w:val="Odstavecsmlouvy"/>
        <w:numPr>
          <w:ilvl w:val="0"/>
          <w:numId w:val="0"/>
        </w:numPr>
        <w:ind w:left="567"/>
      </w:pPr>
    </w:p>
    <w:p w14:paraId="3CE3913E" w14:textId="77777777" w:rsidR="00513EA3" w:rsidRDefault="00513EA3" w:rsidP="00513EA3">
      <w:pPr>
        <w:pStyle w:val="Odstavecsmlouvy"/>
      </w:pPr>
      <w:bookmarkStart w:id="4" w:name="_Ref501120386"/>
      <w:r>
        <w:lastRenderedPageBreak/>
        <w:t>Každá Objednávka musí obsahovat alespoň následující údaje:</w:t>
      </w:r>
      <w:bookmarkEnd w:id="4"/>
    </w:p>
    <w:p w14:paraId="0147D9AF" w14:textId="77777777" w:rsidR="00513EA3" w:rsidRDefault="00513EA3" w:rsidP="00513EA3">
      <w:pPr>
        <w:pStyle w:val="Psmenoodstavce"/>
      </w:pPr>
      <w:r>
        <w:t>identifikační údaje Kupujícího a Prodávajícího;</w:t>
      </w:r>
    </w:p>
    <w:p w14:paraId="3C76C01A" w14:textId="77777777" w:rsidR="00513EA3" w:rsidRDefault="00513EA3" w:rsidP="00513EA3">
      <w:pPr>
        <w:pStyle w:val="Psmenoodstavce"/>
      </w:pPr>
      <w:r>
        <w:t>množství a druhy Zboží;</w:t>
      </w:r>
    </w:p>
    <w:p w14:paraId="32B481C2" w14:textId="77777777" w:rsidR="00513EA3" w:rsidRDefault="00513EA3" w:rsidP="00513EA3">
      <w:pPr>
        <w:pStyle w:val="Psmenoodstavce"/>
      </w:pPr>
      <w:r>
        <w:t>místo dodání.</w:t>
      </w:r>
    </w:p>
    <w:p w14:paraId="51E2CC63" w14:textId="77777777" w:rsidR="00513EA3" w:rsidRDefault="00513EA3" w:rsidP="00513EA3">
      <w:pPr>
        <w:pStyle w:val="Psmenoodstavce"/>
        <w:numPr>
          <w:ilvl w:val="0"/>
          <w:numId w:val="0"/>
        </w:numPr>
        <w:ind w:left="1418"/>
      </w:pPr>
    </w:p>
    <w:p w14:paraId="04C7D4CD" w14:textId="77777777" w:rsidR="00513EA3" w:rsidRPr="00DC4A6D" w:rsidRDefault="00513EA3" w:rsidP="00513EA3">
      <w:pPr>
        <w:pStyle w:val="Psmenoodstavce"/>
        <w:numPr>
          <w:ilvl w:val="0"/>
          <w:numId w:val="0"/>
        </w:numPr>
        <w:ind w:left="567" w:hanging="567"/>
      </w:pPr>
      <w:proofErr w:type="gramStart"/>
      <w:r w:rsidRPr="00834479">
        <w:rPr>
          <w:b/>
        </w:rPr>
        <w:t>III.7</w:t>
      </w:r>
      <w:r>
        <w:tab/>
        <w:t>V případě</w:t>
      </w:r>
      <w:proofErr w:type="gramEnd"/>
      <w:r>
        <w:t xml:space="preserve"> že</w:t>
      </w:r>
      <w:r w:rsidRPr="00DC4A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Pr="00DC4A6D">
        <w:t xml:space="preserve">rodávající není schopen (při splnění podmínek smlouvy) dílčí plnění dodat či jej není schopen dodat v celém rozsahu, je povinen o této skutečnosti </w:t>
      </w:r>
      <w:r>
        <w:t>K</w:t>
      </w:r>
      <w:r w:rsidRPr="00DC4A6D">
        <w:t xml:space="preserve">upujícího informovat formou tzv. </w:t>
      </w:r>
      <w:r w:rsidRPr="0024170C">
        <w:rPr>
          <w:b/>
        </w:rPr>
        <w:t>„Defektního listu“</w:t>
      </w:r>
      <w:r w:rsidRPr="00DC4A6D">
        <w:t xml:space="preserve"> zaslaného do dvou hodin od doručení </w:t>
      </w:r>
      <w:r>
        <w:t>Objednávky</w:t>
      </w:r>
      <w:r w:rsidRPr="00DC4A6D">
        <w:t>. Z </w:t>
      </w:r>
      <w:r>
        <w:t>D</w:t>
      </w:r>
      <w:r w:rsidRPr="00DC4A6D">
        <w:t xml:space="preserve">efektního listu musí vyplývat, v jakém rozsahu není </w:t>
      </w:r>
      <w:r>
        <w:t>Pr</w:t>
      </w:r>
      <w:r w:rsidRPr="00DC4A6D">
        <w:t xml:space="preserve">odávající dílčí plnění schopen dodat. V rozsahu vymezeném </w:t>
      </w:r>
      <w:r>
        <w:t>D</w:t>
      </w:r>
      <w:r w:rsidRPr="00DC4A6D">
        <w:t xml:space="preserve">efektním listem pak </w:t>
      </w:r>
      <w:r>
        <w:t>P</w:t>
      </w:r>
      <w:r w:rsidRPr="00DC4A6D">
        <w:t>rodávající dílčí plnění nedodá.</w:t>
      </w:r>
    </w:p>
    <w:p w14:paraId="5DDE4A7E" w14:textId="77777777" w:rsidR="00544555" w:rsidRDefault="00544555" w:rsidP="00014CFB">
      <w:pPr>
        <w:jc w:val="center"/>
        <w:rPr>
          <w:b/>
          <w:bCs/>
        </w:rPr>
      </w:pPr>
    </w:p>
    <w:p w14:paraId="33DCBEF5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3696939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9AA13B4" w14:textId="5AD5A984" w:rsidR="00544555" w:rsidRDefault="00544555" w:rsidP="00525505">
      <w:pPr>
        <w:pStyle w:val="Odstavecsmlouvy"/>
      </w:pPr>
      <w:r>
        <w:t>Prodá</w:t>
      </w:r>
      <w:r w:rsidR="007F157D">
        <w:t xml:space="preserve">vající se zavazuje dodat Zboží </w:t>
      </w:r>
      <w:r w:rsidR="00201BD2">
        <w:t xml:space="preserve">dle Objednávky do </w:t>
      </w:r>
      <w:r w:rsidR="00F605EC">
        <w:t xml:space="preserve">4 týdnů </w:t>
      </w:r>
      <w:r>
        <w:t xml:space="preserve">od </w:t>
      </w:r>
      <w:r w:rsidR="00201BD2">
        <w:t>jejího doručení Prodávajícímu</w:t>
      </w:r>
      <w:r>
        <w:t xml:space="preserve"> a Kupující se zavazuje </w:t>
      </w:r>
      <w:r w:rsidR="00525505">
        <w:t xml:space="preserve">řádně </w:t>
      </w:r>
      <w:r>
        <w:t>dodané Zboží převzít.</w:t>
      </w:r>
    </w:p>
    <w:p w14:paraId="1CC2AB2C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732D7519" w14:textId="77777777" w:rsidR="00544555" w:rsidRDefault="00544555" w:rsidP="00525505">
      <w:pPr>
        <w:pStyle w:val="Odstavecsmlouvy"/>
      </w:pPr>
      <w:r>
        <w:t xml:space="preserve">Místem dodání Zboží je </w:t>
      </w:r>
      <w:r w:rsidR="00201BD2">
        <w:t>S</w:t>
      </w:r>
      <w:r w:rsidR="00525505" w:rsidRPr="00201BD2">
        <w:t>klad MTZ, Pracoviště medicíny dospělého věku, Jihl</w:t>
      </w:r>
      <w:r w:rsidR="00201BD2">
        <w:t>avská 20, 625 00 Brno</w:t>
      </w:r>
      <w:r w:rsidRPr="00201BD2">
        <w:t>.</w:t>
      </w:r>
    </w:p>
    <w:p w14:paraId="31F2302D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48443389" w14:textId="77777777" w:rsidR="00857E7D" w:rsidRDefault="00857E7D" w:rsidP="00857E7D">
      <w:pPr>
        <w:pStyle w:val="Odstavecsmlouvy"/>
      </w:pPr>
      <w:bookmarkStart w:id="6" w:name="_Ref530751629"/>
      <w:r>
        <w:t>Zboží může být dodáno pouze po baleních o maximální hmotnosti 15 kg.</w:t>
      </w:r>
      <w:bookmarkEnd w:id="6"/>
      <w:r>
        <w:t xml:space="preserve"> V odůvodněných případech a s výslovným souhlasem Kupujícího může být Zboží dodáno po baleních o hmotnosti až 20 kg.</w:t>
      </w:r>
    </w:p>
    <w:p w14:paraId="50180AB7" w14:textId="4D31BCE6" w:rsidR="00857E7D" w:rsidRDefault="00857E7D" w:rsidP="00857E7D">
      <w:pPr>
        <w:pStyle w:val="Odstavecsmlouvy"/>
        <w:numPr>
          <w:ilvl w:val="0"/>
          <w:numId w:val="0"/>
        </w:numPr>
        <w:ind w:left="567"/>
      </w:pPr>
    </w:p>
    <w:p w14:paraId="1B95A3ED" w14:textId="38B17225" w:rsidR="00757AB8" w:rsidRDefault="00857E7D" w:rsidP="00757AB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Kupujícím</w:t>
      </w:r>
      <w:r w:rsidRPr="00512AB9">
        <w:t>.</w:t>
      </w:r>
      <w:r>
        <w:t xml:space="preserve"> </w:t>
      </w:r>
      <w:r w:rsidR="00544555">
        <w:t xml:space="preserve">Zástupci Prodávajícího a Kupujícího sepíší a podepíší při dodání </w:t>
      </w:r>
      <w:r w:rsidR="00525505">
        <w:t xml:space="preserve">písemný </w:t>
      </w:r>
      <w:r w:rsidR="00544555">
        <w:t>dodací list o předání a převzetí Zboží</w:t>
      </w:r>
      <w:r w:rsidR="00525505">
        <w:t xml:space="preserve"> (dále jen „</w:t>
      </w:r>
      <w:r w:rsidR="00525505" w:rsidRPr="00525505">
        <w:rPr>
          <w:b/>
        </w:rPr>
        <w:t>Dodací list</w:t>
      </w:r>
      <w:r w:rsidR="00525505">
        <w:t>“)</w:t>
      </w:r>
      <w:r w:rsidR="00544555">
        <w:t xml:space="preserve">. Prodávající i Kupující jsou oprávněni v </w:t>
      </w:r>
      <w:r w:rsidR="00525505">
        <w:t>D</w:t>
      </w:r>
      <w:r w:rsidR="00544555">
        <w:t>odacím listě uvést jakékoliv</w:t>
      </w:r>
      <w:r w:rsidR="00525505">
        <w:t xml:space="preserve"> záznamy, připomínky či výhrady, které</w:t>
      </w:r>
      <w:r w:rsidR="00544555">
        <w:t xml:space="preserve"> se však nepovažují za změnu této smlouvy či dodatek k této smlouvě. Neuvedení jakýchkoliv (i zjevných) vad do </w:t>
      </w:r>
      <w:r w:rsidR="00525505">
        <w:t>D</w:t>
      </w:r>
      <w:r w:rsidR="00544555">
        <w:t xml:space="preserve">odacího listu neomezuje Kupujícího v právu </w:t>
      </w:r>
      <w:r w:rsidR="007F157D">
        <w:t xml:space="preserve">během Záruční doby </w:t>
      </w:r>
      <w:r w:rsidR="00544555">
        <w:t>oznamovat zjištěné vady Prodávající</w:t>
      </w:r>
      <w:r w:rsidR="007F157D">
        <w:t>mu</w:t>
      </w:r>
      <w:r w:rsidR="00544555">
        <w:t xml:space="preserve">. </w:t>
      </w:r>
    </w:p>
    <w:p w14:paraId="0A74BD00" w14:textId="54D31117" w:rsidR="00757AB8" w:rsidRDefault="00757AB8" w:rsidP="00757AB8">
      <w:pPr>
        <w:pStyle w:val="Odstavecsmlouvy"/>
        <w:numPr>
          <w:ilvl w:val="0"/>
          <w:numId w:val="0"/>
        </w:numPr>
        <w:ind w:left="567"/>
      </w:pPr>
    </w:p>
    <w:p w14:paraId="02BCFC53" w14:textId="6D476194" w:rsidR="00757AB8" w:rsidRDefault="00757AB8" w:rsidP="00757AB8">
      <w:pPr>
        <w:pStyle w:val="Odstavecsmlouvy"/>
      </w:pPr>
      <w:r>
        <w:t xml:space="preserve">V případě, že dojde k ukončení výroby, k výpadku výroby, k ukončení dodávek z důvodů na straně třetí osoby nebo k výpadku dodávek z důvodů na straně třetí osoby některé položky zboží, jehož dodávka je součástí předmětu veřejné zakázky, resp. některé její části, vyhrazuje si </w:t>
      </w:r>
      <w:r w:rsidR="007745D0">
        <w:t>Kupující</w:t>
      </w:r>
      <w:r>
        <w:t xml:space="preserve"> změnu závazku ze smlouvy spočívající v nahrazení takové položky zboží jinou položkou stejného účelového určení splňující zadávací podmínky, přičemž </w:t>
      </w:r>
      <w:r w:rsidR="007745D0">
        <w:t>Kupující</w:t>
      </w:r>
      <w:r>
        <w:t xml:space="preserve"> není povinen takovou změnu závazku provést.</w:t>
      </w:r>
    </w:p>
    <w:p w14:paraId="2733E0DE" w14:textId="35516F4D" w:rsidR="00757AB8" w:rsidRDefault="00757AB8" w:rsidP="00757AB8">
      <w:pPr>
        <w:pStyle w:val="Odstavecsmlouvy"/>
        <w:numPr>
          <w:ilvl w:val="0"/>
          <w:numId w:val="0"/>
        </w:numPr>
        <w:ind w:left="567"/>
      </w:pPr>
    </w:p>
    <w:p w14:paraId="3707F7AC" w14:textId="5E891994" w:rsidR="00757AB8" w:rsidRDefault="00757AB8" w:rsidP="00757AB8">
      <w:pPr>
        <w:pStyle w:val="Odstavecsmlouvy"/>
      </w:pPr>
      <w:r>
        <w:t xml:space="preserve">V případě, že výrobce některé položky zboží, jehož dodávka je součástí předmětu veřejné zakázky, resp. některé její části, uvede na trh novou verzi takové položky zboží, která má stejné účelové určení a splňuje zadávací podmínky, vyhrazuje si </w:t>
      </w:r>
      <w:r w:rsidR="007745D0">
        <w:t>Kupující</w:t>
      </w:r>
      <w:r>
        <w:t xml:space="preserve"> změnu závazku ze smlouvy spočívající v nahrazení takové položky zboží touto její novou verzí, přičemž </w:t>
      </w:r>
      <w:r w:rsidR="007745D0">
        <w:t>Kupující</w:t>
      </w:r>
      <w:r>
        <w:t xml:space="preserve"> není povinen takovou změnu závazku provést.</w:t>
      </w:r>
    </w:p>
    <w:p w14:paraId="3814FA5E" w14:textId="1FA17074" w:rsidR="00EE75D5" w:rsidRDefault="00EE75D5" w:rsidP="00EE75D5">
      <w:pPr>
        <w:pStyle w:val="Odstavecsmlouvy"/>
        <w:numPr>
          <w:ilvl w:val="0"/>
          <w:numId w:val="0"/>
        </w:numPr>
        <w:ind w:left="567"/>
      </w:pPr>
    </w:p>
    <w:p w14:paraId="6D0273ED" w14:textId="6849C61F" w:rsidR="00EE75D5" w:rsidRDefault="00EE75D5" w:rsidP="00EE75D5">
      <w:pPr>
        <w:pStyle w:val="Odstavecsmlouvy"/>
      </w:pPr>
      <w:r>
        <w:t xml:space="preserve">Prodávající je povinen předat Kupujícímu společně s dodávkou Zboží veškerou dokumentaci nutnou k převzetí a řádnému užívání Zboží, kterou vyžadují příslušné obecně závazné právní předpisy, a to včetně </w:t>
      </w:r>
      <w:r w:rsidRPr="00616996">
        <w:rPr>
          <w:b/>
        </w:rPr>
        <w:t>Dodacího listu</w:t>
      </w:r>
      <w:r>
        <w:t xml:space="preserve"> </w:t>
      </w:r>
      <w:r w:rsidRPr="006E1A4C">
        <w:t xml:space="preserve">a </w:t>
      </w:r>
      <w:r w:rsidRPr="006E1A4C">
        <w:rPr>
          <w:b/>
        </w:rPr>
        <w:t>faktury</w:t>
      </w:r>
      <w:r w:rsidRPr="006E1A4C">
        <w:t>.</w:t>
      </w:r>
      <w:r w:rsidRPr="006E1A4C">
        <w:rPr>
          <w:rFonts w:asciiTheme="majorHAnsi" w:hAnsiTheme="majorHAnsi"/>
          <w:color w:val="000000"/>
        </w:rPr>
        <w:t xml:space="preserve"> </w:t>
      </w:r>
      <w:r w:rsidRPr="00EE75D5">
        <w:rPr>
          <w:color w:val="000000"/>
        </w:rPr>
        <w:t>P</w:t>
      </w:r>
      <w:r w:rsidRPr="00EE75D5">
        <w:t>ři první dodávce</w:t>
      </w:r>
      <w:r w:rsidRPr="006E1A4C">
        <w:t xml:space="preserve"> dotčeného Zboží Prodávající Kupujícímu předloží</w:t>
      </w:r>
      <w:r w:rsidRPr="00DD6BC3">
        <w:t xml:space="preserve"> rovněž prohlášení o shodě (CE).</w:t>
      </w:r>
    </w:p>
    <w:p w14:paraId="3918AC17" w14:textId="20698923" w:rsidR="00857E7D" w:rsidRDefault="00857E7D" w:rsidP="00857E7D">
      <w:pPr>
        <w:pStyle w:val="Odstavecsmlouvy"/>
        <w:numPr>
          <w:ilvl w:val="0"/>
          <w:numId w:val="0"/>
        </w:numPr>
        <w:ind w:left="567"/>
      </w:pPr>
    </w:p>
    <w:p w14:paraId="18CD4BC1" w14:textId="77777777" w:rsidR="00EE75D5" w:rsidRDefault="00EE75D5" w:rsidP="00EE75D5">
      <w:pPr>
        <w:pStyle w:val="Odstavecsmlouvy"/>
      </w:pPr>
      <w:r>
        <w:t>Dodací list musí obsahovat alespoň následující údaje:</w:t>
      </w:r>
    </w:p>
    <w:p w14:paraId="16DFDBD2" w14:textId="77777777" w:rsidR="00EE75D5" w:rsidRDefault="00EE75D5" w:rsidP="00EE75D5">
      <w:pPr>
        <w:pStyle w:val="Psmenoodstavce"/>
        <w:ind w:left="1418" w:firstLine="0"/>
      </w:pPr>
      <w:r>
        <w:t>identifikační údaje Kupujícího a Prodávajícího;</w:t>
      </w:r>
    </w:p>
    <w:p w14:paraId="2500BD50" w14:textId="77777777" w:rsidR="00EE75D5" w:rsidRDefault="00EE75D5" w:rsidP="00EE75D5">
      <w:pPr>
        <w:pStyle w:val="Psmenoodstavce"/>
        <w:ind w:left="1418" w:firstLine="0"/>
      </w:pPr>
      <w:r>
        <w:t>číslo Objednávky Kupujícího;</w:t>
      </w:r>
    </w:p>
    <w:p w14:paraId="286B7E7B" w14:textId="77777777" w:rsidR="00EE75D5" w:rsidRDefault="00EE75D5" w:rsidP="00EE75D5">
      <w:pPr>
        <w:pStyle w:val="Psmenoodstavce"/>
        <w:ind w:left="1418" w:firstLine="0"/>
      </w:pPr>
      <w:r>
        <w:t>evidenční číslo Dodacího listu;</w:t>
      </w:r>
    </w:p>
    <w:p w14:paraId="3EDFF50C" w14:textId="77777777" w:rsidR="00EE75D5" w:rsidRDefault="00EE75D5" w:rsidP="00EE75D5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30C8A853" w14:textId="77777777" w:rsidR="00EE75D5" w:rsidRDefault="00EE75D5" w:rsidP="00EE75D5">
      <w:pPr>
        <w:pStyle w:val="Psmenoodstavce"/>
        <w:ind w:left="1418" w:firstLine="0"/>
      </w:pPr>
      <w:r>
        <w:lastRenderedPageBreak/>
        <w:t>datum uskutečnění dodávky;</w:t>
      </w:r>
    </w:p>
    <w:p w14:paraId="1CEE3F43" w14:textId="77777777" w:rsidR="00EE75D5" w:rsidRDefault="00EE75D5" w:rsidP="00EE75D5">
      <w:pPr>
        <w:pStyle w:val="Psmenoodstavce"/>
        <w:ind w:left="1418" w:firstLine="0"/>
      </w:pPr>
      <w:r>
        <w:t>specifikace dodaného Zboží a množství;</w:t>
      </w:r>
    </w:p>
    <w:p w14:paraId="1F29E96C" w14:textId="0F88CA0B" w:rsidR="00857E7D" w:rsidRDefault="00EE75D5" w:rsidP="008E7E24">
      <w:pPr>
        <w:pStyle w:val="Psmenoodstavce"/>
        <w:ind w:left="1418" w:firstLine="0"/>
      </w:pPr>
      <w:r>
        <w:t>jednotkové ceny dodané</w:t>
      </w:r>
      <w:r w:rsidR="008E7E24">
        <w:t>ho Zboží (bez DPH a včetně DPH).</w:t>
      </w:r>
    </w:p>
    <w:p w14:paraId="679EC48B" w14:textId="5DFDCB2F" w:rsidR="00857E7D" w:rsidRDefault="00857E7D" w:rsidP="00857E7D">
      <w:pPr>
        <w:pStyle w:val="Odstavecsmlouvy"/>
      </w:pPr>
      <w:r w:rsidRPr="00512AB9">
        <w:t xml:space="preserve">Kupující není povinen </w:t>
      </w:r>
      <w:r>
        <w:t>Z</w:t>
      </w:r>
      <w:r w:rsidRPr="00512AB9">
        <w:t xml:space="preserve">boží převzít, </w:t>
      </w:r>
      <w:r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>
        <w:t xml:space="preserve">pokud Zboží nebude splňovat ujednání této smlouvy nebo právní předpisy,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>
        <w:t>D</w:t>
      </w:r>
      <w:r w:rsidRPr="00512AB9">
        <w:t xml:space="preserve">oklady, pokud </w:t>
      </w:r>
      <w:r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>
        <w:t xml:space="preserve">Doklady </w:t>
      </w:r>
      <w:r w:rsidRPr="00512AB9">
        <w:t xml:space="preserve">nebudou splňovat </w:t>
      </w:r>
      <w:r>
        <w:t>tuto smlouvu</w:t>
      </w:r>
      <w:r w:rsidRPr="00512AB9">
        <w:t xml:space="preserve">. </w:t>
      </w:r>
      <w:r>
        <w:t xml:space="preserve">Kupující je povinen uplatnit právo Zboží nepřevzít bez zbytečného odkladu po zjištění shora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>
        <w:t xml:space="preserve"> Pokud má Zboží vady obalu a nemá žádné jiné vady, mohou se smluvní strany dohodnout na slevě z Kupní ceny. Nedohodnou</w:t>
      </w:r>
      <w:r>
        <w:noBreakHyphen/>
        <w:t>li se, není Kupující povinen takové Zboží převzít.</w:t>
      </w:r>
    </w:p>
    <w:p w14:paraId="538348F6" w14:textId="77777777"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14:paraId="0EC25CD9" w14:textId="21AC3D98" w:rsidR="00EE75D5" w:rsidRDefault="00544555" w:rsidP="00EE75D5">
      <w:pPr>
        <w:pStyle w:val="Odstavecsmlouvy"/>
      </w:pPr>
      <w:r>
        <w:t xml:space="preserve">Okamžikem </w:t>
      </w:r>
      <w:r w:rsidR="00525505">
        <w:t>podpisu Kupujícího na Dodacím</w:t>
      </w:r>
      <w:r>
        <w:t xml:space="preserve"> listu nabývá Kupující vlastnické právo ke Zboží a na Kupujícího </w:t>
      </w:r>
      <w:r w:rsidR="00525505">
        <w:t xml:space="preserve">přechází </w:t>
      </w:r>
      <w:r>
        <w:t>nebezpečí škody na Zboží.</w:t>
      </w:r>
    </w:p>
    <w:p w14:paraId="67C3A3D8" w14:textId="0503A414" w:rsidR="00EE75D5" w:rsidRDefault="00EE75D5" w:rsidP="00EE75D5">
      <w:pPr>
        <w:pStyle w:val="Odstavecsmlouvy"/>
        <w:numPr>
          <w:ilvl w:val="0"/>
          <w:numId w:val="0"/>
        </w:numPr>
        <w:ind w:left="567"/>
      </w:pPr>
    </w:p>
    <w:p w14:paraId="661F1693" w14:textId="3C1F541B" w:rsidR="00EE75D5" w:rsidRDefault="00EE75D5" w:rsidP="00EE75D5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18EA5E09" w14:textId="49D23649" w:rsidR="00EE75D5" w:rsidRDefault="00EE75D5" w:rsidP="00EE75D5">
      <w:pPr>
        <w:pStyle w:val="Odstavecsmlouvy"/>
        <w:numPr>
          <w:ilvl w:val="0"/>
          <w:numId w:val="0"/>
        </w:numPr>
        <w:ind w:left="567"/>
      </w:pPr>
    </w:p>
    <w:p w14:paraId="047AFA8E" w14:textId="348FF881" w:rsidR="00EE75D5" w:rsidRPr="00512AB9" w:rsidRDefault="00EE75D5" w:rsidP="00EE75D5">
      <w:pPr>
        <w:pStyle w:val="Odstavecsmlouvy"/>
      </w:pPr>
      <w:r w:rsidRPr="00512AB9">
        <w:t>V případě nemožnosti plnění z</w:t>
      </w:r>
      <w:r>
        <w:t>e </w:t>
      </w:r>
      <w:r w:rsidRPr="00512AB9">
        <w:t>stran</w:t>
      </w:r>
      <w:r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>
        <w:t>mu</w:t>
      </w:r>
      <w:r w:rsidRPr="00512AB9">
        <w:t xml:space="preserve"> </w:t>
      </w:r>
      <w:r>
        <w:t xml:space="preserve">oznámit </w:t>
      </w:r>
      <w:r w:rsidRPr="00512AB9">
        <w:t xml:space="preserve">přerušení dodávek. Kupující je oprávněn po dobu přerušení dodávek nakupovat </w:t>
      </w:r>
      <w:r>
        <w:t>Zboží nebo jeho část u</w:t>
      </w:r>
      <w:r w:rsidRPr="00512AB9">
        <w:t xml:space="preserve"> jiného dodavatele za ceny obvyklé (</w:t>
      </w:r>
      <w:r>
        <w:t>dále jen „</w:t>
      </w:r>
      <w:r w:rsidRPr="00CF1BA2">
        <w:rPr>
          <w:b/>
        </w:rPr>
        <w:t>náhradní plnění</w:t>
      </w:r>
      <w:r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>
        <w:t>, a to v případě, že Prodávající Kupujícímu přerušení dodávek včas neoznámil</w:t>
      </w:r>
      <w:r w:rsidRPr="00512AB9">
        <w:t>.</w:t>
      </w:r>
    </w:p>
    <w:p w14:paraId="14363E2B" w14:textId="77777777"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14:paraId="7FFBC013" w14:textId="77777777" w:rsidR="00544555" w:rsidRDefault="007F157D" w:rsidP="00544555">
      <w:pPr>
        <w:pStyle w:val="Odstavecsmlouvy"/>
      </w:pPr>
      <w:r>
        <w:t>Pokud je součástí Zboží počítačový program a během Záruční doby dojde k jeho aktualizaci, je Prodávající povinen i bez výzvy Kupujícího bez zbytečného odkladu po vydání takové aktualizace provést instruktáž</w:t>
      </w:r>
      <w:r w:rsidR="00544555">
        <w:t xml:space="preserve"> obsluhujícího personálu Kupujícího</w:t>
      </w:r>
      <w:r>
        <w:t>, a to</w:t>
      </w:r>
      <w:r w:rsidR="00544555">
        <w:t xml:space="preserve"> bez nároku na další úplatu nad rámec </w:t>
      </w:r>
      <w:r>
        <w:t>K</w:t>
      </w:r>
      <w:r w:rsidR="00544555">
        <w:t>upní ceny.</w:t>
      </w:r>
    </w:p>
    <w:p w14:paraId="78048B8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16A2A09" w14:textId="77777777" w:rsidR="000C1FD1" w:rsidRPr="002B77A6" w:rsidRDefault="000C1FD1" w:rsidP="000C1FD1">
      <w:pPr>
        <w:pStyle w:val="Nadpis1"/>
      </w:pPr>
      <w:r>
        <w:t>Kupní cena</w:t>
      </w:r>
      <w:bookmarkEnd w:id="5"/>
      <w:r w:rsidR="0071202D">
        <w:t xml:space="preserve"> a platební podmínky</w:t>
      </w:r>
    </w:p>
    <w:p w14:paraId="40DB93AE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31775526" w14:textId="77777777" w:rsidR="00EE75D5" w:rsidRDefault="00EE75D5" w:rsidP="00EE75D5">
      <w:pPr>
        <w:pStyle w:val="Odstavecsmlouvy"/>
      </w:pPr>
      <w:bookmarkStart w:id="7" w:name="_Ref501115214"/>
      <w:r>
        <w:t>Kupní cenou se rozumí kupní cena Zboží dodaného na základě Objednávky určená podle přílohy č. 1 této smlouvy (takto spočtená kupní cena za Zboží dodané na základě 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41FF0A6A" w14:textId="77777777" w:rsidR="004C62D3" w:rsidRDefault="004C62D3" w:rsidP="000C1FD1">
      <w:pPr>
        <w:pStyle w:val="Odstavecsmlouvy"/>
        <w:numPr>
          <w:ilvl w:val="0"/>
          <w:numId w:val="0"/>
        </w:numPr>
        <w:ind w:left="567"/>
      </w:pPr>
    </w:p>
    <w:p w14:paraId="703F6144" w14:textId="27216291" w:rsidR="000C1FD1" w:rsidRDefault="000C1FD1" w:rsidP="000C1FD1">
      <w:pPr>
        <w:pStyle w:val="Odstavecsmlouvy"/>
      </w:pPr>
      <w:r>
        <w:t xml:space="preserve">Kupní cena je sjednána jako maximální a zahrnuje kromě </w:t>
      </w:r>
      <w:r w:rsidR="007F157D">
        <w:t xml:space="preserve">ceny </w:t>
      </w:r>
      <w:r>
        <w:t xml:space="preserve">Zboží také veškeré náklady </w:t>
      </w:r>
      <w:r w:rsidR="007F157D">
        <w:t>související s jeho dopravou</w:t>
      </w:r>
      <w:r>
        <w:t xml:space="preserve"> do místa </w:t>
      </w:r>
      <w:r w:rsidR="007F157D">
        <w:t>dodání</w:t>
      </w:r>
      <w:r>
        <w:t xml:space="preserve">, </w:t>
      </w:r>
      <w:r w:rsidR="00B20895">
        <w:t xml:space="preserve">a to včetně </w:t>
      </w:r>
      <w:r>
        <w:t>naložení, složení, c</w:t>
      </w:r>
      <w:r w:rsidR="007F157D">
        <w:t>e</w:t>
      </w:r>
      <w:r>
        <w:t>l, kur</w:t>
      </w:r>
      <w:r w:rsidR="007F157D">
        <w:t>z</w:t>
      </w:r>
      <w:r>
        <w:t>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 w:rsidR="00EE75D5">
        <w:t xml:space="preserve"> a</w:t>
      </w:r>
      <w:r w:rsidR="007F157D">
        <w:t xml:space="preserve"> daní</w:t>
      </w:r>
      <w:r w:rsidR="00EE75D5">
        <w:t>.</w:t>
      </w:r>
      <w:r>
        <w:t xml:space="preserve"> </w:t>
      </w:r>
    </w:p>
    <w:p w14:paraId="4A8368F6" w14:textId="77777777"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14:paraId="14721E25" w14:textId="77777777" w:rsidR="008E7E24" w:rsidRDefault="008E7E24" w:rsidP="008E7E24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78FB2943" w14:textId="77777777" w:rsidR="008E7E24" w:rsidRDefault="008E7E24" w:rsidP="008E7E24">
      <w:pPr>
        <w:pStyle w:val="Odstavecsmlouvy"/>
        <w:numPr>
          <w:ilvl w:val="0"/>
          <w:numId w:val="0"/>
        </w:numPr>
        <w:ind w:left="567"/>
      </w:pPr>
    </w:p>
    <w:p w14:paraId="566AD58A" w14:textId="19A395DD" w:rsidR="008E7E24" w:rsidRPr="006E1A4C" w:rsidRDefault="008E7E24" w:rsidP="008E7E24">
      <w:pPr>
        <w:pStyle w:val="Odstavecsmlouvy"/>
      </w:pPr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průměrnou roční míru inflace za předchozí kalendářní rok </w:t>
      </w:r>
      <w:r w:rsidRPr="006E1A4C">
        <w:t xml:space="preserve">zveřejněnou Českým statistickým úřadem, </w:t>
      </w:r>
      <w:r w:rsidR="007745D0">
        <w:t xml:space="preserve">pokud bude vyšší nebo rovna 2 %, </w:t>
      </w:r>
      <w:r w:rsidRPr="006E1A4C">
        <w:t>nejvýše však o 5 % (i v případě, že míra inflace za předchozí kalendářní rok bude vyšší) a to vždy k 1. 4. příslušného roku, počínaje 1. 4. 2021. Zvýšení jednotkových cen dle Přílohy č. 1 této smlouvy o inflaci je Prodávající povinen Kupujícímu oznámit nejpozději do 15. 3. příslušného roku, jinak toto právo navýšit jednotkové ceny dle Přílohy č. 1 této smlouvy v příslušném roce zaniká.</w:t>
      </w:r>
    </w:p>
    <w:p w14:paraId="5B8F060B" w14:textId="77777777" w:rsidR="008E7E24" w:rsidRPr="006E1A4C" w:rsidRDefault="008E7E24" w:rsidP="008E7E24">
      <w:pPr>
        <w:pStyle w:val="Odstavecsmlouvy"/>
        <w:numPr>
          <w:ilvl w:val="0"/>
          <w:numId w:val="0"/>
        </w:numPr>
        <w:ind w:left="567"/>
      </w:pPr>
    </w:p>
    <w:p w14:paraId="18E7B7F4" w14:textId="77777777" w:rsidR="008E7E24" w:rsidRPr="006E1A4C" w:rsidRDefault="008E7E24" w:rsidP="008E7E24">
      <w:pPr>
        <w:pStyle w:val="Odstavecsmlouvy"/>
      </w:pPr>
      <w:r w:rsidRPr="006E1A4C">
        <w:lastRenderedPageBreak/>
        <w:t xml:space="preserve">Ustanovení </w:t>
      </w:r>
      <w:proofErr w:type="gramStart"/>
      <w:r w:rsidRPr="006E1A4C">
        <w:t>čl.</w:t>
      </w:r>
      <w:r>
        <w:t xml:space="preserve"> V.</w:t>
      </w:r>
      <w:r w:rsidRPr="006E1A4C">
        <w:t>4 této</w:t>
      </w:r>
      <w:proofErr w:type="gramEnd"/>
      <w:r w:rsidRPr="006E1A4C">
        <w:t xml:space="preserve"> smlouvy se použije pouze v případě, že průměrná roční míra inflace za předchozí kalendářní rok bude vyšší nebo rovna 2 %. V případě záporné míry inflace se kupní cena nesnižuje.</w:t>
      </w:r>
    </w:p>
    <w:p w14:paraId="791DB31D" w14:textId="77777777"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14:paraId="4264DEAD" w14:textId="5330C998" w:rsidR="008E7E24" w:rsidRDefault="008E7E24" w:rsidP="0053775B">
      <w:pPr>
        <w:pStyle w:val="Odstavecsmlouvy"/>
      </w:pPr>
      <w:r w:rsidRPr="00512AB9">
        <w:t xml:space="preserve">Platba bude prováděna bezhotovostním převodem na účet </w:t>
      </w:r>
      <w:r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 spolu s dodávkou Zboží na základě Objednávky.</w:t>
      </w:r>
      <w:r w:rsidRPr="00512AB9">
        <w:t xml:space="preserve"> </w:t>
      </w:r>
    </w:p>
    <w:p w14:paraId="11B2B62C" w14:textId="11751FCC" w:rsidR="008E7E24" w:rsidRDefault="008E7E24" w:rsidP="008E7E24">
      <w:pPr>
        <w:pStyle w:val="Odstavecsmlouvy"/>
        <w:numPr>
          <w:ilvl w:val="0"/>
          <w:numId w:val="0"/>
        </w:numPr>
        <w:ind w:left="567"/>
      </w:pPr>
    </w:p>
    <w:p w14:paraId="036D5DA5" w14:textId="524E7A59" w:rsidR="004C62D3" w:rsidRDefault="008E7E24" w:rsidP="004C62D3">
      <w:pPr>
        <w:pStyle w:val="Odstavecsmlouvy"/>
      </w:pPr>
      <w:r>
        <w:t>Splatnost faktur</w:t>
      </w:r>
      <w:r w:rsidR="00E923BE">
        <w:t xml:space="preserve"> – daňových dokladů</w:t>
      </w:r>
      <w:r>
        <w:t xml:space="preserve"> je sjednána</w:t>
      </w:r>
      <w:r w:rsidRPr="00723868">
        <w:t xml:space="preserve"> </w:t>
      </w:r>
      <w:r>
        <w:t>60</w:t>
      </w:r>
      <w:r w:rsidRPr="00723868">
        <w:t xml:space="preserve"> dnů od data vystavení. Datum uskutečnění zdanitelného plnění bude shodné s datem předání předmětu plnění objednateli, tj.</w:t>
      </w:r>
      <w:r>
        <w:t xml:space="preserve"> </w:t>
      </w:r>
      <w:r w:rsidRPr="00723868">
        <w:t xml:space="preserve">datem podpisu </w:t>
      </w:r>
      <w:r>
        <w:t>dodacího listu</w:t>
      </w:r>
      <w:r w:rsidRPr="00723868">
        <w:t>.</w:t>
      </w:r>
    </w:p>
    <w:p w14:paraId="15AE2B08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0FA4B68B" w14:textId="1109544E" w:rsidR="008E7E24" w:rsidRDefault="0071202D" w:rsidP="008E7E24">
      <w:pPr>
        <w:pStyle w:val="Odstavecsmlouvy"/>
      </w:pPr>
      <w:r>
        <w:t>F</w:t>
      </w:r>
      <w:r w:rsidRPr="006925A2">
        <w:t>aktura</w:t>
      </w:r>
      <w:r w:rsidR="00E923BE">
        <w:t xml:space="preserve"> – daňový doklad</w:t>
      </w:r>
      <w:r w:rsidRPr="006925A2">
        <w:t xml:space="preserve"> musí splňovat veškeré </w:t>
      </w:r>
      <w:r w:rsidR="007F157D">
        <w:t xml:space="preserve">podmínky této smlouvy, veškeré </w:t>
      </w:r>
      <w:r w:rsidRPr="006925A2">
        <w:t>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</w:t>
      </w:r>
      <w:r w:rsidRPr="006925A2">
        <w:t xml:space="preserve">, a musí na ní být </w:t>
      </w:r>
      <w:r w:rsidR="008E7E24">
        <w:t>uvedeno:</w:t>
      </w:r>
    </w:p>
    <w:p w14:paraId="3CFBBA6E" w14:textId="77777777" w:rsidR="008E7E24" w:rsidRDefault="008E7E24" w:rsidP="008E7E24">
      <w:pPr>
        <w:pStyle w:val="Psmenoodstavce"/>
        <w:ind w:left="1418" w:firstLine="0"/>
      </w:pPr>
      <w:r>
        <w:t>identifikační údaje Kupujícího a Prodávajícího včetně bankovního spojení;</w:t>
      </w:r>
    </w:p>
    <w:p w14:paraId="202BCFD3" w14:textId="77777777" w:rsidR="008E7E24" w:rsidRDefault="008E7E24" w:rsidP="008E7E24">
      <w:pPr>
        <w:pStyle w:val="Psmenoodstavce"/>
        <w:ind w:left="1418" w:firstLine="0"/>
      </w:pPr>
      <w:r>
        <w:t>číslo Objednávky Kupujícího</w:t>
      </w:r>
    </w:p>
    <w:p w14:paraId="4BD09E87" w14:textId="77777777" w:rsidR="008E7E24" w:rsidRDefault="008E7E24" w:rsidP="008E7E24">
      <w:pPr>
        <w:pStyle w:val="Psmenoodstavce"/>
        <w:ind w:left="1418" w:firstLine="0"/>
      </w:pPr>
      <w:r>
        <w:t>evidenční číslo daňového dokladu;</w:t>
      </w:r>
    </w:p>
    <w:p w14:paraId="1D5E88D2" w14:textId="77777777" w:rsidR="008E7E24" w:rsidRDefault="008E7E24" w:rsidP="008E7E24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4EB3A9B8" w14:textId="77777777" w:rsidR="008E7E24" w:rsidRDefault="008E7E24" w:rsidP="008E7E24">
      <w:pPr>
        <w:pStyle w:val="Psmenoodstavce"/>
        <w:ind w:left="1418" w:firstLine="0"/>
      </w:pPr>
      <w:r>
        <w:t>specifikace dodaného Zboží a množství;</w:t>
      </w:r>
    </w:p>
    <w:p w14:paraId="5D82D1FB" w14:textId="77777777" w:rsidR="008E7E24" w:rsidRDefault="008E7E24" w:rsidP="008E7E24">
      <w:pPr>
        <w:pStyle w:val="Psmenoodstavce"/>
        <w:ind w:left="1418" w:firstLine="0"/>
      </w:pPr>
      <w:r>
        <w:t>datum uskutečnění zdanitelného plnění;</w:t>
      </w:r>
    </w:p>
    <w:p w14:paraId="7EBE77BA" w14:textId="77777777" w:rsidR="008E7E24" w:rsidRDefault="008E7E24" w:rsidP="008E7E24">
      <w:pPr>
        <w:pStyle w:val="Psmenoodstavce"/>
        <w:ind w:left="1418" w:firstLine="0"/>
      </w:pPr>
      <w:r>
        <w:t>datum splatnosti;</w:t>
      </w:r>
    </w:p>
    <w:p w14:paraId="55B58C33" w14:textId="3FF48807" w:rsidR="0071202D" w:rsidRDefault="008E7E24" w:rsidP="008E7E24">
      <w:pPr>
        <w:pStyle w:val="Psmenoodstavce"/>
        <w:ind w:left="1418" w:firstLine="0"/>
      </w:pPr>
      <w:r>
        <w:t>jednotkové ceny dodaného Zboží (bez DPH, včetně DPH, sazba a výše DPH).</w:t>
      </w:r>
    </w:p>
    <w:p w14:paraId="30D06682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7EB0EF49" w14:textId="77777777" w:rsidR="00E923BE" w:rsidRPr="00DA7D6B" w:rsidRDefault="00E923BE" w:rsidP="00E923BE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4D8BE53" w14:textId="77777777" w:rsidR="00E923BE" w:rsidRDefault="00E923BE" w:rsidP="00E923BE">
      <w:pPr>
        <w:pStyle w:val="Odstavecsmlouvy"/>
        <w:numPr>
          <w:ilvl w:val="0"/>
          <w:numId w:val="0"/>
        </w:numPr>
        <w:ind w:left="567"/>
      </w:pPr>
    </w:p>
    <w:p w14:paraId="6A0A6B43" w14:textId="77777777" w:rsidR="00E923BE" w:rsidRDefault="00E923BE" w:rsidP="00E923BE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06D3E8F8" w14:textId="77777777"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0A9D304A" w14:textId="77777777" w:rsidR="0071202D" w:rsidRPr="0071202D" w:rsidRDefault="0071202D" w:rsidP="0071202D">
      <w:pPr>
        <w:pStyle w:val="Odstavecsmlouvy"/>
      </w:pPr>
      <w:r w:rsidRPr="0071202D">
        <w:rPr>
          <w:color w:val="000000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4B523138" w14:textId="77777777"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2B36FCE0" w14:textId="77777777" w:rsidR="0071202D" w:rsidRDefault="0071202D" w:rsidP="0071202D">
      <w:pPr>
        <w:pStyle w:val="Odstavecsmlouvy"/>
      </w:pPr>
      <w:r>
        <w:rPr>
          <w:color w:val="000000"/>
        </w:rPr>
        <w:t>Úhrady</w:t>
      </w:r>
      <w:r w:rsidRPr="006925A2">
        <w:rPr>
          <w:color w:val="000000"/>
        </w:rPr>
        <w:t xml:space="preserve"> bud</w:t>
      </w:r>
      <w:r>
        <w:rPr>
          <w:color w:val="000000"/>
        </w:rPr>
        <w:t>ou</w:t>
      </w:r>
      <w:r w:rsidRPr="006925A2">
        <w:rPr>
          <w:color w:val="000000"/>
        </w:rPr>
        <w:t xml:space="preserve"> </w:t>
      </w:r>
      <w:r>
        <w:rPr>
          <w:color w:val="000000"/>
        </w:rPr>
        <w:t>prováděny</w:t>
      </w:r>
      <w:r w:rsidRPr="006925A2">
        <w:rPr>
          <w:color w:val="000000"/>
        </w:rPr>
        <w:t xml:space="preserve"> bezhotovostním převod</w:t>
      </w:r>
      <w:r>
        <w:rPr>
          <w:color w:val="000000"/>
        </w:rPr>
        <w:t>em</w:t>
      </w:r>
      <w:r w:rsidRPr="006925A2">
        <w:rPr>
          <w:color w:val="000000"/>
        </w:rPr>
        <w:t xml:space="preserve">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>
        <w:t>Kupujícího</w:t>
      </w:r>
      <w:r w:rsidRPr="006925A2">
        <w:rPr>
          <w:color w:val="000000"/>
        </w:rPr>
        <w:t xml:space="preserve"> na bankovní účet </w:t>
      </w:r>
      <w:r>
        <w:t xml:space="preserve">Prodávajícího </w:t>
      </w:r>
      <w:r w:rsidRPr="006925A2">
        <w:t>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>
        <w:t>Kupujícího</w:t>
      </w:r>
      <w:r w:rsidRPr="006925A2">
        <w:rPr>
          <w:color w:val="000000"/>
        </w:rPr>
        <w:t>.</w:t>
      </w:r>
    </w:p>
    <w:p w14:paraId="778FD472" w14:textId="77777777"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63D606A8" w14:textId="77777777" w:rsidR="0071202D" w:rsidRDefault="0071202D" w:rsidP="0071202D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>
        <w:t>Kupující</w:t>
      </w:r>
      <w:r w:rsidRPr="001B5F9C">
        <w:rPr>
          <w:color w:val="000000"/>
        </w:rPr>
        <w:t xml:space="preserve"> právo uhradit za </w:t>
      </w:r>
      <w:r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24CA54F1" w14:textId="77777777" w:rsidR="0071202D" w:rsidRPr="00257643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01296956" w14:textId="77777777" w:rsidR="0071202D" w:rsidRPr="001B5F9C" w:rsidRDefault="0071202D" w:rsidP="0071202D">
      <w:pPr>
        <w:pStyle w:val="Odstavecsmlouvy"/>
      </w:pPr>
      <w:r w:rsidRPr="00257643">
        <w:rPr>
          <w:color w:val="000000"/>
        </w:rPr>
        <w:t xml:space="preserve">Pokud </w:t>
      </w:r>
      <w:r>
        <w:t>Kupující</w:t>
      </w:r>
      <w:r w:rsidRPr="00257643">
        <w:rPr>
          <w:color w:val="000000"/>
        </w:rPr>
        <w:t xml:space="preserve"> uhradí částku ve výši DPH na účet správce daně </w:t>
      </w:r>
      <w:r>
        <w:t>Prodávajícího</w:t>
      </w:r>
      <w:r w:rsidRPr="00257643">
        <w:rPr>
          <w:color w:val="000000"/>
        </w:rPr>
        <w:t xml:space="preserve"> a zbývající částku sjednané </w:t>
      </w:r>
      <w:r>
        <w:rPr>
          <w:color w:val="000000"/>
        </w:rPr>
        <w:t xml:space="preserve">ceny </w:t>
      </w:r>
      <w:r w:rsidRPr="00257643">
        <w:rPr>
          <w:color w:val="000000"/>
        </w:rPr>
        <w:t xml:space="preserve">(tj. relevantní část bez DPH) </w:t>
      </w:r>
      <w:r>
        <w:t>Prodávajícímu</w:t>
      </w:r>
      <w:r w:rsidRPr="00257643">
        <w:rPr>
          <w:color w:val="000000"/>
        </w:rPr>
        <w:t xml:space="preserve">, považuje se jeho závazek uhradit sjednanou </w:t>
      </w:r>
      <w:r>
        <w:rPr>
          <w:color w:val="000000"/>
        </w:rPr>
        <w:t xml:space="preserve">cenu </w:t>
      </w:r>
      <w:r w:rsidRPr="000F5D02">
        <w:rPr>
          <w:color w:val="000000"/>
        </w:rPr>
        <w:t xml:space="preserve">za splněný. </w:t>
      </w:r>
    </w:p>
    <w:p w14:paraId="2CBABC2B" w14:textId="77777777"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12D192BE" w14:textId="77777777" w:rsidR="0071202D" w:rsidRPr="001B5F9C" w:rsidRDefault="0071202D" w:rsidP="0071202D">
      <w:pPr>
        <w:pStyle w:val="Odstavecsmlouvy"/>
      </w:pPr>
      <w:r>
        <w:t>Prodávající</w:t>
      </w:r>
      <w:r w:rsidRPr="001B5F9C">
        <w:rPr>
          <w:color w:val="000000"/>
        </w:rPr>
        <w:t xml:space="preserve"> je oprávněn postoupit své peněžité pohledávky za </w:t>
      </w:r>
      <w:r>
        <w:t>Kupujícím</w:t>
      </w:r>
      <w:r w:rsidRPr="001B5F9C">
        <w:rPr>
          <w:color w:val="000000"/>
        </w:rPr>
        <w:t xml:space="preserve"> výhradně po předchozím písemném souhlasu </w:t>
      </w:r>
      <w:r>
        <w:t>Kupujícího</w:t>
      </w:r>
      <w:r w:rsidRPr="001B5F9C">
        <w:rPr>
          <w:color w:val="000000"/>
        </w:rPr>
        <w:t xml:space="preserve">, jinak je postoupení vůči </w:t>
      </w:r>
      <w:r>
        <w:t>Kupujícímu</w:t>
      </w:r>
      <w:r w:rsidRPr="001B5F9C">
        <w:rPr>
          <w:color w:val="000000"/>
        </w:rPr>
        <w:t xml:space="preserve"> neúčinné. </w:t>
      </w:r>
      <w:r>
        <w:t>Prodávající</w:t>
      </w:r>
      <w:r w:rsidRPr="001B5F9C">
        <w:rPr>
          <w:color w:val="000000"/>
        </w:rPr>
        <w:t xml:space="preserve"> je </w:t>
      </w:r>
      <w:r w:rsidRPr="001B5F9C">
        <w:rPr>
          <w:color w:val="000000"/>
        </w:rPr>
        <w:lastRenderedPageBreak/>
        <w:t xml:space="preserve">oprávněn započítat své peněžité pohledávky za </w:t>
      </w:r>
      <w:r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0CF74F31" w14:textId="54F7D957" w:rsidR="00EE6269" w:rsidRDefault="00EE6269" w:rsidP="000C1FD1">
      <w:pPr>
        <w:rPr>
          <w:b/>
          <w:bCs/>
        </w:rPr>
      </w:pPr>
    </w:p>
    <w:p w14:paraId="4359D285" w14:textId="64D9DB7D" w:rsidR="00E923BE" w:rsidRDefault="00E923BE" w:rsidP="000C1FD1">
      <w:pPr>
        <w:rPr>
          <w:b/>
          <w:bCs/>
        </w:rPr>
      </w:pPr>
    </w:p>
    <w:p w14:paraId="14C636D6" w14:textId="77777777" w:rsidR="00E923BE" w:rsidRPr="002B77A6" w:rsidRDefault="00E923BE" w:rsidP="000C1FD1">
      <w:pPr>
        <w:rPr>
          <w:b/>
          <w:bCs/>
        </w:rPr>
      </w:pPr>
    </w:p>
    <w:bookmarkEnd w:id="0"/>
    <w:p w14:paraId="06A5C390" w14:textId="77777777" w:rsidR="00726B26" w:rsidRPr="000A17D0" w:rsidRDefault="0030437C" w:rsidP="001B5F9C">
      <w:pPr>
        <w:pStyle w:val="Nadpis1"/>
      </w:pPr>
      <w:r w:rsidRPr="000A17D0">
        <w:t>Kvalita zboží a odpovědnost za vady</w:t>
      </w:r>
    </w:p>
    <w:p w14:paraId="204C2259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23CE86EA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jakosti a pro</w:t>
      </w:r>
      <w:r>
        <w:t xml:space="preserve">vedení podle této smlouvy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</w:t>
      </w:r>
      <w:r w:rsidR="002F42AF">
        <w:t> této smlouvě nebo v </w:t>
      </w:r>
      <w:r w:rsidR="005E6464">
        <w:t xml:space="preserve">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451A8148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24DE872E" w14:textId="77777777" w:rsidR="0071202D" w:rsidRDefault="0071202D" w:rsidP="0071202D">
      <w:pPr>
        <w:pStyle w:val="Odstavecsmlouvy"/>
      </w:pPr>
      <w:r>
        <w:t>Prodávající prohlašuje, že Zboží zcela odpovídá podmínkám stanoveným v</w:t>
      </w:r>
      <w:r w:rsidR="009A12F5">
        <w:t xml:space="preserve"> této smlouvě a </w:t>
      </w:r>
      <w:r>
        <w:t>Zadávací dokumentaci</w:t>
      </w:r>
      <w:r w:rsidR="009A12F5">
        <w:t xml:space="preserve">, </w:t>
      </w:r>
      <w:r w:rsidR="009A12F5" w:rsidRPr="00512AB9">
        <w:t xml:space="preserve">je způsobilé k užití v souladu s jeho </w:t>
      </w:r>
      <w:r w:rsidR="009A12F5">
        <w:t xml:space="preserve">účelovým </w:t>
      </w:r>
      <w:r w:rsidR="009A12F5" w:rsidRPr="00512AB9">
        <w:t>určením</w:t>
      </w:r>
      <w:r w:rsidR="009A12F5">
        <w:t xml:space="preserve"> a</w:t>
      </w:r>
      <w:r w:rsidR="009A12F5" w:rsidRPr="00512AB9">
        <w:t xml:space="preserve"> je </w:t>
      </w:r>
      <w:r w:rsidR="009A12F5">
        <w:t xml:space="preserve">prosto </w:t>
      </w:r>
      <w:r w:rsidR="009A12F5" w:rsidRPr="00512AB9">
        <w:t>vad faktických i právních</w:t>
      </w:r>
      <w:r>
        <w:t xml:space="preserve">. Prodávající se zavazuje, že v okamžiku převodu vlastnického práva ke Zboží nebudou na Zboží váznout žádná práva třetích osob, a to zejména žádné předkupní právo, zástavní právo </w:t>
      </w:r>
      <w:r w:rsidR="002F42AF">
        <w:t>ani</w:t>
      </w:r>
      <w:r>
        <w:t xml:space="preserve"> právo nájmu.</w:t>
      </w:r>
    </w:p>
    <w:p w14:paraId="07F4AD9B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50B4C822" w14:textId="6223537E" w:rsidR="0071202D" w:rsidRPr="00512AB9" w:rsidRDefault="0071202D" w:rsidP="0071202D">
      <w:pPr>
        <w:pStyle w:val="Odstavecsmlouvy"/>
      </w:pPr>
      <w:r w:rsidRPr="00512AB9">
        <w:t xml:space="preserve">Prodávající poskytuje záruku za jakost dodaného </w:t>
      </w:r>
      <w:r>
        <w:t>Z</w:t>
      </w:r>
      <w:r w:rsidRPr="00512AB9">
        <w:t xml:space="preserve">boží po dobu </w:t>
      </w:r>
      <w:r w:rsidR="00A30EA0">
        <w:t>60</w:t>
      </w:r>
      <w:r>
        <w:t xml:space="preserve"> měsíců od okamžiku přechodu nebezpečí škody na Zboží na Kupujícího </w:t>
      </w:r>
      <w:r w:rsidRPr="005452F8">
        <w:t>(</w:t>
      </w:r>
      <w:r>
        <w:t xml:space="preserve">tato doba </w:t>
      </w:r>
      <w:r w:rsidRPr="005452F8">
        <w:t xml:space="preserve">dále </w:t>
      </w:r>
      <w:r w:rsidR="002F42AF">
        <w:t xml:space="preserve">a výše </w:t>
      </w:r>
      <w:r>
        <w:t xml:space="preserve">též </w:t>
      </w:r>
      <w:r w:rsidRPr="005452F8">
        <w:t>jen „</w:t>
      </w:r>
      <w:r w:rsidRPr="005452F8">
        <w:rPr>
          <w:b/>
        </w:rPr>
        <w:t>Záruční doba</w:t>
      </w:r>
      <w:r w:rsidRPr="005452F8">
        <w:t>“)</w:t>
      </w:r>
      <w:r>
        <w:t>. Prodávající se v rámci této záruky zavazuje, že Zboží bude po celou Záruční dobu způsobilé pro obvyklý účel a že si zachová vlastnosti</w:t>
      </w:r>
      <w:r w:rsidR="009A12F5" w:rsidRPr="009A12F5">
        <w:t xml:space="preserve"> </w:t>
      </w:r>
      <w:r w:rsidR="009A12F5">
        <w:t>v souladu s touto smlouvou a Zadávací dokumentací</w:t>
      </w:r>
      <w:r>
        <w:t>. Prodávající je povinen K</w:t>
      </w:r>
      <w:r w:rsidRPr="00512AB9">
        <w:t xml:space="preserve">upujícího </w:t>
      </w:r>
      <w:r>
        <w:t xml:space="preserve">neprodleně informovat </w:t>
      </w:r>
      <w:r w:rsidRPr="00512AB9">
        <w:t xml:space="preserve">o případných zjištěných vadách již dodaného </w:t>
      </w:r>
      <w:r>
        <w:t>Z</w:t>
      </w:r>
      <w:r w:rsidRPr="00512AB9">
        <w:t>boží.</w:t>
      </w:r>
    </w:p>
    <w:p w14:paraId="426E9C5D" w14:textId="77777777" w:rsidR="0071202D" w:rsidRDefault="0071202D" w:rsidP="009A12F5">
      <w:pPr>
        <w:pStyle w:val="Odstavecsmlouvy"/>
        <w:numPr>
          <w:ilvl w:val="0"/>
          <w:numId w:val="0"/>
        </w:numPr>
        <w:ind w:left="567"/>
      </w:pPr>
    </w:p>
    <w:p w14:paraId="287177B9" w14:textId="004703BC" w:rsidR="0070760F" w:rsidRPr="00512AB9" w:rsidRDefault="0070760F" w:rsidP="0070760F">
      <w:pPr>
        <w:pStyle w:val="Odstavecsmlouvy"/>
      </w:pPr>
      <w:r w:rsidRPr="00512AB9">
        <w:t xml:space="preserve">Kupující je </w:t>
      </w:r>
      <w:r w:rsidR="009A12F5">
        <w:t xml:space="preserve">během Záruční doby </w:t>
      </w:r>
      <w:r w:rsidRPr="00512AB9">
        <w:t xml:space="preserve">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</w:t>
      </w:r>
      <w:r w:rsidR="00D82D11" w:rsidRPr="00A30EA0">
        <w:t>Prodávající se zavazuje odstranit vadu do konce pracovního dne následujícího po dni, v němž byla vada oznámena, ledaže si smluvní strany s ohledem na charakter a závažnost vady dohodnou lhůty jiné.</w:t>
      </w:r>
      <w:r w:rsidR="00D82D11">
        <w:t xml:space="preserve"> </w:t>
      </w:r>
    </w:p>
    <w:p w14:paraId="240AC92E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CD49C70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824D6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8E044A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1EB6AB83" w14:textId="77777777" w:rsidR="00726B26" w:rsidRPr="002B77A6" w:rsidRDefault="00726B26" w:rsidP="00726B26">
      <w:pPr>
        <w:jc w:val="center"/>
        <w:rPr>
          <w:b/>
          <w:bCs/>
        </w:rPr>
      </w:pPr>
    </w:p>
    <w:p w14:paraId="60DE8932" w14:textId="77777777" w:rsidR="00726B26" w:rsidRPr="00A609C3" w:rsidRDefault="00726B26" w:rsidP="00217B9D">
      <w:pPr>
        <w:pStyle w:val="Nadpis1"/>
      </w:pPr>
      <w:r w:rsidRPr="00A609C3">
        <w:t>Sankce a odstoupení od smlouvy</w:t>
      </w:r>
    </w:p>
    <w:p w14:paraId="54421D60" w14:textId="77777777" w:rsidR="00726B26" w:rsidRPr="002B77A6" w:rsidRDefault="00726B26" w:rsidP="00726B26">
      <w:pPr>
        <w:jc w:val="center"/>
        <w:rPr>
          <w:b/>
          <w:bCs/>
        </w:rPr>
      </w:pPr>
    </w:p>
    <w:p w14:paraId="076DE064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</w:t>
      </w:r>
      <w:r w:rsidR="009A12F5">
        <w:t>, Dokladů</w:t>
      </w:r>
      <w:r>
        <w:t xml:space="preserve"> nebo kterékoli </w:t>
      </w:r>
      <w:r w:rsidR="009A12F5">
        <w:t xml:space="preserve">jejich </w:t>
      </w:r>
      <w:r>
        <w:t>části</w:t>
      </w:r>
      <w:r w:rsidRPr="00557002">
        <w:t>.</w:t>
      </w:r>
    </w:p>
    <w:p w14:paraId="1D46211D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15BCE59B" w14:textId="44933211" w:rsidR="00A609C3" w:rsidRDefault="00A609C3" w:rsidP="00A609C3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>
        <w:t>K</w:t>
      </w:r>
      <w:r w:rsidRPr="00512AB9">
        <w:t>upující nárok na smluvní pokutu ve výši 0,</w:t>
      </w:r>
      <w:r>
        <w:t xml:space="preserve">2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5DF49F4C" w14:textId="18A3FC86" w:rsidR="00A609C3" w:rsidRDefault="00A609C3" w:rsidP="00A609C3">
      <w:pPr>
        <w:pStyle w:val="Odstavecsmlouvy"/>
        <w:numPr>
          <w:ilvl w:val="0"/>
          <w:numId w:val="0"/>
        </w:numPr>
        <w:ind w:left="567"/>
      </w:pPr>
    </w:p>
    <w:p w14:paraId="33480637" w14:textId="4BF14FB6" w:rsidR="00A609C3" w:rsidRDefault="00A609C3" w:rsidP="00A609C3">
      <w:pPr>
        <w:pStyle w:val="Odstavecsmlouvy"/>
      </w:pPr>
      <w:r w:rsidRPr="009E08FE">
        <w:t xml:space="preserve">V případě třetího (a každého dalšího) předložení </w:t>
      </w:r>
      <w:r>
        <w:t>D</w:t>
      </w:r>
      <w:r w:rsidRPr="009E08FE">
        <w:t xml:space="preserve">efektního listu v rámci jednoho kalendářního čtvrtletí se </w:t>
      </w:r>
      <w:r>
        <w:t>P</w:t>
      </w:r>
      <w:r w:rsidRPr="009E08FE">
        <w:t xml:space="preserve">rodávající zavazuje uhradit </w:t>
      </w:r>
      <w:r>
        <w:t>K</w:t>
      </w:r>
      <w:r w:rsidRPr="009E08FE">
        <w:t>upujícímu smluvní pokutu ve výši 10.000 Kč.</w:t>
      </w:r>
    </w:p>
    <w:p w14:paraId="5DBD985C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D8AD976" w14:textId="77777777" w:rsidR="005E6464" w:rsidRDefault="005E6464" w:rsidP="005E6464">
      <w:pPr>
        <w:pStyle w:val="Odstavecsmlouvy"/>
      </w:pPr>
      <w:r w:rsidRPr="005E6464">
        <w:lastRenderedPageBreak/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 w:rsidR="009A12F5">
        <w:t>10</w:t>
      </w:r>
      <w:r>
        <w:t xml:space="preserve">00,- Kč (slovy: </w:t>
      </w:r>
      <w:r w:rsidR="009A12F5">
        <w:t xml:space="preserve">tisíc </w:t>
      </w:r>
      <w:r>
        <w:t xml:space="preserve">korun českých), a to za každý takový případ a </w:t>
      </w:r>
      <w:r w:rsidRPr="005E6464">
        <w:t xml:space="preserve">za každý den prodlení. </w:t>
      </w:r>
    </w:p>
    <w:p w14:paraId="62C56E1D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4B1E3E1A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241570A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FB5148A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0E1E047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5465DE3B" w14:textId="77777777" w:rsidR="00B945BB" w:rsidRDefault="00C92C8B" w:rsidP="009A12F5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  <w:r w:rsidR="009A12F5" w:rsidRPr="009A12F5">
        <w:t xml:space="preserve"> </w:t>
      </w:r>
    </w:p>
    <w:p w14:paraId="630B607D" w14:textId="77777777" w:rsidR="00EE6269" w:rsidRPr="002B77A6" w:rsidRDefault="00EE6269" w:rsidP="00726B26">
      <w:pPr>
        <w:jc w:val="center"/>
        <w:rPr>
          <w:b/>
          <w:bCs/>
        </w:rPr>
      </w:pPr>
    </w:p>
    <w:p w14:paraId="46817A32" w14:textId="77777777" w:rsidR="00726B26" w:rsidRDefault="00726B26" w:rsidP="00C92C8B">
      <w:pPr>
        <w:pStyle w:val="Nadpis1"/>
      </w:pPr>
      <w:r w:rsidRPr="002B77A6">
        <w:t>Závěrečná ujednání</w:t>
      </w:r>
    </w:p>
    <w:p w14:paraId="7039A162" w14:textId="77777777" w:rsidR="00726B26" w:rsidRPr="002B77A6" w:rsidRDefault="00726B26" w:rsidP="00726B26">
      <w:pPr>
        <w:jc w:val="center"/>
        <w:rPr>
          <w:b/>
          <w:bCs/>
        </w:rPr>
      </w:pPr>
    </w:p>
    <w:p w14:paraId="6DF128E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7BB334E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3AC2E3F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</w:t>
      </w:r>
      <w:r w:rsidR="009A12F5">
        <w:t> </w:t>
      </w:r>
      <w:r w:rsidR="00575F84">
        <w:t>registru</w:t>
      </w:r>
      <w:r w:rsidR="009A12F5">
        <w:t xml:space="preserve"> smluv</w:t>
      </w:r>
      <w:r w:rsidRPr="009F5A27">
        <w:t>.</w:t>
      </w:r>
    </w:p>
    <w:p w14:paraId="3F770AD7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54E7BFC8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59B54827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1A9DDA9C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34D84F5D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9698191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0F9C8F4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430D349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26581B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3A0EF3AD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AA714F4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6DBBE11" w14:textId="77777777" w:rsidR="001D71E3" w:rsidRDefault="00726B26" w:rsidP="001D71E3">
      <w:pPr>
        <w:pStyle w:val="Odstavecsmlouvy"/>
      </w:pPr>
      <w:r w:rsidRPr="001D71E3">
        <w:t xml:space="preserve"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</w:t>
      </w:r>
      <w:r w:rsidRPr="001D71E3">
        <w:lastRenderedPageBreak/>
        <w:t>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57175B7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61C63B5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7A29E62D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4703ADE" w14:textId="4BA18EFE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177F67">
        <w:rPr>
          <w:snapToGrid w:val="0"/>
        </w:rPr>
        <w:t>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177F67">
        <w:rPr>
          <w:snapToGrid w:val="0"/>
        </w:rPr>
        <w:t>dvě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</w:p>
    <w:p w14:paraId="508F2D7D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FD10242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30505C65" w14:textId="6EC8031D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9A12F5">
        <w:t>Specifikace Zboží</w:t>
      </w:r>
      <w:r w:rsidR="00A609C3">
        <w:t xml:space="preserve"> a jednotkové kupní ceny</w:t>
      </w:r>
      <w:r w:rsidR="000A5B93">
        <w:t>.</w:t>
      </w:r>
    </w:p>
    <w:p w14:paraId="15F54D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EBB88FC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B833077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2B7C30DD" w14:textId="77777777" w:rsidTr="005B49AA">
        <w:tc>
          <w:tcPr>
            <w:tcW w:w="4077" w:type="dxa"/>
            <w:shd w:val="clear" w:color="auto" w:fill="auto"/>
          </w:tcPr>
          <w:p w14:paraId="72E74E6C" w14:textId="2FE4044E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30EA0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2EB8758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758286D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A6D7CCA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66B55D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C904D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CC00AE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D42D2D4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9ECAA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1D17F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0F5DE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41919E2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0B9030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25590875" w14:textId="0FA209FF" w:rsidR="004A45B0" w:rsidRPr="00D722DC" w:rsidRDefault="00A30EA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 SYSTEM CZ a.s.</w:t>
            </w:r>
          </w:p>
          <w:p w14:paraId="7BC39DB2" w14:textId="77777777" w:rsidR="004A45B0" w:rsidRDefault="00A30EA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Roman </w:t>
            </w:r>
            <w:proofErr w:type="spellStart"/>
            <w:r>
              <w:rPr>
                <w:sz w:val="22"/>
                <w:szCs w:val="22"/>
              </w:rPr>
              <w:t>Klimus</w:t>
            </w:r>
            <w:proofErr w:type="spellEnd"/>
          </w:p>
          <w:p w14:paraId="63A63762" w14:textId="1F4C922B" w:rsidR="00A30EA0" w:rsidRPr="00D722DC" w:rsidRDefault="00A30EA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</w:tc>
        <w:tc>
          <w:tcPr>
            <w:tcW w:w="1134" w:type="dxa"/>
            <w:shd w:val="clear" w:color="auto" w:fill="auto"/>
          </w:tcPr>
          <w:p w14:paraId="7AA7A45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0C593DA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569E2C05" w14:textId="77777777" w:rsidR="004A45B0" w:rsidRPr="00D722DC" w:rsidRDefault="002003F2" w:rsidP="002003F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2003F2">
              <w:rPr>
                <w:sz w:val="22"/>
                <w:szCs w:val="22"/>
              </w:rPr>
              <w:t>prof. MUDr. Jaroslav Štěrba, Ph.D.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0FA74926" w14:textId="77777777" w:rsidR="000729CF" w:rsidRPr="00D722DC" w:rsidRDefault="000729CF" w:rsidP="000729CF"/>
    <w:p w14:paraId="1FADE3C4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D078914" w14:textId="77777777" w:rsidR="007E416F" w:rsidRPr="000729CF" w:rsidRDefault="007E416F" w:rsidP="007E416F">
      <w:pPr>
        <w:jc w:val="center"/>
        <w:rPr>
          <w:b/>
        </w:rPr>
      </w:pPr>
    </w:p>
    <w:p w14:paraId="5522AAE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E03CD84" w14:textId="77777777" w:rsidR="00896745" w:rsidRDefault="00896745" w:rsidP="00896745">
      <w:pPr>
        <w:rPr>
          <w:b/>
        </w:rPr>
      </w:pPr>
    </w:p>
    <w:p w14:paraId="24FC1290" w14:textId="77777777" w:rsidR="00523542" w:rsidRPr="00EB0938" w:rsidRDefault="00523542" w:rsidP="00523542">
      <w:pPr>
        <w:rPr>
          <w:rStyle w:val="slostrnky"/>
          <w:b/>
          <w:bCs/>
          <w:u w:color="FF0000"/>
        </w:rPr>
      </w:pPr>
      <w:r w:rsidRPr="00EB0938">
        <w:rPr>
          <w:rStyle w:val="slostrnky"/>
          <w:b/>
          <w:bCs/>
          <w:u w:color="FF0000"/>
        </w:rPr>
        <w:t>Část 4 – Tenký klient</w:t>
      </w:r>
    </w:p>
    <w:p w14:paraId="7560D468" w14:textId="2883906C" w:rsidR="00523542" w:rsidRPr="00EB0938" w:rsidRDefault="00523542" w:rsidP="00523542">
      <w:pPr>
        <w:rPr>
          <w:rStyle w:val="slostrnky"/>
          <w:bCs/>
          <w:u w:color="FF0000"/>
        </w:rPr>
      </w:pPr>
      <w:r w:rsidRPr="00EB0938">
        <w:rPr>
          <w:rStyle w:val="slostrnky"/>
          <w:bCs/>
          <w:u w:color="FF0000"/>
        </w:rPr>
        <w:t>Pol. 1 – Tenký klient, standard A</w:t>
      </w:r>
      <w:r>
        <w:rPr>
          <w:rStyle w:val="slostrnky"/>
          <w:bCs/>
          <w:u w:color="FF0000"/>
        </w:rPr>
        <w:tab/>
      </w:r>
      <w:r>
        <w:rPr>
          <w:rStyle w:val="slostrnky"/>
          <w:bCs/>
          <w:u w:color="FF0000"/>
        </w:rPr>
        <w:tab/>
        <w:t xml:space="preserve">HP t540 </w:t>
      </w:r>
      <w:r>
        <w:rPr>
          <w:rStyle w:val="slostrnky"/>
          <w:bCs/>
          <w:u w:color="FF0000"/>
          <w:lang w:val="en-US"/>
        </w:rPr>
        <w:t>(</w:t>
      </w:r>
      <w:r>
        <w:rPr>
          <w:rStyle w:val="slostrnky"/>
          <w:bCs/>
          <w:u w:color="FF0000"/>
        </w:rPr>
        <w:t>P/N: 12H35EA)</w:t>
      </w:r>
    </w:p>
    <w:p w14:paraId="1EC19F88" w14:textId="77777777" w:rsidR="00523542" w:rsidRPr="00EB0938" w:rsidRDefault="00523542" w:rsidP="00523542">
      <w:pPr>
        <w:rPr>
          <w:rStyle w:val="slostrnky"/>
          <w:bCs/>
          <w:u w:color="FF0000"/>
        </w:rPr>
      </w:pPr>
      <w:r>
        <w:rPr>
          <w:rStyle w:val="slostrnky"/>
          <w:bCs/>
          <w:u w:color="FF0000"/>
        </w:rPr>
        <w:t xml:space="preserve">30 </w:t>
      </w:r>
      <w:r w:rsidRPr="00EB0938">
        <w:rPr>
          <w:rStyle w:val="slostrnky"/>
          <w:bCs/>
          <w:u w:color="FF0000"/>
        </w:rPr>
        <w:t>ks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5021"/>
        <w:gridCol w:w="1109"/>
        <w:gridCol w:w="1343"/>
        <w:gridCol w:w="1343"/>
      </w:tblGrid>
      <w:tr w:rsidR="00523542" w:rsidRPr="00EB0938" w14:paraId="6CA1FAF0" w14:textId="1CECCC31" w:rsidTr="00523542">
        <w:trPr>
          <w:trHeight w:val="510"/>
        </w:trPr>
        <w:tc>
          <w:tcPr>
            <w:tcW w:w="311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  <w:hideMark/>
          </w:tcPr>
          <w:p w14:paraId="0511E0BA" w14:textId="77777777" w:rsidR="00523542" w:rsidRPr="00EB0938" w:rsidRDefault="00523542" w:rsidP="00A77B89">
            <w:r w:rsidRPr="00EB0938">
              <w:rPr>
                <w:rStyle w:val="Zdraznn"/>
                <w:b/>
                <w:bCs/>
              </w:rPr>
              <w:t>Funkcionalita / požadované parametry</w:t>
            </w:r>
          </w:p>
        </w:tc>
        <w:tc>
          <w:tcPr>
            <w:tcW w:w="55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99"/>
            <w:vAlign w:val="center"/>
            <w:hideMark/>
          </w:tcPr>
          <w:p w14:paraId="19E6FB84" w14:textId="77777777" w:rsidR="00523542" w:rsidRPr="00EB0938" w:rsidRDefault="00523542" w:rsidP="00A77B89">
            <w:r w:rsidRPr="00EB0938">
              <w:rPr>
                <w:rStyle w:val="Zdraznn"/>
                <w:b/>
                <w:bCs/>
              </w:rPr>
              <w:t>min.  max.</w:t>
            </w:r>
          </w:p>
        </w:tc>
        <w:tc>
          <w:tcPr>
            <w:tcW w:w="66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4BB66B" w14:textId="77777777" w:rsidR="00523542" w:rsidRPr="00EB0938" w:rsidRDefault="00523542" w:rsidP="00A77B89">
            <w:r w:rsidRPr="00EB0938">
              <w:rPr>
                <w:rStyle w:val="Zdraznn"/>
                <w:b/>
                <w:bCs/>
              </w:rPr>
              <w:t>Tenký klient</w:t>
            </w:r>
          </w:p>
        </w:tc>
        <w:tc>
          <w:tcPr>
            <w:tcW w:w="66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14:paraId="43622E8B" w14:textId="77777777" w:rsidR="00523542" w:rsidRPr="00EB0938" w:rsidRDefault="00523542" w:rsidP="00A77B89">
            <w:pPr>
              <w:rPr>
                <w:rStyle w:val="Zdraznn"/>
                <w:b/>
                <w:bCs/>
              </w:rPr>
            </w:pPr>
          </w:p>
        </w:tc>
      </w:tr>
      <w:tr w:rsidR="00523542" w:rsidRPr="00EB0938" w14:paraId="7085BFC2" w14:textId="28A073EC" w:rsidTr="00523542">
        <w:trPr>
          <w:trHeight w:val="375"/>
        </w:trPr>
        <w:tc>
          <w:tcPr>
            <w:tcW w:w="3113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4C1C0" w14:textId="77777777" w:rsidR="00523542" w:rsidRPr="00EB0938" w:rsidRDefault="00523542" w:rsidP="00A77B89"/>
        </w:tc>
        <w:tc>
          <w:tcPr>
            <w:tcW w:w="55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2629A045" w14:textId="77777777" w:rsidR="00523542" w:rsidRPr="00EB0938" w:rsidRDefault="00523542" w:rsidP="00A77B89"/>
        </w:tc>
        <w:tc>
          <w:tcPr>
            <w:tcW w:w="6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F62F6A" w14:textId="77777777" w:rsidR="00523542" w:rsidRPr="00EB0938" w:rsidRDefault="00523542" w:rsidP="00A77B89">
            <w:r w:rsidRPr="00EB0938">
              <w:rPr>
                <w:rStyle w:val="Zdraznn"/>
                <w:b/>
                <w:bCs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</w:tcPr>
          <w:p w14:paraId="2E8BEE04" w14:textId="77777777" w:rsidR="00523542" w:rsidRPr="00EB0938" w:rsidRDefault="00523542" w:rsidP="00A77B89">
            <w:pPr>
              <w:rPr>
                <w:rStyle w:val="Zdraznn"/>
                <w:b/>
                <w:bCs/>
              </w:rPr>
            </w:pPr>
          </w:p>
        </w:tc>
      </w:tr>
      <w:tr w:rsidR="00523542" w:rsidRPr="00EB0938" w14:paraId="3D7D3C64" w14:textId="4936DBA8" w:rsidTr="00523542">
        <w:trPr>
          <w:trHeight w:val="495"/>
        </w:trPr>
        <w:tc>
          <w:tcPr>
            <w:tcW w:w="3113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A75E7" w14:textId="77777777" w:rsidR="00523542" w:rsidRPr="00EB0938" w:rsidRDefault="00523542" w:rsidP="00A77B89"/>
        </w:tc>
        <w:tc>
          <w:tcPr>
            <w:tcW w:w="55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502A05A5" w14:textId="77777777" w:rsidR="00523542" w:rsidRPr="00EB0938" w:rsidRDefault="00523542" w:rsidP="00A77B89"/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772765E7" w14:textId="77777777" w:rsidR="00523542" w:rsidRPr="00EB0938" w:rsidRDefault="00523542" w:rsidP="00A77B89">
            <w:r w:rsidRPr="00EB0938">
              <w:rPr>
                <w:rStyle w:val="Zdraznn"/>
                <w:b/>
                <w:bCs/>
              </w:rPr>
              <w:t>Požadované parametry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58958B74" w14:textId="2165C9C9" w:rsidR="00523542" w:rsidRPr="00EB0938" w:rsidRDefault="00523542" w:rsidP="00A77B89">
            <w:pPr>
              <w:rPr>
                <w:rStyle w:val="Zdraznn"/>
                <w:b/>
                <w:bCs/>
              </w:rPr>
            </w:pPr>
            <w:r>
              <w:rPr>
                <w:rStyle w:val="Zdraznn"/>
                <w:b/>
                <w:bCs/>
              </w:rPr>
              <w:t>N</w:t>
            </w:r>
            <w:r>
              <w:rPr>
                <w:rStyle w:val="Zdraznn"/>
                <w:b/>
              </w:rPr>
              <w:t>abízené parametry</w:t>
            </w:r>
          </w:p>
        </w:tc>
      </w:tr>
      <w:tr w:rsidR="00523542" w:rsidRPr="00EB0938" w14:paraId="494E7976" w14:textId="7C13CFA8" w:rsidTr="00523542">
        <w:trPr>
          <w:trHeight w:val="315"/>
        </w:trPr>
        <w:tc>
          <w:tcPr>
            <w:tcW w:w="61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8A58" w14:textId="77777777" w:rsidR="00523542" w:rsidRPr="00EB0938" w:rsidRDefault="00523542" w:rsidP="00523542">
            <w:r w:rsidRPr="00EB0938">
              <w:t>Provedení / typ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2066C" w14:textId="77777777" w:rsidR="00523542" w:rsidRPr="00EB0938" w:rsidRDefault="00523542" w:rsidP="00523542">
            <w:r w:rsidRPr="00EB0938">
              <w:t>Tenký klient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D1667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15DF6" w14:textId="77777777" w:rsidR="00523542" w:rsidRPr="00EB0938" w:rsidRDefault="00523542" w:rsidP="00523542">
            <w:r w:rsidRPr="00EB0938">
              <w:t>ano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25D2A" w14:textId="38B7163F" w:rsidR="00523542" w:rsidRPr="00EB0938" w:rsidRDefault="00523542" w:rsidP="00523542">
            <w:r w:rsidRPr="00EB0938">
              <w:t>ano</w:t>
            </w:r>
          </w:p>
        </w:tc>
      </w:tr>
      <w:tr w:rsidR="00523542" w:rsidRPr="00EB0938" w14:paraId="06420C7F" w14:textId="1E8CD4EC" w:rsidTr="00523542">
        <w:trPr>
          <w:trHeight w:val="315"/>
        </w:trPr>
        <w:tc>
          <w:tcPr>
            <w:tcW w:w="61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8E90" w14:textId="77777777" w:rsidR="00523542" w:rsidRPr="00EB0938" w:rsidRDefault="00523542" w:rsidP="00523542">
            <w:r w:rsidRPr="00EB0938">
              <w:t>Procesor (CPU)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81D54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9F264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95C2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1BD13236" w14:textId="42E37309" w:rsidR="00523542" w:rsidRPr="00EB0938" w:rsidRDefault="00523542" w:rsidP="00523542"/>
        </w:tc>
      </w:tr>
      <w:tr w:rsidR="00523542" w:rsidRPr="00EB0938" w14:paraId="2BF2E506" w14:textId="437FF83D" w:rsidTr="00523542">
        <w:trPr>
          <w:trHeight w:val="315"/>
        </w:trPr>
        <w:tc>
          <w:tcPr>
            <w:tcW w:w="616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0F86" w14:textId="77777777" w:rsidR="00523542" w:rsidRPr="00EB0938" w:rsidRDefault="00523542" w:rsidP="00523542">
            <w:r w:rsidRPr="00EB0938">
              <w:t>Grafická karta (GPU)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E41AD" w14:textId="77777777" w:rsidR="00523542" w:rsidRPr="00EB0938" w:rsidRDefault="00523542" w:rsidP="00523542">
            <w:proofErr w:type="gramStart"/>
            <w:r w:rsidRPr="00EB0938">
              <w:t>integrovaná v CPU</w:t>
            </w:r>
            <w:proofErr w:type="gramEnd"/>
            <w:r w:rsidRPr="00EB0938">
              <w:t xml:space="preserve"> (rozlišení 2560x1600), podpora dvou displejů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53F4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383C4" w14:textId="77777777" w:rsidR="00523542" w:rsidRPr="00EB0938" w:rsidRDefault="00523542" w:rsidP="00523542">
            <w:r w:rsidRPr="00EB0938">
              <w:t>ano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1F6325F6" w14:textId="5C6A2E31" w:rsidR="00523542" w:rsidRPr="00EB0938" w:rsidRDefault="00523542" w:rsidP="00523542">
            <w:r w:rsidRPr="00EB0938">
              <w:t>ano</w:t>
            </w:r>
          </w:p>
        </w:tc>
      </w:tr>
      <w:tr w:rsidR="00523542" w:rsidRPr="00EB0938" w14:paraId="46E2A85C" w14:textId="39B41420" w:rsidTr="00523542">
        <w:trPr>
          <w:trHeight w:val="315"/>
        </w:trPr>
        <w:tc>
          <w:tcPr>
            <w:tcW w:w="616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8E389" w14:textId="77777777" w:rsidR="00523542" w:rsidRPr="00EB0938" w:rsidRDefault="00523542" w:rsidP="00523542">
            <w:r w:rsidRPr="00EB0938">
              <w:t>Operační paměť (RAM)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DB5C5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067A" w14:textId="77777777" w:rsidR="00523542" w:rsidRPr="00EB0938" w:rsidRDefault="00523542" w:rsidP="00523542">
            <w:r w:rsidRPr="00EB0938">
              <w:t>min.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7434" w14:textId="77777777" w:rsidR="00523542" w:rsidRPr="00EB0938" w:rsidRDefault="00523542" w:rsidP="00523542">
            <w:r w:rsidRPr="00EB0938">
              <w:t>512 MB DDR3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4C74ED96" w14:textId="5AC4970B" w:rsidR="00523542" w:rsidRPr="00EB0938" w:rsidRDefault="00523542" w:rsidP="00523542">
            <w:r>
              <w:t>4 GB</w:t>
            </w:r>
            <w:r w:rsidRPr="00EB0938">
              <w:t xml:space="preserve"> MB DDR</w:t>
            </w:r>
            <w:r>
              <w:t>4</w:t>
            </w:r>
          </w:p>
        </w:tc>
      </w:tr>
      <w:tr w:rsidR="00523542" w:rsidRPr="00EB0938" w14:paraId="486A1DB6" w14:textId="3CCB64CA" w:rsidTr="00523542">
        <w:trPr>
          <w:trHeight w:val="315"/>
        </w:trPr>
        <w:tc>
          <w:tcPr>
            <w:tcW w:w="616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B77A" w14:textId="77777777" w:rsidR="00523542" w:rsidRPr="00EB0938" w:rsidRDefault="00523542" w:rsidP="00523542">
            <w:r w:rsidRPr="00EB0938">
              <w:t xml:space="preserve">LAN </w:t>
            </w:r>
            <w:proofErr w:type="spellStart"/>
            <w:r w:rsidRPr="00EB0938">
              <w:t>intergovaná</w:t>
            </w:r>
            <w:proofErr w:type="spellEnd"/>
            <w:r w:rsidRPr="00EB0938">
              <w:t> 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885EF" w14:textId="77777777" w:rsidR="00523542" w:rsidRPr="00EB0938" w:rsidRDefault="00523542" w:rsidP="00523542">
            <w:r w:rsidRPr="00EB0938">
              <w:t>10/100/1000Mbps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E7AA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0B59" w14:textId="77777777" w:rsidR="00523542" w:rsidRPr="00EB0938" w:rsidRDefault="00523542" w:rsidP="00523542">
            <w:r w:rsidRPr="00EB0938">
              <w:t>ano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61E6764B" w14:textId="38543663" w:rsidR="00523542" w:rsidRPr="00EB0938" w:rsidRDefault="00523542" w:rsidP="00523542">
            <w:r w:rsidRPr="00EB0938">
              <w:t>ano</w:t>
            </w:r>
          </w:p>
        </w:tc>
      </w:tr>
      <w:tr w:rsidR="00523542" w:rsidRPr="00EB0938" w14:paraId="39230B8A" w14:textId="6154FE13" w:rsidTr="00523542">
        <w:trPr>
          <w:trHeight w:val="315"/>
        </w:trPr>
        <w:tc>
          <w:tcPr>
            <w:tcW w:w="616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BACA" w14:textId="77777777" w:rsidR="00523542" w:rsidRPr="00EB0938" w:rsidRDefault="00523542" w:rsidP="00523542">
            <w:r w:rsidRPr="00EB0938">
              <w:t>Zvuková karta integrovaná 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4B1E5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98838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B80A6" w14:textId="77777777" w:rsidR="00523542" w:rsidRPr="00EB0938" w:rsidRDefault="00523542" w:rsidP="00523542">
            <w:r w:rsidRPr="00EB0938">
              <w:t>ano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14A40F26" w14:textId="11B73AED" w:rsidR="00523542" w:rsidRPr="00EB0938" w:rsidRDefault="00523542" w:rsidP="00523542">
            <w:r w:rsidRPr="00EB0938">
              <w:t>ano</w:t>
            </w:r>
          </w:p>
        </w:tc>
      </w:tr>
      <w:tr w:rsidR="00523542" w:rsidRPr="00EB0938" w14:paraId="235B6574" w14:textId="74E5DC06" w:rsidTr="00523542">
        <w:trPr>
          <w:trHeight w:val="315"/>
        </w:trPr>
        <w:tc>
          <w:tcPr>
            <w:tcW w:w="616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7F8F" w14:textId="77777777" w:rsidR="00523542" w:rsidRPr="00EB0938" w:rsidRDefault="00523542" w:rsidP="00523542">
            <w:r w:rsidRPr="00EB0938">
              <w:t>Protokol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03CEE" w14:textId="77777777" w:rsidR="00523542" w:rsidRPr="00EB0938" w:rsidRDefault="00523542" w:rsidP="00523542">
            <w:proofErr w:type="spellStart"/>
            <w:r w:rsidRPr="00EB0938">
              <w:t>VMware</w:t>
            </w:r>
            <w:proofErr w:type="spellEnd"/>
            <w:r w:rsidRPr="00EB0938">
              <w:t xml:space="preserve"> </w:t>
            </w:r>
            <w:proofErr w:type="spellStart"/>
            <w:r w:rsidRPr="00EB0938">
              <w:t>Horizon</w:t>
            </w:r>
            <w:proofErr w:type="spellEnd"/>
            <w:r w:rsidRPr="00EB0938">
              <w:t xml:space="preserve"> </w:t>
            </w:r>
            <w:proofErr w:type="spellStart"/>
            <w:r w:rsidRPr="00EB0938">
              <w:t>View</w:t>
            </w:r>
            <w:proofErr w:type="spellEnd"/>
            <w:r w:rsidRPr="00EB0938">
              <w:t xml:space="preserve"> (</w:t>
            </w:r>
            <w:proofErr w:type="spellStart"/>
            <w:r w:rsidRPr="00EB0938">
              <w:t>PCoIP</w:t>
            </w:r>
            <w:proofErr w:type="spellEnd"/>
            <w:r w:rsidRPr="00EB0938">
              <w:t>)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E6834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6264" w14:textId="77777777" w:rsidR="00523542" w:rsidRPr="00EB0938" w:rsidRDefault="00523542" w:rsidP="00523542">
            <w:r w:rsidRPr="00EB0938">
              <w:t>ano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3136CD5D" w14:textId="3D5C4A19" w:rsidR="00523542" w:rsidRPr="00EB0938" w:rsidRDefault="00523542" w:rsidP="00523542">
            <w:r w:rsidRPr="00EB0938">
              <w:t>ano</w:t>
            </w:r>
          </w:p>
        </w:tc>
      </w:tr>
      <w:tr w:rsidR="00523542" w:rsidRPr="00EB0938" w14:paraId="767D0130" w14:textId="1E7133F1" w:rsidTr="00523542">
        <w:trPr>
          <w:trHeight w:val="315"/>
        </w:trPr>
        <w:tc>
          <w:tcPr>
            <w:tcW w:w="616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FE5CA" w14:textId="77777777" w:rsidR="00523542" w:rsidRPr="00EB0938" w:rsidRDefault="00523542" w:rsidP="00523542">
            <w:r w:rsidRPr="00EB0938">
              <w:t>Konektivita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F3746" w14:textId="77777777" w:rsidR="00523542" w:rsidRPr="00EB0938" w:rsidRDefault="00523542" w:rsidP="00523542">
            <w:r w:rsidRPr="00EB0938">
              <w:t>USB 2.0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83772" w14:textId="77777777" w:rsidR="00523542" w:rsidRPr="00EB0938" w:rsidRDefault="00523542" w:rsidP="00523542">
            <w:r w:rsidRPr="00EB0938">
              <w:t>min.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3E10A" w14:textId="77777777" w:rsidR="00523542" w:rsidRPr="00EB0938" w:rsidRDefault="00523542" w:rsidP="00523542">
            <w:r w:rsidRPr="00EB0938">
              <w:t>4</w:t>
            </w:r>
          </w:p>
        </w:tc>
        <w:tc>
          <w:tcPr>
            <w:tcW w:w="668" w:type="pct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E25F24" w14:textId="30345E2B" w:rsidR="00523542" w:rsidRPr="00EB0938" w:rsidRDefault="00523542" w:rsidP="00523542">
            <w:r>
              <w:t>3x USB-A 3.1, 2x USB-A 2.0</w:t>
            </w:r>
          </w:p>
        </w:tc>
      </w:tr>
      <w:tr w:rsidR="00523542" w:rsidRPr="00EB0938" w14:paraId="200F1D01" w14:textId="4268E9EE" w:rsidTr="00523542">
        <w:trPr>
          <w:trHeight w:val="315"/>
        </w:trPr>
        <w:tc>
          <w:tcPr>
            <w:tcW w:w="616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3965C" w14:textId="77777777" w:rsidR="00523542" w:rsidRPr="00EB0938" w:rsidRDefault="00523542" w:rsidP="00523542"/>
        </w:tc>
        <w:tc>
          <w:tcPr>
            <w:tcW w:w="249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C0E15" w14:textId="77777777" w:rsidR="00523542" w:rsidRPr="00EB0938" w:rsidRDefault="00523542" w:rsidP="00523542">
            <w:r w:rsidRPr="00EB0938">
              <w:t>RJ-45</w:t>
            </w:r>
          </w:p>
        </w:tc>
        <w:tc>
          <w:tcPr>
            <w:tcW w:w="5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4FA1E" w14:textId="77777777" w:rsidR="00523542" w:rsidRPr="00EB0938" w:rsidRDefault="00523542" w:rsidP="00523542">
            <w:r w:rsidRPr="00EB0938">
              <w:t>min.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C3D7A" w14:textId="77777777" w:rsidR="00523542" w:rsidRPr="00EB0938" w:rsidRDefault="00523542" w:rsidP="00523542">
            <w:r w:rsidRPr="00EB0938">
              <w:t>1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E3210F" w14:textId="6D35BD86" w:rsidR="00523542" w:rsidRPr="00EB0938" w:rsidRDefault="00523542" w:rsidP="00523542">
            <w:r w:rsidRPr="00EB0938">
              <w:t>1</w:t>
            </w:r>
          </w:p>
        </w:tc>
      </w:tr>
      <w:tr w:rsidR="00523542" w:rsidRPr="00EB0938" w14:paraId="7DCA117B" w14:textId="1D780EDF" w:rsidTr="00523542">
        <w:trPr>
          <w:trHeight w:val="315"/>
        </w:trPr>
        <w:tc>
          <w:tcPr>
            <w:tcW w:w="616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8853A" w14:textId="77777777" w:rsidR="00523542" w:rsidRPr="00EB0938" w:rsidRDefault="00523542" w:rsidP="00523542"/>
        </w:tc>
        <w:tc>
          <w:tcPr>
            <w:tcW w:w="249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C086A" w14:textId="77777777" w:rsidR="00523542" w:rsidRPr="00EB0938" w:rsidRDefault="00523542" w:rsidP="00523542">
            <w:r w:rsidRPr="00EB0938">
              <w:t>Audio in/</w:t>
            </w:r>
            <w:proofErr w:type="spellStart"/>
            <w:r w:rsidRPr="00EB0938">
              <w:t>out</w:t>
            </w:r>
            <w:proofErr w:type="spellEnd"/>
            <w:r w:rsidRPr="00EB0938">
              <w:t xml:space="preserve"> 3,5 mm </w:t>
            </w:r>
            <w:proofErr w:type="spellStart"/>
            <w:r w:rsidRPr="00EB0938">
              <w:t>jack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BBE92" w14:textId="77777777" w:rsidR="00523542" w:rsidRPr="00EB0938" w:rsidRDefault="00523542" w:rsidP="00523542">
            <w:r w:rsidRPr="00EB0938">
              <w:t>min.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CEBD" w14:textId="77777777" w:rsidR="00523542" w:rsidRPr="00EB0938" w:rsidRDefault="00523542" w:rsidP="00523542">
            <w:r w:rsidRPr="00EB0938">
              <w:t>3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DF535C" w14:textId="41B4B4E4" w:rsidR="00523542" w:rsidRPr="00EB0938" w:rsidRDefault="00523542" w:rsidP="00523542">
            <w:r w:rsidRPr="00EB0938">
              <w:t>3</w:t>
            </w:r>
          </w:p>
        </w:tc>
      </w:tr>
      <w:tr w:rsidR="00523542" w:rsidRPr="00EB0938" w14:paraId="74B32B32" w14:textId="0F8DBBCE" w:rsidTr="00523542">
        <w:trPr>
          <w:trHeight w:val="315"/>
        </w:trPr>
        <w:tc>
          <w:tcPr>
            <w:tcW w:w="616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A04E" w14:textId="77777777" w:rsidR="00523542" w:rsidRPr="00EB0938" w:rsidRDefault="00523542" w:rsidP="00523542"/>
        </w:tc>
        <w:tc>
          <w:tcPr>
            <w:tcW w:w="2497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BDA8" w14:textId="77777777" w:rsidR="00523542" w:rsidRPr="00EB0938" w:rsidRDefault="00523542" w:rsidP="00523542">
            <w:r w:rsidRPr="00EB0938">
              <w:t>DVI-D</w:t>
            </w:r>
          </w:p>
        </w:tc>
        <w:tc>
          <w:tcPr>
            <w:tcW w:w="5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7B065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6EEC8" w14:textId="77777777" w:rsidR="00523542" w:rsidRPr="00EB0938" w:rsidRDefault="00523542" w:rsidP="00523542">
            <w:r w:rsidRPr="00EB0938">
              <w:t>ano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6A76F9" w14:textId="3E63246E" w:rsidR="00523542" w:rsidRPr="00EB0938" w:rsidRDefault="00523542" w:rsidP="00523542">
            <w:r w:rsidRPr="00EB0938">
              <w:t>Ano</w:t>
            </w:r>
            <w:r>
              <w:t xml:space="preserve"> </w:t>
            </w:r>
            <w:r w:rsidR="00E52CCA">
              <w:t>–</w:t>
            </w:r>
            <w:r>
              <w:t xml:space="preserve"> redukce</w:t>
            </w:r>
            <w:r w:rsidR="00E52CCA">
              <w:t xml:space="preserve"> DP-DVI</w:t>
            </w:r>
          </w:p>
        </w:tc>
      </w:tr>
      <w:tr w:rsidR="00523542" w:rsidRPr="00EB0938" w14:paraId="0507361C" w14:textId="4E62FD95" w:rsidTr="00523542">
        <w:trPr>
          <w:trHeight w:val="315"/>
        </w:trPr>
        <w:tc>
          <w:tcPr>
            <w:tcW w:w="616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D1461" w14:textId="77777777" w:rsidR="00523542" w:rsidRPr="00EB0938" w:rsidRDefault="00523542" w:rsidP="00523542"/>
        </w:tc>
        <w:tc>
          <w:tcPr>
            <w:tcW w:w="2497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8069" w14:textId="77777777" w:rsidR="00523542" w:rsidRPr="00EB0938" w:rsidRDefault="00523542" w:rsidP="00523542">
            <w:r w:rsidRPr="00EB0938">
              <w:t>DVI-I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23EAB" w14:textId="77777777" w:rsidR="00523542" w:rsidRPr="00EB0938" w:rsidRDefault="00523542" w:rsidP="00523542">
            <w:r w:rsidRPr="00EB0938">
              <w:t> 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B1026" w14:textId="77777777" w:rsidR="00523542" w:rsidRPr="00EB0938" w:rsidRDefault="00523542" w:rsidP="00523542">
            <w:r w:rsidRPr="00EB0938">
              <w:t>ano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70FC6" w14:textId="3609A654" w:rsidR="00523542" w:rsidRPr="00EB0938" w:rsidRDefault="00523542" w:rsidP="00523542">
            <w:r w:rsidRPr="00EB0938">
              <w:t>Ano</w:t>
            </w:r>
            <w:r>
              <w:t xml:space="preserve"> </w:t>
            </w:r>
            <w:r w:rsidR="00E52CCA">
              <w:t>– redukce DP -DVI</w:t>
            </w:r>
          </w:p>
        </w:tc>
      </w:tr>
      <w:tr w:rsidR="00523542" w:rsidRPr="00EB0938" w14:paraId="6D372DE3" w14:textId="1215062F" w:rsidTr="00523542">
        <w:trPr>
          <w:trHeight w:val="300"/>
        </w:trPr>
        <w:tc>
          <w:tcPr>
            <w:tcW w:w="616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7B69" w14:textId="77777777" w:rsidR="00523542" w:rsidRPr="00EB0938" w:rsidRDefault="00523542" w:rsidP="00523542">
            <w:r w:rsidRPr="00EB0938">
              <w:t>Záruka</w:t>
            </w:r>
          </w:p>
        </w:tc>
        <w:tc>
          <w:tcPr>
            <w:tcW w:w="24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21735" w14:textId="77777777" w:rsidR="00523542" w:rsidRPr="00EB0938" w:rsidRDefault="00523542" w:rsidP="00523542">
            <w:r w:rsidRPr="00EB0938">
              <w:t>Záruka v ČR garantovaná výrobcem dokončení opravy NBD on-</w:t>
            </w:r>
            <w:proofErr w:type="spellStart"/>
            <w:r w:rsidRPr="00EB0938">
              <w:t>site</w:t>
            </w:r>
            <w:proofErr w:type="spellEnd"/>
            <w:r w:rsidRPr="00EB0938">
              <w:t xml:space="preserve"> od nahlášení,  ponechání vadného disku zákazníkovi.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0F83C" w14:textId="77777777" w:rsidR="00523542" w:rsidRPr="00EB0938" w:rsidRDefault="00523542" w:rsidP="00523542">
            <w:r w:rsidRPr="00EB0938">
              <w:t>min.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1309" w14:textId="77777777" w:rsidR="00523542" w:rsidRPr="00EB0938" w:rsidRDefault="00523542" w:rsidP="00523542">
            <w:r>
              <w:t>5</w:t>
            </w:r>
            <w:r w:rsidRPr="00EB0938">
              <w:t xml:space="preserve"> </w:t>
            </w:r>
            <w:r>
              <w:t>let</w:t>
            </w:r>
          </w:p>
        </w:tc>
        <w:tc>
          <w:tcPr>
            <w:tcW w:w="668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AF817" w14:textId="4ED45293" w:rsidR="00523542" w:rsidRDefault="00523542" w:rsidP="00523542">
            <w:r>
              <w:t>5</w:t>
            </w:r>
            <w:r w:rsidRPr="00EB0938">
              <w:t xml:space="preserve"> </w:t>
            </w:r>
            <w:r>
              <w:t>let</w:t>
            </w:r>
          </w:p>
        </w:tc>
      </w:tr>
    </w:tbl>
    <w:p w14:paraId="78E853C6" w14:textId="77777777" w:rsidR="00523542" w:rsidRPr="00EB0938" w:rsidRDefault="00523542" w:rsidP="00523542">
      <w:pPr>
        <w:rPr>
          <w:rStyle w:val="slostrnky"/>
          <w:bCs/>
          <w:u w:color="FF0000"/>
        </w:rPr>
      </w:pPr>
    </w:p>
    <w:p w14:paraId="62F01A1E" w14:textId="2F68C8A1" w:rsidR="00575F84" w:rsidRDefault="00575F84" w:rsidP="00575F84"/>
    <w:p w14:paraId="61E5998F" w14:textId="4040F152" w:rsidR="008748A9" w:rsidRDefault="008748A9" w:rsidP="00575F84"/>
    <w:p w14:paraId="16769F9F" w14:textId="5FD65F84" w:rsidR="008748A9" w:rsidRDefault="008748A9" w:rsidP="00575F84"/>
    <w:p w14:paraId="3E1B331B" w14:textId="348458B8" w:rsidR="008748A9" w:rsidRDefault="008748A9" w:rsidP="00575F84"/>
    <w:p w14:paraId="544C5060" w14:textId="0EB4624C" w:rsidR="008748A9" w:rsidRDefault="008748A9" w:rsidP="00575F84"/>
    <w:p w14:paraId="392BB4E8" w14:textId="5CC80411" w:rsidR="008748A9" w:rsidRDefault="008748A9" w:rsidP="00575F84"/>
    <w:tbl>
      <w:tblPr>
        <w:tblW w:w="973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268"/>
        <w:gridCol w:w="2268"/>
        <w:gridCol w:w="2916"/>
      </w:tblGrid>
      <w:tr w:rsidR="008748A9" w:rsidRPr="00B17EB1" w14:paraId="3C9A0BC6" w14:textId="77777777" w:rsidTr="00561F31">
        <w:trPr>
          <w:trHeight w:val="397"/>
        </w:trPr>
        <w:tc>
          <w:tcPr>
            <w:tcW w:w="973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01D3C2B" w14:textId="77777777" w:rsidR="008748A9" w:rsidRPr="00B17EB1" w:rsidRDefault="008748A9" w:rsidP="00561F31">
            <w:pPr>
              <w:jc w:val="center"/>
              <w:rPr>
                <w:b/>
                <w:bCs/>
                <w:smallCaps/>
              </w:rPr>
            </w:pPr>
            <w:r w:rsidRPr="00B17EB1">
              <w:rPr>
                <w:b/>
                <w:bCs/>
                <w:smallCaps/>
              </w:rPr>
              <w:lastRenderedPageBreak/>
              <w:t xml:space="preserve">Nabídková cena </w:t>
            </w:r>
          </w:p>
        </w:tc>
      </w:tr>
      <w:tr w:rsidR="008748A9" w:rsidRPr="00B17EB1" w14:paraId="5967F9BB" w14:textId="77777777" w:rsidTr="00561F31">
        <w:trPr>
          <w:trHeight w:hRule="exact" w:val="397"/>
        </w:trPr>
        <w:tc>
          <w:tcPr>
            <w:tcW w:w="22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26FB6" w14:textId="77777777" w:rsidR="008748A9" w:rsidRPr="00B17EB1" w:rsidRDefault="008748A9" w:rsidP="00561F3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48F94" w14:textId="77777777" w:rsidR="008748A9" w:rsidRPr="00B17EB1" w:rsidRDefault="008748A9" w:rsidP="00561F31">
            <w:pPr>
              <w:jc w:val="center"/>
              <w:rPr>
                <w:bCs/>
              </w:rPr>
            </w:pPr>
            <w:r w:rsidRPr="00B17EB1">
              <w:rPr>
                <w:bCs/>
              </w:rPr>
              <w:t>bez DPH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50159" w14:textId="77777777" w:rsidR="008748A9" w:rsidRPr="00B17EB1" w:rsidRDefault="008748A9" w:rsidP="00561F31">
            <w:pPr>
              <w:jc w:val="center"/>
              <w:rPr>
                <w:bCs/>
              </w:rPr>
            </w:pPr>
            <w:r w:rsidRPr="00B17EB1">
              <w:rPr>
                <w:bCs/>
              </w:rPr>
              <w:t>DPH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519257" w14:textId="77777777" w:rsidR="008748A9" w:rsidRPr="00B17EB1" w:rsidRDefault="008748A9" w:rsidP="00561F31">
            <w:pPr>
              <w:jc w:val="center"/>
              <w:rPr>
                <w:bCs/>
              </w:rPr>
            </w:pPr>
            <w:r w:rsidRPr="00B17EB1">
              <w:rPr>
                <w:bCs/>
              </w:rPr>
              <w:t>včetně DPH</w:t>
            </w:r>
          </w:p>
        </w:tc>
      </w:tr>
      <w:tr w:rsidR="008748A9" w:rsidRPr="005703E6" w14:paraId="410E070A" w14:textId="77777777" w:rsidTr="00561F31">
        <w:trPr>
          <w:trHeight w:hRule="exact" w:val="666"/>
        </w:trPr>
        <w:tc>
          <w:tcPr>
            <w:tcW w:w="22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6AE1" w14:textId="77777777" w:rsidR="008748A9" w:rsidRPr="00B17EB1" w:rsidRDefault="008748A9" w:rsidP="00561F31">
            <w:pPr>
              <w:rPr>
                <w:bCs/>
              </w:rPr>
            </w:pPr>
            <w:r w:rsidRPr="00EB0938">
              <w:rPr>
                <w:rStyle w:val="slostrnky"/>
                <w:bCs/>
                <w:u w:color="FF0000"/>
              </w:rPr>
              <w:t>Pol. 1 – Tenký klient, standard A</w:t>
            </w:r>
            <w:r>
              <w:rPr>
                <w:bCs/>
                <w:lang w:val="en-US"/>
              </w:rPr>
              <w:t xml:space="preserve"> (1</w:t>
            </w:r>
            <w:r>
              <w:rPr>
                <w:bCs/>
              </w:rPr>
              <w:t>ks)</w:t>
            </w:r>
          </w:p>
          <w:p w14:paraId="49E4FB73" w14:textId="77777777" w:rsidR="008748A9" w:rsidRPr="00B17EB1" w:rsidRDefault="008748A9" w:rsidP="00561F31">
            <w:pPr>
              <w:jc w:val="center"/>
              <w:rPr>
                <w:bCs/>
              </w:rPr>
            </w:pPr>
          </w:p>
          <w:p w14:paraId="708F5014" w14:textId="77777777" w:rsidR="008748A9" w:rsidRPr="00B17EB1" w:rsidRDefault="008748A9" w:rsidP="00561F3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FFF49" w14:textId="77777777" w:rsidR="008748A9" w:rsidRPr="005703E6" w:rsidRDefault="008748A9" w:rsidP="00561F31">
            <w:pPr>
              <w:jc w:val="center"/>
              <w:rPr>
                <w:bCs/>
              </w:rPr>
            </w:pPr>
            <w:r>
              <w:rPr>
                <w:bCs/>
              </w:rPr>
              <w:t>5 800 Kč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15C47" w14:textId="77777777" w:rsidR="008748A9" w:rsidRPr="005703E6" w:rsidRDefault="008748A9" w:rsidP="00561F31">
            <w:pPr>
              <w:jc w:val="center"/>
              <w:rPr>
                <w:bCs/>
              </w:rPr>
            </w:pPr>
            <w:r>
              <w:rPr>
                <w:bCs/>
              </w:rPr>
              <w:t>1 218 Kč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DD194" w14:textId="77777777" w:rsidR="008748A9" w:rsidRPr="005703E6" w:rsidRDefault="008748A9" w:rsidP="00561F31">
            <w:pPr>
              <w:jc w:val="center"/>
              <w:rPr>
                <w:bCs/>
              </w:rPr>
            </w:pPr>
            <w:r>
              <w:rPr>
                <w:bCs/>
              </w:rPr>
              <w:t>7 018 Kč</w:t>
            </w:r>
          </w:p>
        </w:tc>
      </w:tr>
      <w:tr w:rsidR="008748A9" w:rsidRPr="005703E6" w14:paraId="0587877D" w14:textId="77777777" w:rsidTr="00561F31">
        <w:trPr>
          <w:trHeight w:hRule="exact" w:val="666"/>
        </w:trPr>
        <w:tc>
          <w:tcPr>
            <w:tcW w:w="22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D02A" w14:textId="77777777" w:rsidR="008748A9" w:rsidRDefault="008748A9" w:rsidP="00561F31">
            <w:pPr>
              <w:rPr>
                <w:bCs/>
              </w:rPr>
            </w:pPr>
            <w:r w:rsidRPr="00EB0938">
              <w:rPr>
                <w:rStyle w:val="slostrnky"/>
                <w:bCs/>
                <w:u w:color="FF0000"/>
              </w:rPr>
              <w:t>Pol. 1 – Tenký klient, standard A</w:t>
            </w:r>
            <w:r>
              <w:rPr>
                <w:bCs/>
                <w:lang w:val="en-US"/>
              </w:rPr>
              <w:t xml:space="preserve"> (30</w:t>
            </w:r>
            <w:r>
              <w:rPr>
                <w:bCs/>
              </w:rPr>
              <w:t>ks)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AECAAD" w14:textId="77777777" w:rsidR="008748A9" w:rsidRDefault="008748A9" w:rsidP="00561F31">
            <w:pPr>
              <w:jc w:val="center"/>
              <w:rPr>
                <w:bCs/>
              </w:rPr>
            </w:pPr>
            <w:r>
              <w:rPr>
                <w:bCs/>
              </w:rPr>
              <w:t>174 000 Kč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22C83" w14:textId="77777777" w:rsidR="008748A9" w:rsidRDefault="008748A9" w:rsidP="00561F31">
            <w:pPr>
              <w:jc w:val="center"/>
              <w:rPr>
                <w:bCs/>
              </w:rPr>
            </w:pPr>
            <w:r>
              <w:rPr>
                <w:bCs/>
              </w:rPr>
              <w:t>36 540 Kč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25304" w14:textId="77777777" w:rsidR="008748A9" w:rsidRDefault="008748A9" w:rsidP="00561F31">
            <w:pPr>
              <w:jc w:val="center"/>
              <w:rPr>
                <w:bCs/>
              </w:rPr>
            </w:pPr>
            <w:r>
              <w:rPr>
                <w:bCs/>
              </w:rPr>
              <w:t>210 540 Kč</w:t>
            </w:r>
          </w:p>
        </w:tc>
      </w:tr>
      <w:tr w:rsidR="008748A9" w:rsidRPr="005703E6" w14:paraId="7EEB46EB" w14:textId="77777777" w:rsidTr="00561F31">
        <w:trPr>
          <w:trHeight w:hRule="exact" w:val="397"/>
        </w:trPr>
        <w:tc>
          <w:tcPr>
            <w:tcW w:w="22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8161" w14:textId="77777777" w:rsidR="008748A9" w:rsidRPr="00B17EB1" w:rsidRDefault="008748A9" w:rsidP="00561F31">
            <w:pPr>
              <w:rPr>
                <w:b/>
                <w:bCs/>
              </w:rPr>
            </w:pPr>
            <w:r w:rsidRPr="00B17EB1">
              <w:rPr>
                <w:b/>
                <w:bCs/>
              </w:rPr>
              <w:t>Cena celkem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13E34" w14:textId="77777777" w:rsidR="008748A9" w:rsidRPr="005D0DCB" w:rsidRDefault="008748A9" w:rsidP="00561F31">
            <w:pPr>
              <w:jc w:val="center"/>
              <w:rPr>
                <w:b/>
              </w:rPr>
            </w:pPr>
            <w:r w:rsidRPr="005D0DCB">
              <w:rPr>
                <w:b/>
              </w:rPr>
              <w:t>174 000 Kč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C342B" w14:textId="77777777" w:rsidR="008748A9" w:rsidRPr="005D0DCB" w:rsidRDefault="008748A9" w:rsidP="00561F31">
            <w:pPr>
              <w:jc w:val="center"/>
              <w:rPr>
                <w:b/>
              </w:rPr>
            </w:pPr>
            <w:r w:rsidRPr="005D0DCB">
              <w:rPr>
                <w:b/>
              </w:rPr>
              <w:t>36 540 Kč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A4950" w14:textId="77777777" w:rsidR="008748A9" w:rsidRPr="005D0DCB" w:rsidRDefault="008748A9" w:rsidP="00561F31">
            <w:pPr>
              <w:jc w:val="center"/>
              <w:rPr>
                <w:b/>
              </w:rPr>
            </w:pPr>
            <w:r w:rsidRPr="005D0DCB">
              <w:rPr>
                <w:b/>
              </w:rPr>
              <w:t>210 540 Kč</w:t>
            </w:r>
          </w:p>
        </w:tc>
      </w:tr>
    </w:tbl>
    <w:p w14:paraId="0050ED93" w14:textId="3BB6DB5F" w:rsidR="008748A9" w:rsidRDefault="008748A9" w:rsidP="00575F84"/>
    <w:p w14:paraId="710AA37A" w14:textId="402E70FD" w:rsidR="008748A9" w:rsidRDefault="008748A9" w:rsidP="00575F84"/>
    <w:p w14:paraId="50B16284" w14:textId="77777777" w:rsidR="008748A9" w:rsidRDefault="008748A9" w:rsidP="00575F84"/>
    <w:p w14:paraId="3026D095" w14:textId="77777777" w:rsidR="00AA34DF" w:rsidRDefault="00AA34DF" w:rsidP="00023008"/>
    <w:sectPr w:rsidR="00AA34DF" w:rsidSect="00D930BD"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8BDBC" w14:textId="77777777" w:rsidR="001E0B3B" w:rsidRDefault="001E0B3B" w:rsidP="006337DC">
      <w:r>
        <w:separator/>
      </w:r>
    </w:p>
  </w:endnote>
  <w:endnote w:type="continuationSeparator" w:id="0">
    <w:p w14:paraId="3A5F113A" w14:textId="77777777" w:rsidR="001E0B3B" w:rsidRDefault="001E0B3B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5C0C8" w14:textId="12E857DE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20CB8">
      <w:rPr>
        <w:noProof/>
        <w:sz w:val="20"/>
        <w:szCs w:val="20"/>
      </w:rPr>
      <w:t>10</w:t>
    </w:r>
    <w:r w:rsidRPr="00150F89">
      <w:rPr>
        <w:sz w:val="20"/>
        <w:szCs w:val="20"/>
      </w:rPr>
      <w:fldChar w:fldCharType="end"/>
    </w:r>
  </w:p>
  <w:p w14:paraId="52319E7C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B8419" w14:textId="058E966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0CB8">
      <w:rPr>
        <w:noProof/>
      </w:rPr>
      <w:t>1</w:t>
    </w:r>
    <w:r>
      <w:fldChar w:fldCharType="end"/>
    </w:r>
  </w:p>
  <w:p w14:paraId="6DF77085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9B16" w14:textId="77777777" w:rsidR="001E0B3B" w:rsidRDefault="001E0B3B" w:rsidP="006337DC">
      <w:r>
        <w:separator/>
      </w:r>
    </w:p>
  </w:footnote>
  <w:footnote w:type="continuationSeparator" w:id="0">
    <w:p w14:paraId="4A086E27" w14:textId="77777777" w:rsidR="001E0B3B" w:rsidRDefault="001E0B3B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D28A" w14:textId="082B4C33" w:rsidR="00AB05E6" w:rsidRPr="00AB05E6" w:rsidRDefault="00AB05E6" w:rsidP="00AB05E6">
    <w:pPr>
      <w:pStyle w:val="Zhlav"/>
      <w:ind w:left="7513"/>
      <w:rPr>
        <w:sz w:val="20"/>
        <w:szCs w:val="20"/>
      </w:rPr>
    </w:pPr>
    <w:r w:rsidRPr="00AB05E6">
      <w:rPr>
        <w:sz w:val="20"/>
        <w:szCs w:val="20"/>
      </w:rPr>
      <w:t>FN Brno</w:t>
    </w:r>
  </w:p>
  <w:p w14:paraId="0016FB5A" w14:textId="42913FDC" w:rsidR="00AB05E6" w:rsidRPr="00AB05E6" w:rsidRDefault="00AB05E6" w:rsidP="00AB05E6">
    <w:pPr>
      <w:pStyle w:val="Zhlav"/>
      <w:ind w:left="7513"/>
      <w:rPr>
        <w:sz w:val="20"/>
        <w:szCs w:val="20"/>
      </w:rPr>
    </w:pPr>
    <w:r w:rsidRPr="00AB05E6">
      <w:rPr>
        <w:sz w:val="20"/>
        <w:szCs w:val="20"/>
      </w:rPr>
      <w:t>Smlouva č. KP/2013/2021/Kl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6D3C1F76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2AB4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17D0"/>
    <w:rsid w:val="000A5B93"/>
    <w:rsid w:val="000A6004"/>
    <w:rsid w:val="000B00FA"/>
    <w:rsid w:val="000C0B21"/>
    <w:rsid w:val="000C1507"/>
    <w:rsid w:val="000C1FD1"/>
    <w:rsid w:val="000C25CC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7F67"/>
    <w:rsid w:val="00183B7C"/>
    <w:rsid w:val="00195882"/>
    <w:rsid w:val="001976E5"/>
    <w:rsid w:val="001A2FBC"/>
    <w:rsid w:val="001A3AA2"/>
    <w:rsid w:val="001B0682"/>
    <w:rsid w:val="001B1B66"/>
    <w:rsid w:val="001B35A3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0B3B"/>
    <w:rsid w:val="001E166C"/>
    <w:rsid w:val="001E35DE"/>
    <w:rsid w:val="001E7C33"/>
    <w:rsid w:val="001E7C77"/>
    <w:rsid w:val="001F1EC9"/>
    <w:rsid w:val="001F4AA6"/>
    <w:rsid w:val="002003F2"/>
    <w:rsid w:val="00201BD2"/>
    <w:rsid w:val="00201DB5"/>
    <w:rsid w:val="00205191"/>
    <w:rsid w:val="00211633"/>
    <w:rsid w:val="00217B9D"/>
    <w:rsid w:val="002317B2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2671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2AF"/>
    <w:rsid w:val="002F4739"/>
    <w:rsid w:val="002F7767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B422A"/>
    <w:rsid w:val="004C2C98"/>
    <w:rsid w:val="004C62D3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3EA3"/>
    <w:rsid w:val="00520CB8"/>
    <w:rsid w:val="00523542"/>
    <w:rsid w:val="005237DF"/>
    <w:rsid w:val="0052509C"/>
    <w:rsid w:val="00525505"/>
    <w:rsid w:val="005255AE"/>
    <w:rsid w:val="00530753"/>
    <w:rsid w:val="00531121"/>
    <w:rsid w:val="005337E0"/>
    <w:rsid w:val="00535F96"/>
    <w:rsid w:val="00537A86"/>
    <w:rsid w:val="00542C4D"/>
    <w:rsid w:val="00544555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C5036"/>
    <w:rsid w:val="006D0000"/>
    <w:rsid w:val="006D074E"/>
    <w:rsid w:val="006D3968"/>
    <w:rsid w:val="006D7214"/>
    <w:rsid w:val="006D7971"/>
    <w:rsid w:val="006E1936"/>
    <w:rsid w:val="006E1ACB"/>
    <w:rsid w:val="006E2DA5"/>
    <w:rsid w:val="006E4E2A"/>
    <w:rsid w:val="006F5E44"/>
    <w:rsid w:val="006F6220"/>
    <w:rsid w:val="00706E7C"/>
    <w:rsid w:val="0070760F"/>
    <w:rsid w:val="00711929"/>
    <w:rsid w:val="0071202D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35A8F"/>
    <w:rsid w:val="007408D2"/>
    <w:rsid w:val="007427EC"/>
    <w:rsid w:val="00744F95"/>
    <w:rsid w:val="0075495D"/>
    <w:rsid w:val="00754D50"/>
    <w:rsid w:val="00757AB8"/>
    <w:rsid w:val="00763381"/>
    <w:rsid w:val="00763C47"/>
    <w:rsid w:val="0076415C"/>
    <w:rsid w:val="00765CC7"/>
    <w:rsid w:val="00774539"/>
    <w:rsid w:val="007745D0"/>
    <w:rsid w:val="00776CB0"/>
    <w:rsid w:val="00776DBD"/>
    <w:rsid w:val="00786DD8"/>
    <w:rsid w:val="007930D9"/>
    <w:rsid w:val="007960E8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157D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7E7D"/>
    <w:rsid w:val="00862350"/>
    <w:rsid w:val="00862EBA"/>
    <w:rsid w:val="00863E04"/>
    <w:rsid w:val="00870AAC"/>
    <w:rsid w:val="00870B1A"/>
    <w:rsid w:val="0087360F"/>
    <w:rsid w:val="008748A9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2137"/>
    <w:rsid w:val="008E7E24"/>
    <w:rsid w:val="008F06D4"/>
    <w:rsid w:val="008F3B32"/>
    <w:rsid w:val="008F5D8B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7D65"/>
    <w:rsid w:val="009811BA"/>
    <w:rsid w:val="00982C4A"/>
    <w:rsid w:val="00985F35"/>
    <w:rsid w:val="009A12F5"/>
    <w:rsid w:val="009A1F27"/>
    <w:rsid w:val="009A4267"/>
    <w:rsid w:val="009B0178"/>
    <w:rsid w:val="009B0414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0EA0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09C3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05E6"/>
    <w:rsid w:val="00AC626E"/>
    <w:rsid w:val="00AC7710"/>
    <w:rsid w:val="00AD3D87"/>
    <w:rsid w:val="00AD7170"/>
    <w:rsid w:val="00AE1423"/>
    <w:rsid w:val="00AE1821"/>
    <w:rsid w:val="00AE2234"/>
    <w:rsid w:val="00AE3FA0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4EC9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E1B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2D11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14FF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2CCA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23BE"/>
    <w:rsid w:val="00E9583A"/>
    <w:rsid w:val="00EA0296"/>
    <w:rsid w:val="00EA1A12"/>
    <w:rsid w:val="00EA2854"/>
    <w:rsid w:val="00EA4C8B"/>
    <w:rsid w:val="00EB2D15"/>
    <w:rsid w:val="00EB3860"/>
    <w:rsid w:val="00EC32A0"/>
    <w:rsid w:val="00EC330C"/>
    <w:rsid w:val="00EC6A23"/>
    <w:rsid w:val="00ED0547"/>
    <w:rsid w:val="00ED22CB"/>
    <w:rsid w:val="00ED4756"/>
    <w:rsid w:val="00EE6269"/>
    <w:rsid w:val="00EE75D5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05EC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C8E08F"/>
  <w15:docId w15:val="{69DD3764-90CF-46D3-844E-C87475E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523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7e37686-00e6-405d-9032-d05dd3ba55a9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B546BF2-A28D-4AA3-8191-E3AAC076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3534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Kaldová Petra</cp:lastModifiedBy>
  <cp:revision>3</cp:revision>
  <cp:lastPrinted>2021-06-03T07:37:00Z</cp:lastPrinted>
  <dcterms:created xsi:type="dcterms:W3CDTF">2021-09-09T09:00:00Z</dcterms:created>
  <dcterms:modified xsi:type="dcterms:W3CDTF">2021-09-09T09:01:00Z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