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F3" w:rsidRDefault="003758F3" w:rsidP="003758F3">
      <w:pPr>
        <w:spacing w:after="0" w:line="280" w:lineRule="atLeast"/>
        <w:jc w:val="right"/>
        <w:rPr>
          <w:rFonts w:ascii="Arial" w:eastAsia="Times New Roman" w:hAnsi="Arial" w:cs="Arial"/>
          <w:b/>
          <w:bCs/>
          <w:color w:val="000000"/>
          <w:lang w:eastAsia="cs-CZ"/>
        </w:rPr>
      </w:pPr>
    </w:p>
    <w:p w:rsidR="003758F3" w:rsidRDefault="003758F3" w:rsidP="003758F3">
      <w:pPr>
        <w:spacing w:after="0" w:line="280" w:lineRule="atLeast"/>
        <w:jc w:val="right"/>
        <w:rPr>
          <w:rFonts w:ascii="Arial" w:eastAsia="Times New Roman" w:hAnsi="Arial" w:cs="Arial"/>
          <w:b/>
          <w:bCs/>
          <w:color w:val="000000"/>
          <w:lang w:eastAsia="cs-CZ"/>
        </w:rPr>
      </w:pPr>
    </w:p>
    <w:p w:rsidR="003758F3" w:rsidRPr="003758F3" w:rsidRDefault="003758F3" w:rsidP="003758F3">
      <w:pPr>
        <w:spacing w:after="0" w:line="280" w:lineRule="atLeast"/>
        <w:jc w:val="right"/>
        <w:rPr>
          <w:rFonts w:ascii="Arial" w:eastAsia="Times New Roman" w:hAnsi="Arial" w:cs="Arial"/>
          <w:color w:val="000000"/>
          <w:lang w:eastAsia="cs-CZ"/>
        </w:rPr>
      </w:pPr>
      <w:r w:rsidRPr="003758F3">
        <w:rPr>
          <w:rFonts w:ascii="Arial" w:eastAsia="Times New Roman" w:hAnsi="Arial" w:cs="Arial"/>
          <w:noProof/>
          <w:lang w:eastAsia="cs-CZ"/>
        </w:rPr>
        <w:drawing>
          <wp:anchor distT="0" distB="0" distL="0" distR="0" simplePos="0" relativeHeight="251658240" behindDoc="1" locked="0" layoutInCell="1" allowOverlap="0">
            <wp:simplePos x="0" y="0"/>
            <wp:positionH relativeFrom="column">
              <wp:posOffset>-233045</wp:posOffset>
            </wp:positionH>
            <wp:positionV relativeFrom="page">
              <wp:posOffset>561975</wp:posOffset>
            </wp:positionV>
            <wp:extent cx="1876425" cy="914400"/>
            <wp:effectExtent l="0" t="0" r="9525" b="0"/>
            <wp:wrapNone/>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8F3">
        <w:rPr>
          <w:rFonts w:ascii="Arial" w:eastAsia="Times New Roman" w:hAnsi="Arial" w:cs="Arial"/>
          <w:b/>
          <w:bCs/>
          <w:color w:val="000000"/>
          <w:lang w:eastAsia="cs-CZ"/>
        </w:rPr>
        <w:t>Číslo spisu: S/03253/JC/21</w:t>
      </w:r>
    </w:p>
    <w:p w:rsidR="003758F3" w:rsidRPr="003758F3" w:rsidRDefault="003758F3" w:rsidP="003758F3">
      <w:pPr>
        <w:spacing w:after="0" w:line="280" w:lineRule="atLeast"/>
        <w:jc w:val="right"/>
        <w:rPr>
          <w:rFonts w:ascii="Arial" w:eastAsia="Times New Roman" w:hAnsi="Arial" w:cs="Arial"/>
          <w:color w:val="000000"/>
          <w:lang w:eastAsia="cs-CZ"/>
        </w:rPr>
      </w:pPr>
      <w:r w:rsidRPr="003758F3">
        <w:rPr>
          <w:rFonts w:ascii="Arial" w:eastAsia="Times New Roman" w:hAnsi="Arial" w:cs="Arial"/>
          <w:b/>
          <w:bCs/>
          <w:color w:val="000000"/>
          <w:lang w:eastAsia="cs-CZ"/>
        </w:rPr>
        <w:t>Číslo jednací: 03253/JC/21</w:t>
      </w:r>
    </w:p>
    <w:p w:rsidR="003758F3" w:rsidRPr="003758F3" w:rsidRDefault="003758F3" w:rsidP="003758F3">
      <w:pPr>
        <w:spacing w:after="0" w:line="280" w:lineRule="atLeast"/>
        <w:jc w:val="right"/>
        <w:rPr>
          <w:rFonts w:ascii="Arial" w:eastAsia="Times New Roman" w:hAnsi="Arial" w:cs="Arial"/>
          <w:color w:val="000000"/>
          <w:lang w:eastAsia="cs-CZ"/>
        </w:rPr>
      </w:pPr>
      <w:r w:rsidRPr="003758F3">
        <w:rPr>
          <w:rFonts w:ascii="Arial" w:eastAsia="Times New Roman" w:hAnsi="Arial" w:cs="Arial"/>
          <w:color w:val="000000"/>
          <w:lang w:eastAsia="cs-CZ"/>
        </w:rPr>
        <w:t>PPK-686a/31/21</w:t>
      </w:r>
    </w:p>
    <w:p w:rsidR="003758F3" w:rsidRDefault="003758F3" w:rsidP="003758F3">
      <w:pPr>
        <w:spacing w:after="0" w:line="280" w:lineRule="atLeast"/>
        <w:jc w:val="right"/>
        <w:rPr>
          <w:rFonts w:ascii="Arial" w:eastAsia="Times New Roman" w:hAnsi="Arial" w:cs="Arial"/>
          <w:color w:val="000000"/>
          <w:lang w:eastAsia="cs-CZ"/>
        </w:rPr>
      </w:pPr>
      <w:r w:rsidRPr="003758F3">
        <w:rPr>
          <w:rFonts w:ascii="Arial" w:eastAsia="Times New Roman" w:hAnsi="Arial" w:cs="Arial"/>
          <w:color w:val="000000"/>
          <w:lang w:eastAsia="cs-CZ"/>
        </w:rPr>
        <w:t>Dotační titul: A2</w:t>
      </w:r>
    </w:p>
    <w:p w:rsidR="003758F3" w:rsidRPr="003758F3" w:rsidRDefault="003758F3" w:rsidP="003758F3">
      <w:pPr>
        <w:spacing w:after="0" w:line="280" w:lineRule="atLeast"/>
        <w:jc w:val="right"/>
        <w:rPr>
          <w:rFonts w:ascii="Arial" w:eastAsia="Times New Roman" w:hAnsi="Arial" w:cs="Arial"/>
          <w:color w:val="000000"/>
          <w:lang w:eastAsia="cs-CZ"/>
        </w:rPr>
      </w:pP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w:t>
      </w: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SMLOUVA O DÍLO</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UZAVŘENÁ DLE USTANOVENÍ § 2586 A NÁSL. ZÁK. Č. 89/2012 SB., OBČANSKÉHO ZÁKONÍKU, VE ZNĚNÍ POZDĚJŠÍCH PŘEDPISŮ</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I. Smluvní strany</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b/>
          <w:bCs/>
          <w:color w:val="000000"/>
          <w:lang w:eastAsia="cs-CZ"/>
        </w:rPr>
        <w:t>1.1 Objednatel</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b/>
          <w:bCs/>
          <w:color w:val="000000"/>
          <w:lang w:eastAsia="cs-CZ"/>
        </w:rPr>
        <w:t>Česká republika - Agentura ochrany přírody a krajiny ČR</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Sídlo: Kaplanova 1931/1, 148 00 Praha 11 - Chodov</w:t>
      </w:r>
    </w:p>
    <w:p w:rsidR="003758F3" w:rsidRPr="003758F3" w:rsidRDefault="003758F3" w:rsidP="003758F3">
      <w:pPr>
        <w:spacing w:after="0" w:line="280" w:lineRule="atLeast"/>
        <w:ind w:left="1410" w:hanging="1410"/>
        <w:rPr>
          <w:rFonts w:ascii="Arial" w:eastAsia="Times New Roman" w:hAnsi="Arial" w:cs="Arial"/>
          <w:color w:val="000000"/>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3758F3">
        <w:rPr>
          <w:rFonts w:ascii="Arial" w:eastAsia="Times New Roman" w:hAnsi="Arial" w:cs="Arial"/>
          <w:color w:val="000000"/>
          <w:lang w:eastAsia="cs-CZ"/>
        </w:rPr>
        <w:t>RNDr. Miroslav Hátle</w:t>
      </w:r>
      <w:r>
        <w:rPr>
          <w:rFonts w:ascii="Arial" w:eastAsia="Times New Roman" w:hAnsi="Arial" w:cs="Arial"/>
          <w:color w:val="000000"/>
          <w:lang w:eastAsia="cs-CZ"/>
        </w:rPr>
        <w:t>,</w:t>
      </w:r>
      <w:r w:rsidRPr="003758F3">
        <w:rPr>
          <w:rFonts w:ascii="Arial" w:eastAsia="Times New Roman" w:hAnsi="Arial" w:cs="Arial"/>
          <w:color w:val="000000"/>
          <w:lang w:eastAsia="cs-CZ"/>
        </w:rPr>
        <w:t xml:space="preserve"> CSc.</w:t>
      </w:r>
      <w:r>
        <w:rPr>
          <w:rFonts w:ascii="Arial" w:eastAsia="Times New Roman" w:hAnsi="Arial" w:cs="Arial"/>
          <w:color w:val="000000"/>
          <w:lang w:eastAsia="cs-CZ"/>
        </w:rPr>
        <w:t>,</w:t>
      </w:r>
      <w:r w:rsidRPr="003758F3">
        <w:rPr>
          <w:rFonts w:ascii="Arial" w:eastAsia="Times New Roman" w:hAnsi="Arial" w:cs="Arial"/>
          <w:color w:val="000000"/>
          <w:lang w:eastAsia="cs-CZ"/>
        </w:rPr>
        <w:br/>
        <w:t>vedoucí oddělení SCHKO Třeboňsko - RP Jižní Čechy</w:t>
      </w:r>
    </w:p>
    <w:p w:rsidR="003758F3" w:rsidRPr="003758F3" w:rsidRDefault="003758F3" w:rsidP="003758F3">
      <w:pPr>
        <w:spacing w:after="0" w:line="280" w:lineRule="atLeast"/>
        <w:rPr>
          <w:rFonts w:ascii="Arial" w:eastAsia="Times New Roman" w:hAnsi="Arial" w:cs="Arial"/>
          <w:color w:val="000000"/>
          <w:lang w:eastAsia="cs-CZ"/>
        </w:rPr>
      </w:pPr>
      <w:r>
        <w:rPr>
          <w:rFonts w:ascii="Arial" w:eastAsia="Times New Roman" w:hAnsi="Arial" w:cs="Arial"/>
          <w:color w:val="000000"/>
          <w:lang w:eastAsia="cs-CZ"/>
        </w:rPr>
        <w:t>Bankovní spojení: ČNB Praha, č</w:t>
      </w:r>
      <w:r w:rsidRPr="003758F3">
        <w:rPr>
          <w:rFonts w:ascii="Arial" w:eastAsia="Times New Roman" w:hAnsi="Arial" w:cs="Arial"/>
          <w:color w:val="000000"/>
          <w:lang w:eastAsia="cs-CZ"/>
        </w:rPr>
        <w:t>íslo účtu: 18228011/0710</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IČO: 629 335 91</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DIČ: neplátce DPH</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xml:space="preserve">Telefon: </w:t>
      </w:r>
      <w:proofErr w:type="spellStart"/>
      <w:r w:rsidR="00E25CCC">
        <w:rPr>
          <w:rFonts w:ascii="Arial" w:eastAsia="Times New Roman" w:hAnsi="Arial" w:cs="Arial"/>
          <w:color w:val="000000"/>
          <w:lang w:eastAsia="cs-CZ"/>
        </w:rPr>
        <w:t>xxxxxxxxxxxxxxx</w:t>
      </w:r>
      <w:proofErr w:type="spellEnd"/>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xml:space="preserve">V rozsahu této smlouvy osoba zmocněná k jednání se zhotovitelem, k věcným úkonům a k převzetí díla: </w:t>
      </w:r>
      <w:proofErr w:type="spellStart"/>
      <w:r w:rsidR="00E25CCC">
        <w:rPr>
          <w:rFonts w:ascii="Arial" w:eastAsia="Times New Roman" w:hAnsi="Arial" w:cs="Arial"/>
          <w:color w:val="000000"/>
          <w:lang w:eastAsia="cs-CZ"/>
        </w:rPr>
        <w:t>xxxxxxxxxxxxxxxxxxxxxxxxxxxxxx</w:t>
      </w:r>
      <w:proofErr w:type="spellEnd"/>
    </w:p>
    <w:p w:rsid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xml:space="preserve"> (dále jen „objednatel”)</w:t>
      </w:r>
    </w:p>
    <w:p w:rsidR="003758F3" w:rsidRPr="003758F3" w:rsidRDefault="003758F3" w:rsidP="003758F3">
      <w:pPr>
        <w:spacing w:after="0" w:line="280" w:lineRule="atLeast"/>
        <w:rPr>
          <w:rFonts w:ascii="Arial" w:eastAsia="Times New Roman" w:hAnsi="Arial" w:cs="Arial"/>
          <w:color w:val="000000"/>
          <w:lang w:eastAsia="cs-CZ"/>
        </w:rPr>
      </w:pPr>
    </w:p>
    <w:p w:rsid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A</w:t>
      </w:r>
    </w:p>
    <w:p w:rsidR="003758F3" w:rsidRPr="003758F3" w:rsidRDefault="003758F3" w:rsidP="003758F3">
      <w:pPr>
        <w:spacing w:after="0" w:line="280" w:lineRule="atLeast"/>
        <w:rPr>
          <w:rFonts w:ascii="Arial" w:eastAsia="Times New Roman" w:hAnsi="Arial" w:cs="Arial"/>
          <w:color w:val="000000"/>
          <w:lang w:eastAsia="cs-CZ"/>
        </w:rPr>
      </w:pP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b/>
          <w:bCs/>
          <w:color w:val="000000"/>
          <w:lang w:eastAsia="cs-CZ"/>
        </w:rPr>
        <w:t>1.2 Zhotovitel</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b/>
          <w:bCs/>
          <w:color w:val="000000"/>
          <w:lang w:eastAsia="cs-CZ"/>
        </w:rPr>
        <w:t>Jan Adam</w:t>
      </w:r>
    </w:p>
    <w:p w:rsidR="00E25CCC"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Sídlo: Suchdol nad Lužnicí</w:t>
      </w:r>
      <w:r w:rsidRPr="003758F3">
        <w:rPr>
          <w:rFonts w:ascii="Arial" w:eastAsia="Times New Roman" w:hAnsi="Arial" w:cs="Arial"/>
          <w:color w:val="000000"/>
          <w:lang w:eastAsia="cs-CZ"/>
        </w:rPr>
        <w:br/>
        <w:t xml:space="preserve">Zastoupený: </w:t>
      </w:r>
      <w:proofErr w:type="spellStart"/>
      <w:r w:rsidR="00E25CCC">
        <w:rPr>
          <w:rFonts w:ascii="Arial" w:eastAsia="Times New Roman" w:hAnsi="Arial" w:cs="Arial"/>
          <w:color w:val="000000"/>
          <w:lang w:eastAsia="cs-CZ"/>
        </w:rPr>
        <w:t>xxxxxxxxxxxxxxxxxx</w:t>
      </w:r>
      <w:proofErr w:type="spellEnd"/>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xml:space="preserve">Bankovní spojení: </w:t>
      </w:r>
      <w:r w:rsidR="00E25CCC">
        <w:rPr>
          <w:rFonts w:ascii="Arial" w:eastAsia="Times New Roman" w:hAnsi="Arial" w:cs="Arial"/>
          <w:color w:val="000000"/>
          <w:lang w:eastAsia="cs-CZ"/>
        </w:rPr>
        <w:t>xxxxxxxxxxxxxxxxxxxxxxxxxxxx</w:t>
      </w:r>
      <w:bookmarkStart w:id="0" w:name="_GoBack"/>
      <w:bookmarkEnd w:id="0"/>
      <w:r w:rsidRPr="003758F3">
        <w:rPr>
          <w:rFonts w:ascii="Arial" w:eastAsia="Times New Roman" w:hAnsi="Arial" w:cs="Arial"/>
          <w:color w:val="000000"/>
          <w:lang w:eastAsia="cs-CZ"/>
        </w:rPr>
        <w:br/>
        <w:t>IČO: 06372104</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(dále jen „zhotovitel”)</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w:t>
      </w: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II. Předmět smlouvy</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2.2 Dílem se rozumí:</w:t>
      </w:r>
    </w:p>
    <w:p w:rsidR="003758F3" w:rsidRP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t>Kontrola obsazenosti, sběr hnízdního materiálu, čištění a oprava hnízdních budek pro dutinové ptáky.</w:t>
      </w: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(dále jen „dílo“)</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lastRenderedPageBreak/>
        <w:t>Podrobná specifikace díla je uvedena v příloze č. 1 Rozpočet a specifikace díla PPK-686a/31/21.</w:t>
      </w:r>
    </w:p>
    <w:p w:rsidR="003758F3" w:rsidRPr="003758F3" w:rsidRDefault="003758F3" w:rsidP="003758F3">
      <w:pPr>
        <w:spacing w:after="0" w:line="280" w:lineRule="atLeast"/>
        <w:ind w:left="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2.3 Při provádění díla je zhotovitel vázán pokyny objednatele.</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III. Cena díla a platební podmínky</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3.1 Cena díla je stanovena v souladu s právními předpisy:</w:t>
      </w:r>
    </w:p>
    <w:p w:rsidR="003758F3" w:rsidRP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t>Cena bez DPH: 70 365,-</w:t>
      </w:r>
      <w:r>
        <w:rPr>
          <w:rFonts w:ascii="Arial" w:eastAsia="Times New Roman" w:hAnsi="Arial" w:cs="Arial"/>
          <w:color w:val="000000"/>
          <w:lang w:eastAsia="cs-CZ"/>
        </w:rPr>
        <w:t xml:space="preserve"> </w:t>
      </w:r>
      <w:r w:rsidRPr="003758F3">
        <w:rPr>
          <w:rFonts w:ascii="Arial" w:eastAsia="Times New Roman" w:hAnsi="Arial" w:cs="Arial"/>
          <w:color w:val="000000"/>
          <w:lang w:eastAsia="cs-CZ"/>
        </w:rPr>
        <w:t>Kč</w:t>
      </w:r>
    </w:p>
    <w:p w:rsidR="003758F3" w:rsidRP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t>DPH 21%: 0,-</w:t>
      </w:r>
      <w:r>
        <w:rPr>
          <w:rFonts w:ascii="Arial" w:eastAsia="Times New Roman" w:hAnsi="Arial" w:cs="Arial"/>
          <w:color w:val="000000"/>
          <w:lang w:eastAsia="cs-CZ"/>
        </w:rPr>
        <w:t xml:space="preserve"> </w:t>
      </w:r>
      <w:r w:rsidRPr="003758F3">
        <w:rPr>
          <w:rFonts w:ascii="Arial" w:eastAsia="Times New Roman" w:hAnsi="Arial" w:cs="Arial"/>
          <w:color w:val="000000"/>
          <w:lang w:eastAsia="cs-CZ"/>
        </w:rPr>
        <w:t>Kč</w:t>
      </w:r>
    </w:p>
    <w:p w:rsidR="003758F3" w:rsidRP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t>Cena bez DPH:</w:t>
      </w:r>
      <w:r>
        <w:rPr>
          <w:rFonts w:ascii="Arial" w:eastAsia="Times New Roman" w:hAnsi="Arial" w:cs="Arial"/>
          <w:color w:val="000000"/>
          <w:lang w:eastAsia="cs-CZ"/>
        </w:rPr>
        <w:t xml:space="preserve"> </w:t>
      </w:r>
      <w:r w:rsidRPr="003758F3">
        <w:rPr>
          <w:rFonts w:ascii="Arial" w:eastAsia="Times New Roman" w:hAnsi="Arial" w:cs="Arial"/>
          <w:color w:val="000000"/>
          <w:lang w:eastAsia="cs-CZ"/>
        </w:rPr>
        <w:t>70 365,- Kč</w:t>
      </w:r>
    </w:p>
    <w:p w:rsid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t>Zhotovitel není plátce DPH.</w:t>
      </w:r>
    </w:p>
    <w:p w:rsidR="003758F3" w:rsidRPr="003758F3" w:rsidRDefault="003758F3" w:rsidP="003758F3">
      <w:pPr>
        <w:spacing w:after="0" w:line="280" w:lineRule="atLeast"/>
        <w:ind w:left="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3.2 Dohodnutá cena je stanovena jako nejvýše přípustná. Ke změně může dojít pouze při změně zákonných sazeb DPH.</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3.3 Veškeré náklady vzniklé zhotoviteli v souvislosti s prováděním díla jsou zahrnuty v ceně díla.</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758F3">
        <w:rPr>
          <w:rFonts w:ascii="Arial" w:eastAsia="Times New Roman" w:hAnsi="Arial" w:cs="Arial"/>
          <w:color w:val="000000"/>
          <w:lang w:eastAsia="cs-CZ"/>
        </w:rPr>
        <w:t>11.11. kalendářního</w:t>
      </w:r>
      <w:proofErr w:type="gramEnd"/>
      <w:r w:rsidRPr="003758F3">
        <w:rPr>
          <w:rFonts w:ascii="Arial" w:eastAsia="Times New Roman" w:hAnsi="Arial" w:cs="Arial"/>
          <w:color w:val="000000"/>
          <w:lang w:eastAsia="cs-CZ"/>
        </w:rPr>
        <w:t xml:space="preserve"> roku) na základě předávacího protokolu na adresu: Regionální pracoviště Jižní Čechy, Správa CHKO Třeboňsko, Valy 121, 379 01 Třeboň</w:t>
      </w:r>
      <w:r>
        <w:rPr>
          <w:rFonts w:ascii="Arial" w:eastAsia="Times New Roman" w:hAnsi="Arial" w:cs="Arial"/>
          <w:color w:val="000000"/>
          <w:lang w:eastAsia="cs-CZ"/>
        </w:rPr>
        <w:t>.</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 </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3.7 Smluvní strany se dohodly, že objednatel nebude poskytovat zálohové platby.</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IV.</w:t>
      </w:r>
      <w:r w:rsidRPr="003758F3">
        <w:rPr>
          <w:rFonts w:ascii="Arial" w:eastAsia="Times New Roman" w:hAnsi="Arial" w:cs="Arial"/>
          <w:color w:val="000000"/>
          <w:lang w:eastAsia="cs-CZ"/>
        </w:rPr>
        <w:t> </w:t>
      </w:r>
      <w:r w:rsidRPr="003758F3">
        <w:rPr>
          <w:rFonts w:ascii="Arial" w:eastAsia="Times New Roman" w:hAnsi="Arial" w:cs="Arial"/>
          <w:b/>
          <w:bCs/>
          <w:color w:val="000000"/>
          <w:lang w:eastAsia="cs-CZ"/>
        </w:rPr>
        <w:t>Doba a místo plnění</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 xml:space="preserve">4.1 Zhotovitel se zavazuje provést dílo a předat jej objednateli nejpozději do: </w:t>
      </w:r>
      <w:proofErr w:type="gramStart"/>
      <w:r w:rsidRPr="003758F3">
        <w:rPr>
          <w:rFonts w:ascii="Arial" w:eastAsia="Times New Roman" w:hAnsi="Arial" w:cs="Arial"/>
          <w:color w:val="000000"/>
          <w:lang w:eastAsia="cs-CZ"/>
        </w:rPr>
        <w:t>30.10.2021</w:t>
      </w:r>
      <w:proofErr w:type="gramEnd"/>
      <w:r w:rsidRPr="003758F3">
        <w:rPr>
          <w:rFonts w:ascii="Arial" w:eastAsia="Times New Roman" w:hAnsi="Arial" w:cs="Arial"/>
          <w:color w:val="000000"/>
          <w:lang w:eastAsia="cs-CZ"/>
        </w:rPr>
        <w:t>.</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lastRenderedPageBreak/>
        <w:t>4.3 Místem plnění je CHKO Třeboňsko.</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V. Další ujednání</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3758F3">
          <w:rPr>
            <w:rFonts w:ascii="Arial" w:eastAsia="Times New Roman" w:hAnsi="Arial" w:cs="Arial"/>
            <w:color w:val="0000FF"/>
            <w:u w:val="single"/>
            <w:lang w:eastAsia="cs-CZ"/>
          </w:rPr>
          <w:t>https://portal.nature.cz/publik_syst/files/oop_mngmonvyj.pdf</w:t>
        </w:r>
      </w:hyperlink>
      <w:r w:rsidRPr="003758F3">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VI. Předání a převzetí díla</w:t>
      </w:r>
    </w:p>
    <w:p w:rsidR="003758F3" w:rsidRPr="003758F3" w:rsidRDefault="003758F3" w:rsidP="003758F3">
      <w:pPr>
        <w:spacing w:after="0" w:line="280" w:lineRule="atLeast"/>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center"/>
        <w:rPr>
          <w:rFonts w:ascii="Arial" w:eastAsia="Times New Roman" w:hAnsi="Arial" w:cs="Arial"/>
          <w:b/>
          <w:bCs/>
          <w:color w:val="000000"/>
          <w:lang w:eastAsia="cs-CZ"/>
        </w:rPr>
      </w:pPr>
    </w:p>
    <w:p w:rsidR="003758F3" w:rsidRDefault="003758F3" w:rsidP="003758F3">
      <w:pPr>
        <w:spacing w:after="0" w:line="280" w:lineRule="atLeast"/>
        <w:ind w:left="340" w:hanging="340"/>
        <w:jc w:val="center"/>
        <w:rPr>
          <w:rFonts w:ascii="Arial" w:eastAsia="Times New Roman" w:hAnsi="Arial" w:cs="Arial"/>
          <w:b/>
          <w:bCs/>
          <w:color w:val="000000"/>
          <w:lang w:eastAsia="cs-CZ"/>
        </w:rPr>
      </w:pPr>
    </w:p>
    <w:p w:rsidR="003758F3" w:rsidRDefault="003758F3" w:rsidP="003758F3">
      <w:pPr>
        <w:spacing w:after="0" w:line="280" w:lineRule="atLeast"/>
        <w:ind w:left="340" w:hanging="340"/>
        <w:jc w:val="center"/>
        <w:rPr>
          <w:rFonts w:ascii="Arial" w:eastAsia="Times New Roman" w:hAnsi="Arial" w:cs="Arial"/>
          <w:b/>
          <w:bCs/>
          <w:color w:val="000000"/>
          <w:lang w:eastAsia="cs-CZ"/>
        </w:rPr>
      </w:pPr>
    </w:p>
    <w:p w:rsidR="003758F3" w:rsidRDefault="003758F3" w:rsidP="003758F3">
      <w:pPr>
        <w:spacing w:after="0" w:line="280" w:lineRule="atLeast"/>
        <w:ind w:left="340" w:hanging="340"/>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lastRenderedPageBreak/>
        <w:t>VII. Odpovědnost za vady</w:t>
      </w:r>
    </w:p>
    <w:p w:rsidR="003758F3" w:rsidRPr="003758F3" w:rsidRDefault="003758F3" w:rsidP="003758F3">
      <w:pPr>
        <w:spacing w:after="0" w:line="280" w:lineRule="atLeast"/>
        <w:ind w:left="340" w:hanging="340"/>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7.1 Zhotovitel odpovídá za vady, jež má dílo v době jeho předání objednateli, byť se vady projeví až později.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7.4 Zhotovitel poskytuje na dílo záruku v délce 12 měsíců. V případě, že délka záruky činí 0 měsíců, ustanovení článků 7.5 až 7.7 se neuplatní.</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Pr>
          <w:rFonts w:ascii="Arial" w:eastAsia="Times New Roman" w:hAnsi="Arial" w:cs="Arial"/>
          <w:color w:val="000000"/>
          <w:lang w:eastAsia="cs-CZ"/>
        </w:rPr>
        <w:t>.</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VIII. Sankce</w:t>
      </w:r>
    </w:p>
    <w:p w:rsidR="003758F3" w:rsidRPr="003758F3" w:rsidRDefault="003758F3" w:rsidP="003758F3">
      <w:pPr>
        <w:spacing w:after="0" w:line="280" w:lineRule="atLeast"/>
        <w:ind w:left="340" w:hanging="340"/>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8.3 Ustanoveními o smluvní pokutě není dotčen nárok oprávněné smluvní strany požadovat náhradu škody v plném rozsahu.</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center"/>
        <w:rPr>
          <w:rFonts w:ascii="Arial" w:eastAsia="Times New Roman" w:hAnsi="Arial" w:cs="Arial"/>
          <w:b/>
          <w:bCs/>
          <w:color w:val="000000"/>
          <w:lang w:eastAsia="cs-CZ"/>
        </w:rPr>
      </w:pPr>
      <w:r w:rsidRPr="003758F3">
        <w:rPr>
          <w:rFonts w:ascii="Arial" w:eastAsia="Times New Roman" w:hAnsi="Arial" w:cs="Arial"/>
          <w:b/>
          <w:bCs/>
          <w:color w:val="000000"/>
          <w:lang w:eastAsia="cs-CZ"/>
        </w:rPr>
        <w:t>IX. Závěrečná ustanovení</w:t>
      </w:r>
    </w:p>
    <w:p w:rsidR="003758F3" w:rsidRPr="003758F3" w:rsidRDefault="003758F3" w:rsidP="003758F3">
      <w:pPr>
        <w:spacing w:after="0" w:line="280" w:lineRule="atLeast"/>
        <w:ind w:left="340" w:hanging="340"/>
        <w:jc w:val="center"/>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 xml:space="preserve">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w:t>
      </w:r>
      <w:r w:rsidRPr="003758F3">
        <w:rPr>
          <w:rFonts w:ascii="Arial" w:eastAsia="Times New Roman" w:hAnsi="Arial" w:cs="Arial"/>
          <w:color w:val="000000"/>
          <w:lang w:eastAsia="cs-CZ"/>
        </w:rPr>
        <w:lastRenderedPageBreak/>
        <w:t>zpřístupnění podle zákona č. 106/1999 Sb., o svobodném přístupu k informacím, ve znění pozdějších předpisů a tímto s uveřejněním či zpřístupněním podle výše uvedených právních předpisů souhlasí.</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9.4 Tato smlouva je vyhotovena ve dvou stejnopisech, z nichž každý má platnost originálu. Jeden stejnopis obdrží objednatel, jeden stejnopis obdrží zhotovitel.</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9.5 Smlouva nabývá platnosti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p>
    <w:p w:rsidR="003758F3" w:rsidRPr="003758F3" w:rsidRDefault="003758F3" w:rsidP="003758F3">
      <w:pPr>
        <w:spacing w:after="0" w:line="280" w:lineRule="atLeast"/>
        <w:ind w:left="340" w:hanging="340"/>
        <w:jc w:val="both"/>
        <w:rPr>
          <w:rFonts w:ascii="Arial" w:eastAsia="Times New Roman" w:hAnsi="Arial" w:cs="Arial"/>
          <w:color w:val="000000"/>
          <w:lang w:eastAsia="cs-CZ"/>
        </w:rPr>
      </w:pPr>
      <w:r w:rsidRPr="003758F3">
        <w:rPr>
          <w:rFonts w:ascii="Arial" w:eastAsia="Times New Roman" w:hAnsi="Arial" w:cs="Arial"/>
          <w:color w:val="000000"/>
          <w:lang w:eastAsia="cs-CZ"/>
        </w:rPr>
        <w:t>9.7 Nedílnou součástí smlouvy jsou tyto přílohy:</w:t>
      </w:r>
    </w:p>
    <w:p w:rsidR="003758F3" w:rsidRPr="003758F3" w:rsidRDefault="003758F3" w:rsidP="003758F3">
      <w:pPr>
        <w:spacing w:after="0" w:line="280" w:lineRule="atLeast"/>
        <w:ind w:left="340"/>
        <w:jc w:val="both"/>
        <w:rPr>
          <w:rFonts w:ascii="Arial" w:eastAsia="Times New Roman" w:hAnsi="Arial" w:cs="Arial"/>
          <w:color w:val="000000"/>
          <w:lang w:eastAsia="cs-CZ"/>
        </w:rPr>
      </w:pPr>
      <w:r w:rsidRPr="003758F3">
        <w:rPr>
          <w:rFonts w:ascii="Arial" w:eastAsia="Times New Roman" w:hAnsi="Arial" w:cs="Arial"/>
          <w:color w:val="000000"/>
          <w:lang w:eastAsia="cs-CZ"/>
        </w:rPr>
        <w:t>Příloha č. 1 – Rozpočet a specifikace díla PPK-686a/31/21.</w:t>
      </w:r>
    </w:p>
    <w:p w:rsidR="003758F3" w:rsidRPr="003758F3" w:rsidRDefault="003758F3" w:rsidP="003758F3">
      <w:pPr>
        <w:spacing w:after="0" w:line="280" w:lineRule="atLeast"/>
        <w:jc w:val="both"/>
        <w:rPr>
          <w:rFonts w:ascii="Arial" w:eastAsia="Times New Roman" w:hAnsi="Arial" w:cs="Arial"/>
          <w:color w:val="000000"/>
          <w:lang w:eastAsia="cs-CZ"/>
        </w:rPr>
      </w:pPr>
      <w:r w:rsidRPr="003758F3">
        <w:rPr>
          <w:rFonts w:ascii="Arial" w:eastAsia="Times New Roman" w:hAnsi="Arial" w:cs="Arial"/>
          <w:color w:val="000000"/>
          <w:lang w:eastAsia="cs-CZ"/>
        </w:rPr>
        <w:t> </w:t>
      </w:r>
    </w:p>
    <w:p w:rsidR="003758F3" w:rsidRPr="003758F3" w:rsidRDefault="003758F3" w:rsidP="003758F3">
      <w:pPr>
        <w:spacing w:after="0" w:line="280" w:lineRule="atLeast"/>
        <w:rPr>
          <w:rFonts w:ascii="Arial" w:eastAsia="Times New Roman" w:hAnsi="Arial" w:cs="Arial"/>
          <w:color w:val="000000"/>
          <w:lang w:eastAsia="cs-CZ"/>
        </w:rPr>
      </w:pPr>
      <w:r w:rsidRPr="003758F3">
        <w:rPr>
          <w:rFonts w:ascii="Arial" w:eastAsia="Times New Roman" w:hAnsi="Arial" w:cs="Arial"/>
          <w:color w:val="000000"/>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3"/>
        <w:gridCol w:w="787"/>
        <w:gridCol w:w="387"/>
        <w:gridCol w:w="62"/>
        <w:gridCol w:w="1963"/>
        <w:gridCol w:w="129"/>
        <w:gridCol w:w="766"/>
        <w:gridCol w:w="1620"/>
        <w:gridCol w:w="386"/>
        <w:gridCol w:w="62"/>
        <w:gridCol w:w="427"/>
        <w:gridCol w:w="1449"/>
        <w:gridCol w:w="189"/>
        <w:gridCol w:w="62"/>
      </w:tblGrid>
      <w:tr w:rsidR="003758F3" w:rsidRPr="003758F3" w:rsidTr="003758F3">
        <w:trPr>
          <w:trHeight w:val="915"/>
          <w:jc w:val="center"/>
        </w:trPr>
        <w:tc>
          <w:tcPr>
            <w:tcW w:w="157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r w:rsidRPr="003758F3">
              <w:rPr>
                <w:rFonts w:ascii="Arial" w:eastAsia="Times New Roman" w:hAnsi="Arial" w:cs="Arial"/>
                <w:lang w:eastAsia="cs-CZ"/>
              </w:rPr>
              <w:t>V Třeboni</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202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proofErr w:type="gramStart"/>
            <w:r w:rsidRPr="003758F3">
              <w:rPr>
                <w:rFonts w:ascii="Arial" w:eastAsia="Times New Roman" w:hAnsi="Arial" w:cs="Arial"/>
                <w:lang w:eastAsia="cs-CZ"/>
              </w:rPr>
              <w:t>dne ...................</w:t>
            </w:r>
            <w:proofErr w:type="gramEnd"/>
          </w:p>
        </w:tc>
        <w:tc>
          <w:tcPr>
            <w:tcW w:w="89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r w:rsidRPr="003758F3">
              <w:rPr>
                <w:rFonts w:ascii="Arial" w:eastAsia="Times New Roman" w:hAnsi="Arial" w:cs="Arial"/>
                <w:lang w:eastAsia="cs-CZ"/>
              </w:rPr>
              <w:t>V Třeboni</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93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proofErr w:type="gramStart"/>
            <w:r w:rsidRPr="003758F3">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r>
      <w:tr w:rsidR="003758F3" w:rsidRPr="003758F3" w:rsidTr="003758F3">
        <w:trPr>
          <w:trHeight w:val="186"/>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766" w:type="dxa"/>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394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r>
      <w:tr w:rsidR="003758F3" w:rsidRPr="003758F3" w:rsidTr="003758F3">
        <w:trPr>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r w:rsidRPr="003758F3">
              <w:rPr>
                <w:rFonts w:ascii="Arial" w:eastAsia="Times New Roman" w:hAnsi="Arial" w:cs="Arial"/>
                <w:lang w:eastAsia="cs-CZ"/>
              </w:rPr>
              <w:t>Objednatel</w:t>
            </w:r>
          </w:p>
        </w:tc>
        <w:tc>
          <w:tcPr>
            <w:tcW w:w="766" w:type="dxa"/>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p>
        </w:tc>
        <w:tc>
          <w:tcPr>
            <w:tcW w:w="394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r w:rsidRPr="003758F3">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p>
        </w:tc>
      </w:tr>
      <w:tr w:rsidR="003758F3" w:rsidRPr="003758F3" w:rsidTr="003758F3">
        <w:trPr>
          <w:trHeight w:val="388"/>
          <w:jc w:val="center"/>
        </w:trPr>
        <w:tc>
          <w:tcPr>
            <w:tcW w:w="783"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17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76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4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449" w:type="dxa"/>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r>
      <w:tr w:rsidR="003758F3" w:rsidRPr="003758F3" w:rsidTr="003758F3">
        <w:trPr>
          <w:trHeight w:val="1268"/>
          <w:jc w:val="center"/>
        </w:trPr>
        <w:tc>
          <w:tcPr>
            <w:tcW w:w="783"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17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76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4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449" w:type="dxa"/>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r>
      <w:tr w:rsidR="003758F3" w:rsidRPr="003758F3" w:rsidTr="003758F3">
        <w:trPr>
          <w:jc w:val="center"/>
        </w:trPr>
        <w:tc>
          <w:tcPr>
            <w:tcW w:w="4111"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r w:rsidRPr="003758F3">
              <w:rPr>
                <w:rFonts w:ascii="Arial" w:eastAsia="Times New Roman" w:hAnsi="Arial" w:cs="Arial"/>
                <w:b/>
                <w:bCs/>
                <w:lang w:eastAsia="cs-CZ"/>
              </w:rPr>
              <w:t>RNDr. Miroslav Hátle</w:t>
            </w:r>
            <w:r>
              <w:rPr>
                <w:rFonts w:ascii="Arial" w:eastAsia="Times New Roman" w:hAnsi="Arial" w:cs="Arial"/>
                <w:b/>
                <w:bCs/>
                <w:lang w:eastAsia="cs-CZ"/>
              </w:rPr>
              <w:t>,</w:t>
            </w:r>
            <w:r w:rsidRPr="003758F3">
              <w:rPr>
                <w:rFonts w:ascii="Arial" w:eastAsia="Times New Roman" w:hAnsi="Arial" w:cs="Arial"/>
                <w:b/>
                <w:bCs/>
                <w:lang w:eastAsia="cs-CZ"/>
              </w:rPr>
              <w:t xml:space="preserve"> CSc.</w:t>
            </w:r>
            <w:r w:rsidRPr="003758F3">
              <w:rPr>
                <w:rFonts w:ascii="Arial" w:eastAsia="Times New Roman" w:hAnsi="Arial" w:cs="Arial"/>
                <w:b/>
                <w:bCs/>
                <w:lang w:eastAsia="cs-CZ"/>
              </w:rPr>
              <w:br/>
              <w:t>vedoucí oddělení SCHKO Třeboňsko - RP Jižní Čechy</w:t>
            </w:r>
          </w:p>
        </w:tc>
        <w:tc>
          <w:tcPr>
            <w:tcW w:w="766" w:type="dxa"/>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394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58F3" w:rsidRPr="003758F3" w:rsidRDefault="003758F3" w:rsidP="003758F3">
            <w:pPr>
              <w:spacing w:after="0" w:line="280" w:lineRule="atLeast"/>
              <w:jc w:val="center"/>
              <w:rPr>
                <w:rFonts w:ascii="Arial" w:eastAsia="Times New Roman" w:hAnsi="Arial" w:cs="Arial"/>
                <w:lang w:eastAsia="cs-CZ"/>
              </w:rPr>
            </w:pPr>
            <w:r w:rsidRPr="003758F3">
              <w:rPr>
                <w:rFonts w:ascii="Arial" w:eastAsia="Times New Roman" w:hAnsi="Arial" w:cs="Arial"/>
                <w:b/>
                <w:bCs/>
                <w:lang w:eastAsia="cs-CZ"/>
              </w:rPr>
              <w:t>Jan Adam</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r>
      <w:tr w:rsidR="003758F3" w:rsidRPr="003758F3" w:rsidTr="003758F3">
        <w:trPr>
          <w:jc w:val="center"/>
        </w:trPr>
        <w:tc>
          <w:tcPr>
            <w:tcW w:w="783"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787"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209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76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2065"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3758F3" w:rsidRPr="003758F3" w:rsidRDefault="003758F3" w:rsidP="003758F3">
            <w:pPr>
              <w:spacing w:after="0" w:line="280" w:lineRule="atLeast"/>
              <w:rPr>
                <w:rFonts w:ascii="Arial" w:eastAsia="Times New Roman" w:hAnsi="Arial" w:cs="Arial"/>
                <w:lang w:eastAsia="cs-CZ"/>
              </w:rPr>
            </w:pPr>
            <w:r w:rsidRPr="003758F3">
              <w:rPr>
                <w:rFonts w:ascii="Arial" w:eastAsia="Times New Roman" w:hAnsi="Arial" w:cs="Arial"/>
                <w:lang w:eastAsia="cs-CZ"/>
              </w:rPr>
              <w:t> </w:t>
            </w:r>
          </w:p>
        </w:tc>
      </w:tr>
    </w:tbl>
    <w:p w:rsidR="00475173" w:rsidRPr="003758F3" w:rsidRDefault="00475173" w:rsidP="003758F3">
      <w:pPr>
        <w:spacing w:after="0" w:line="280" w:lineRule="atLeast"/>
        <w:rPr>
          <w:rFonts w:ascii="Arial" w:hAnsi="Arial" w:cs="Arial"/>
        </w:rPr>
      </w:pPr>
    </w:p>
    <w:sectPr w:rsidR="00475173" w:rsidRPr="00375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F3"/>
    <w:rsid w:val="003758F3"/>
    <w:rsid w:val="00475173"/>
    <w:rsid w:val="00E25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3A422-1980-4249-9263-9483CD41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758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58F3"/>
    <w:rPr>
      <w:b/>
      <w:bCs/>
    </w:rPr>
  </w:style>
  <w:style w:type="character" w:styleId="Hypertextovodkaz">
    <w:name w:val="Hyperlink"/>
    <w:basedOn w:val="Standardnpsmoodstavce"/>
    <w:uiPriority w:val="99"/>
    <w:semiHidden/>
    <w:unhideWhenUsed/>
    <w:rsid w:val="00375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1527</Words>
  <Characters>9015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2</cp:revision>
  <dcterms:created xsi:type="dcterms:W3CDTF">2021-09-03T08:57:00Z</dcterms:created>
  <dcterms:modified xsi:type="dcterms:W3CDTF">2021-09-07T11:39:00Z</dcterms:modified>
</cp:coreProperties>
</file>