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FF" w:rsidRPr="006E60A9" w:rsidRDefault="006116FF" w:rsidP="006116FF">
      <w:pPr>
        <w:ind w:left="5664" w:firstLine="6"/>
        <w:rPr>
          <w:rFonts w:asciiTheme="minorHAnsi" w:eastAsia="Calibri" w:hAnsiTheme="minorHAnsi" w:cstheme="minorHAnsi"/>
          <w:color w:val="A6A6A6" w:themeColor="background1" w:themeShade="A6"/>
          <w:sz w:val="22"/>
          <w:szCs w:val="22"/>
          <w:lang w:eastAsia="en-US"/>
        </w:rPr>
      </w:pPr>
      <w:r w:rsidRPr="006E60A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    </w:t>
      </w:r>
      <w:proofErr w:type="spellStart"/>
      <w:r w:rsidRPr="006E60A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č.j</w:t>
      </w:r>
      <w:proofErr w:type="spellEnd"/>
      <w:r w:rsidRPr="006E60A9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: </w:t>
      </w:r>
      <w:r w:rsidRPr="006E60A9">
        <w:rPr>
          <w:rFonts w:asciiTheme="minorHAnsi" w:eastAsia="Calibri" w:hAnsiTheme="minorHAnsi" w:cstheme="minorHAnsi"/>
          <w:color w:val="A6A6A6" w:themeColor="background1" w:themeShade="A6"/>
          <w:sz w:val="22"/>
          <w:szCs w:val="22"/>
          <w:lang w:eastAsia="en-US"/>
        </w:rPr>
        <w:t>VS-153207/ČJ-2021-800500</w:t>
      </w:r>
    </w:p>
    <w:p w:rsidR="006116FF" w:rsidRPr="006627FB" w:rsidRDefault="006116FF" w:rsidP="006116FF">
      <w:pPr>
        <w:ind w:left="5664" w:firstLine="708"/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</w:pPr>
    </w:p>
    <w:p w:rsidR="006116FF" w:rsidRDefault="006116FF" w:rsidP="006116FF">
      <w:pPr>
        <w:pStyle w:val="Nzev"/>
        <w:spacing w:before="120"/>
      </w:pPr>
      <w:r>
        <w:t>D O D A T E K   č. 10</w:t>
      </w:r>
    </w:p>
    <w:p w:rsidR="006116FF" w:rsidRDefault="006116FF" w:rsidP="006116FF">
      <w:pPr>
        <w:jc w:val="both"/>
      </w:pPr>
    </w:p>
    <w:p w:rsidR="006116FF" w:rsidRDefault="006116FF" w:rsidP="006116FF">
      <w:pPr>
        <w:jc w:val="center"/>
      </w:pPr>
      <w:r>
        <w:rPr>
          <w:b/>
          <w:bCs/>
        </w:rPr>
        <w:t>ke smlouvě o výpůjčce č. 01/2014 ze dne 25.8.2014</w:t>
      </w:r>
    </w:p>
    <w:p w:rsidR="006116FF" w:rsidRDefault="006116FF" w:rsidP="006116FF">
      <w:pPr>
        <w:jc w:val="center"/>
        <w:rPr>
          <w:b/>
          <w:bCs/>
        </w:rPr>
      </w:pPr>
    </w:p>
    <w:p w:rsidR="006116FF" w:rsidRPr="008D0457" w:rsidRDefault="006116FF" w:rsidP="006116FF">
      <w:pPr>
        <w:jc w:val="center"/>
        <w:rPr>
          <w:b/>
          <w:bCs/>
        </w:rPr>
      </w:pPr>
      <w:r w:rsidRPr="008D0457">
        <w:rPr>
          <w:b/>
          <w:bCs/>
        </w:rPr>
        <w:t>I.</w:t>
      </w:r>
    </w:p>
    <w:p w:rsidR="006116FF" w:rsidRPr="008D0457" w:rsidRDefault="006116FF" w:rsidP="006116FF">
      <w:pPr>
        <w:jc w:val="center"/>
        <w:rPr>
          <w:b/>
          <w:bCs/>
        </w:rPr>
      </w:pPr>
      <w:r w:rsidRPr="008D0457">
        <w:rPr>
          <w:b/>
          <w:bCs/>
        </w:rPr>
        <w:t>Smluvní strany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18"/>
        </w:rPr>
      </w:pP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szCs w:val="20"/>
        </w:rPr>
      </w:pPr>
      <w:r w:rsidRPr="008D0457">
        <w:rPr>
          <w:b/>
          <w:color w:val="000000"/>
          <w:szCs w:val="18"/>
        </w:rPr>
        <w:t>1.</w:t>
      </w:r>
      <w:r w:rsidRPr="008D0457">
        <w:rPr>
          <w:bCs/>
          <w:color w:val="000000"/>
          <w:szCs w:val="18"/>
        </w:rPr>
        <w:t xml:space="preserve">   </w:t>
      </w:r>
      <w:r>
        <w:rPr>
          <w:bCs/>
          <w:color w:val="000000"/>
          <w:szCs w:val="18"/>
        </w:rPr>
        <w:t xml:space="preserve"> </w:t>
      </w:r>
      <w:r w:rsidRPr="008D0457">
        <w:rPr>
          <w:b/>
          <w:bCs/>
          <w:color w:val="000000"/>
          <w:szCs w:val="18"/>
        </w:rPr>
        <w:t>Česká republika, Vězeňská služba České republiky</w:t>
      </w:r>
      <w:r w:rsidRPr="008D0457">
        <w:rPr>
          <w:bCs/>
          <w:color w:val="000000"/>
          <w:szCs w:val="18"/>
        </w:rPr>
        <w:t xml:space="preserve"> 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ind w:left="17"/>
        <w:rPr>
          <w:szCs w:val="20"/>
        </w:rPr>
      </w:pPr>
      <w:r w:rsidRPr="008D0457">
        <w:rPr>
          <w:color w:val="000000"/>
          <w:szCs w:val="19"/>
        </w:rPr>
        <w:t>se sídlem: Soudní 1672/</w:t>
      </w:r>
      <w:proofErr w:type="gramStart"/>
      <w:r w:rsidRPr="008D0457">
        <w:rPr>
          <w:color w:val="000000"/>
          <w:szCs w:val="19"/>
        </w:rPr>
        <w:t>1a</w:t>
      </w:r>
      <w:proofErr w:type="gramEnd"/>
      <w:r w:rsidRPr="008D0457">
        <w:rPr>
          <w:color w:val="000000"/>
          <w:szCs w:val="19"/>
        </w:rPr>
        <w:t>, 140 67 Praha 4</w:t>
      </w:r>
    </w:p>
    <w:p w:rsidR="006116FF" w:rsidRDefault="006116FF" w:rsidP="006116FF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proofErr w:type="gramStart"/>
      <w:r w:rsidRPr="008D0457">
        <w:rPr>
          <w:color w:val="000000"/>
          <w:szCs w:val="19"/>
        </w:rPr>
        <w:t xml:space="preserve">IČO: </w:t>
      </w:r>
      <w:r>
        <w:rPr>
          <w:color w:val="000000"/>
          <w:szCs w:val="19"/>
        </w:rPr>
        <w:t xml:space="preserve"> </w:t>
      </w:r>
      <w:r w:rsidRPr="00826D54">
        <w:rPr>
          <w:color w:val="000000"/>
          <w:szCs w:val="19"/>
          <w:highlight w:val="black"/>
        </w:rPr>
        <w:t>00</w:t>
      </w:r>
      <w:proofErr w:type="gramEnd"/>
      <w:r w:rsidRPr="00826D54">
        <w:rPr>
          <w:color w:val="000000"/>
          <w:szCs w:val="19"/>
          <w:highlight w:val="black"/>
        </w:rPr>
        <w:t xml:space="preserve"> 21 24 23</w:t>
      </w:r>
    </w:p>
    <w:p w:rsidR="006116FF" w:rsidRPr="008D0457" w:rsidRDefault="006116FF" w:rsidP="006116FF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proofErr w:type="gramStart"/>
      <w:r>
        <w:rPr>
          <w:color w:val="000000"/>
          <w:szCs w:val="19"/>
        </w:rPr>
        <w:t xml:space="preserve">DIČ:  </w:t>
      </w:r>
      <w:r w:rsidRPr="00826D54">
        <w:rPr>
          <w:color w:val="000000"/>
          <w:szCs w:val="19"/>
          <w:highlight w:val="black"/>
        </w:rPr>
        <w:t>CZ</w:t>
      </w:r>
      <w:proofErr w:type="gramEnd"/>
      <w:r w:rsidRPr="00826D54">
        <w:rPr>
          <w:color w:val="000000"/>
          <w:szCs w:val="19"/>
          <w:highlight w:val="black"/>
        </w:rPr>
        <w:t>00212423</w:t>
      </w:r>
    </w:p>
    <w:p w:rsidR="006116FF" w:rsidRPr="00A3644B" w:rsidRDefault="006116FF" w:rsidP="006116FF">
      <w:pPr>
        <w:rPr>
          <w:rFonts w:eastAsia="Calibri"/>
          <w:lang w:eastAsia="en-US"/>
        </w:rPr>
      </w:pPr>
      <w:r w:rsidRPr="00A3644B">
        <w:rPr>
          <w:rFonts w:eastAsia="Calibri"/>
          <w:lang w:eastAsia="en-US"/>
        </w:rPr>
        <w:t xml:space="preserve">za níž jedná na základě pověření Generálního ředitele Vězeňské služby </w:t>
      </w:r>
      <w:proofErr w:type="gramStart"/>
      <w:r w:rsidRPr="00A3644B">
        <w:rPr>
          <w:rFonts w:eastAsia="Calibri"/>
          <w:lang w:eastAsia="en-US"/>
        </w:rPr>
        <w:t>ČR  ze</w:t>
      </w:r>
      <w:proofErr w:type="gramEnd"/>
      <w:r w:rsidRPr="00A3644B">
        <w:rPr>
          <w:rFonts w:eastAsia="Calibri"/>
          <w:lang w:eastAsia="en-US"/>
        </w:rPr>
        <w:t xml:space="preserve"> dne 1.7. 2021  Vrchní rada plk. Mgr. Luboš Beránek, z pověření ředitel věznice Vinařice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rPr>
          <w:szCs w:val="20"/>
        </w:rPr>
      </w:pPr>
      <w:r w:rsidRPr="008D0457">
        <w:rPr>
          <w:szCs w:val="20"/>
        </w:rPr>
        <w:t xml:space="preserve">adresa věznice </w:t>
      </w:r>
      <w:proofErr w:type="gramStart"/>
      <w:r w:rsidRPr="008D0457">
        <w:rPr>
          <w:szCs w:val="20"/>
        </w:rPr>
        <w:t>Vinařice:  273</w:t>
      </w:r>
      <w:proofErr w:type="gramEnd"/>
      <w:r w:rsidRPr="008D0457">
        <w:rPr>
          <w:szCs w:val="20"/>
        </w:rPr>
        <w:t xml:space="preserve"> 07 Vinařice,  č.p. 245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rPr>
          <w:szCs w:val="20"/>
        </w:rPr>
      </w:pPr>
      <w:r w:rsidRPr="008D0457">
        <w:rPr>
          <w:color w:val="000000"/>
          <w:szCs w:val="19"/>
        </w:rPr>
        <w:t xml:space="preserve">bankovní spojení: ČNB pobočka 701 </w:t>
      </w:r>
      <w:proofErr w:type="spellStart"/>
      <w:r w:rsidRPr="008D0457">
        <w:rPr>
          <w:color w:val="000000"/>
          <w:szCs w:val="19"/>
        </w:rPr>
        <w:t>č.ú</w:t>
      </w:r>
      <w:proofErr w:type="spellEnd"/>
      <w:r w:rsidRPr="008D0457">
        <w:rPr>
          <w:color w:val="000000"/>
          <w:szCs w:val="19"/>
        </w:rPr>
        <w:t xml:space="preserve">. </w:t>
      </w:r>
      <w:r w:rsidRPr="00826D54">
        <w:rPr>
          <w:color w:val="000000"/>
          <w:szCs w:val="19"/>
          <w:highlight w:val="black"/>
        </w:rPr>
        <w:t>19-31323881/0710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 w:firstLine="697"/>
        <w:rPr>
          <w:szCs w:val="20"/>
        </w:rPr>
      </w:pPr>
      <w:r w:rsidRPr="008D0457">
        <w:rPr>
          <w:bCs/>
          <w:color w:val="000000"/>
          <w:szCs w:val="18"/>
        </w:rPr>
        <w:t>(dále jen „</w:t>
      </w:r>
      <w:proofErr w:type="spellStart"/>
      <w:r w:rsidRPr="008D0457">
        <w:rPr>
          <w:b/>
          <w:bCs/>
          <w:color w:val="000000"/>
          <w:szCs w:val="18"/>
        </w:rPr>
        <w:t>půjčitel</w:t>
      </w:r>
      <w:proofErr w:type="spellEnd"/>
      <w:r w:rsidRPr="008D0457">
        <w:rPr>
          <w:bCs/>
          <w:color w:val="000000"/>
          <w:szCs w:val="18"/>
        </w:rPr>
        <w:t>")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szCs w:val="20"/>
        </w:rPr>
      </w:pPr>
      <w:r w:rsidRPr="008D0457">
        <w:rPr>
          <w:bCs/>
          <w:color w:val="000000"/>
          <w:szCs w:val="18"/>
        </w:rPr>
        <w:t>a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1"/>
        <w:rPr>
          <w:szCs w:val="20"/>
        </w:rPr>
      </w:pPr>
      <w:r w:rsidRPr="008D0457">
        <w:rPr>
          <w:b/>
          <w:color w:val="000000"/>
          <w:szCs w:val="18"/>
        </w:rPr>
        <w:t>2.</w:t>
      </w:r>
      <w:r w:rsidRPr="008D0457">
        <w:rPr>
          <w:bCs/>
          <w:color w:val="000000"/>
          <w:szCs w:val="18"/>
        </w:rPr>
        <w:t xml:space="preserve">   </w:t>
      </w:r>
      <w:r>
        <w:rPr>
          <w:bCs/>
          <w:color w:val="000000"/>
          <w:szCs w:val="18"/>
        </w:rPr>
        <w:t xml:space="preserve"> </w:t>
      </w:r>
      <w:r w:rsidRPr="008D0457">
        <w:rPr>
          <w:b/>
          <w:bCs/>
          <w:color w:val="000000"/>
          <w:szCs w:val="18"/>
        </w:rPr>
        <w:t>Střední odborné učiliště</w:t>
      </w:r>
      <w:r>
        <w:rPr>
          <w:b/>
          <w:bCs/>
          <w:color w:val="000000"/>
          <w:szCs w:val="18"/>
        </w:rPr>
        <w:t xml:space="preserve"> a Lesní mateřská škola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color w:val="000000"/>
          <w:szCs w:val="19"/>
        </w:rPr>
      </w:pPr>
      <w:r w:rsidRPr="008D0457">
        <w:rPr>
          <w:color w:val="000000"/>
          <w:szCs w:val="19"/>
        </w:rPr>
        <w:t>se sídlem: Hlavní 245, 273 07 Vinařice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Cs w:val="19"/>
        </w:rPr>
      </w:pPr>
      <w:r w:rsidRPr="008D0457">
        <w:rPr>
          <w:szCs w:val="19"/>
        </w:rPr>
        <w:t xml:space="preserve">zastoupené </w:t>
      </w:r>
      <w:proofErr w:type="gramStart"/>
      <w:r w:rsidRPr="008D0457">
        <w:rPr>
          <w:szCs w:val="19"/>
        </w:rPr>
        <w:t xml:space="preserve">ředitelem </w:t>
      </w:r>
      <w:r>
        <w:rPr>
          <w:szCs w:val="19"/>
        </w:rPr>
        <w:t xml:space="preserve"> učiliště</w:t>
      </w:r>
      <w:proofErr w:type="gramEnd"/>
      <w:r>
        <w:rPr>
          <w:szCs w:val="19"/>
        </w:rPr>
        <w:t xml:space="preserve"> Bc. Danielem Černým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color w:val="000000"/>
          <w:szCs w:val="19"/>
        </w:rPr>
      </w:pPr>
      <w:proofErr w:type="gramStart"/>
      <w:r w:rsidRPr="008D0457">
        <w:rPr>
          <w:color w:val="000000"/>
          <w:szCs w:val="19"/>
        </w:rPr>
        <w:t>IČO</w:t>
      </w:r>
      <w:r w:rsidRPr="00826D54">
        <w:rPr>
          <w:color w:val="000000"/>
          <w:szCs w:val="19"/>
          <w:highlight w:val="black"/>
        </w:rPr>
        <w:t>:  71</w:t>
      </w:r>
      <w:proofErr w:type="gramEnd"/>
      <w:r w:rsidRPr="00826D54">
        <w:rPr>
          <w:color w:val="000000"/>
          <w:szCs w:val="19"/>
          <w:highlight w:val="black"/>
        </w:rPr>
        <w:t xml:space="preserve"> 340 793</w:t>
      </w:r>
    </w:p>
    <w:p w:rsidR="006116FF" w:rsidRPr="008D0457" w:rsidRDefault="006116FF" w:rsidP="006116FF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color w:val="000000"/>
          <w:szCs w:val="19"/>
        </w:rPr>
      </w:pPr>
      <w:r w:rsidRPr="008D0457">
        <w:rPr>
          <w:color w:val="000000"/>
          <w:szCs w:val="19"/>
        </w:rPr>
        <w:t xml:space="preserve">RI: </w:t>
      </w:r>
      <w:r w:rsidRPr="00826D54">
        <w:rPr>
          <w:color w:val="000000"/>
          <w:szCs w:val="19"/>
          <w:highlight w:val="black"/>
        </w:rPr>
        <w:t>651 036 062</w:t>
      </w:r>
    </w:p>
    <w:p w:rsidR="006116FF" w:rsidRPr="008D0457" w:rsidRDefault="006116FF" w:rsidP="006116FF">
      <w:pPr>
        <w:widowControl w:val="0"/>
        <w:autoSpaceDE w:val="0"/>
        <w:autoSpaceDN w:val="0"/>
        <w:adjustRightInd w:val="0"/>
      </w:pPr>
      <w:r w:rsidRPr="008D0457">
        <w:t>neplátce DPH</w:t>
      </w:r>
    </w:p>
    <w:p w:rsidR="006116FF" w:rsidRPr="008D0457" w:rsidRDefault="006116FF" w:rsidP="006116FF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szCs w:val="19"/>
        </w:rPr>
      </w:pPr>
      <w:r w:rsidRPr="008D0457">
        <w:rPr>
          <w:szCs w:val="19"/>
        </w:rPr>
        <w:t xml:space="preserve">bankovní </w:t>
      </w:r>
      <w:proofErr w:type="gramStart"/>
      <w:r w:rsidRPr="008D0457">
        <w:rPr>
          <w:szCs w:val="19"/>
        </w:rPr>
        <w:t>spojení :</w:t>
      </w:r>
      <w:proofErr w:type="gramEnd"/>
      <w:r w:rsidRPr="008D0457">
        <w:rPr>
          <w:szCs w:val="19"/>
        </w:rPr>
        <w:t xml:space="preserve">  Česká spořitelna a.s., č.ú.</w:t>
      </w:r>
      <w:r w:rsidRPr="00826D54">
        <w:rPr>
          <w:szCs w:val="19"/>
          <w:highlight w:val="black"/>
        </w:rPr>
        <w:t>147720379/0800</w:t>
      </w:r>
      <w:bookmarkStart w:id="0" w:name="_GoBack"/>
      <w:bookmarkEnd w:id="0"/>
    </w:p>
    <w:p w:rsidR="006116FF" w:rsidRPr="008D0457" w:rsidRDefault="006116FF" w:rsidP="006116FF">
      <w:pPr>
        <w:keepNext/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outlineLvl w:val="3"/>
        <w:rPr>
          <w:szCs w:val="20"/>
        </w:rPr>
      </w:pPr>
      <w:r w:rsidRPr="008D0457">
        <w:rPr>
          <w:szCs w:val="20"/>
        </w:rPr>
        <w:t xml:space="preserve">zapsané v Rejstříku školských právnických osob vedeného Ministerstvem školství, mládeže a tělovýchovy ve složce 2007 pod pořadovým číslem 002 </w:t>
      </w:r>
    </w:p>
    <w:p w:rsidR="006116FF" w:rsidRDefault="006116FF" w:rsidP="006116FF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7" w:firstLine="701"/>
        <w:rPr>
          <w:bCs/>
          <w:color w:val="000000"/>
          <w:szCs w:val="18"/>
        </w:rPr>
      </w:pPr>
      <w:r w:rsidRPr="008D0457">
        <w:rPr>
          <w:bCs/>
          <w:color w:val="000000"/>
          <w:szCs w:val="18"/>
        </w:rPr>
        <w:t>(dále jen „</w:t>
      </w:r>
      <w:r w:rsidRPr="008D0457">
        <w:rPr>
          <w:b/>
          <w:bCs/>
          <w:color w:val="000000"/>
          <w:szCs w:val="18"/>
        </w:rPr>
        <w:t>vypůjčitel</w:t>
      </w:r>
      <w:r w:rsidRPr="008D0457">
        <w:rPr>
          <w:bCs/>
          <w:color w:val="000000"/>
          <w:szCs w:val="18"/>
        </w:rPr>
        <w:t>")</w:t>
      </w:r>
    </w:p>
    <w:p w:rsidR="006116FF" w:rsidRPr="008D0457" w:rsidRDefault="006116FF" w:rsidP="006116FF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7" w:firstLine="701"/>
        <w:rPr>
          <w:szCs w:val="20"/>
        </w:rPr>
      </w:pPr>
    </w:p>
    <w:p w:rsidR="006116FF" w:rsidRDefault="006116FF" w:rsidP="006116FF"/>
    <w:p w:rsidR="006116FF" w:rsidRPr="008D0457" w:rsidRDefault="006116FF" w:rsidP="006116FF">
      <w:pPr>
        <w:jc w:val="center"/>
        <w:rPr>
          <w:b/>
          <w:bCs/>
        </w:rPr>
      </w:pPr>
      <w:r w:rsidRPr="008D0457">
        <w:rPr>
          <w:b/>
          <w:bCs/>
        </w:rPr>
        <w:t>II.</w:t>
      </w:r>
    </w:p>
    <w:p w:rsidR="006116FF" w:rsidRPr="008D0457" w:rsidRDefault="006116FF" w:rsidP="006116FF">
      <w:pPr>
        <w:spacing w:before="120"/>
        <w:jc w:val="both"/>
      </w:pPr>
      <w:r>
        <w:t>Na základě článku 6</w:t>
      </w:r>
      <w:r w:rsidRPr="008D0457">
        <w:t xml:space="preserve">.2. Smlouvy o </w:t>
      </w:r>
      <w:r>
        <w:t>výpůjčce</w:t>
      </w:r>
      <w:r w:rsidRPr="008D0457">
        <w:t xml:space="preserve"> č. 01/201</w:t>
      </w:r>
      <w:r>
        <w:t>4</w:t>
      </w:r>
      <w:r w:rsidRPr="008D0457">
        <w:t xml:space="preserve"> uzavřené dne </w:t>
      </w:r>
      <w:r>
        <w:t>25</w:t>
      </w:r>
      <w:r w:rsidRPr="008D0457">
        <w:t>.</w:t>
      </w:r>
      <w:r>
        <w:t>8</w:t>
      </w:r>
      <w:r w:rsidRPr="008D0457">
        <w:t>. 2014</w:t>
      </w:r>
      <w:r>
        <w:t xml:space="preserve">, ve znění dodatků č.1, č.2, č.3, č.4, č.5, č.6 a č.7 (dále jen „Smlouva“) </w:t>
      </w:r>
      <w:r w:rsidRPr="008D0457">
        <w:t xml:space="preserve">se smluvní strany dohodly na dále uvedených </w:t>
      </w:r>
      <w:proofErr w:type="gramStart"/>
      <w:r w:rsidRPr="008D0457">
        <w:t>změnách  smlouvy</w:t>
      </w:r>
      <w:proofErr w:type="gramEnd"/>
      <w:r w:rsidRPr="008D0457">
        <w:t>:</w:t>
      </w:r>
    </w:p>
    <w:p w:rsidR="006116FF" w:rsidRPr="008D0457" w:rsidRDefault="006116FF" w:rsidP="006116FF">
      <w:pPr>
        <w:jc w:val="both"/>
        <w:rPr>
          <w:b/>
          <w:bCs/>
        </w:rPr>
      </w:pPr>
    </w:p>
    <w:p w:rsidR="006116FF" w:rsidRPr="008D0457" w:rsidRDefault="006116FF" w:rsidP="006116FF">
      <w:pPr>
        <w:jc w:val="both"/>
        <w:rPr>
          <w:b/>
          <w:bCs/>
        </w:rPr>
      </w:pPr>
      <w:r w:rsidRPr="008D0457">
        <w:rPr>
          <w:b/>
          <w:bCs/>
        </w:rPr>
        <w:t xml:space="preserve">1.  Článek </w:t>
      </w:r>
      <w:r>
        <w:rPr>
          <w:b/>
          <w:bCs/>
        </w:rPr>
        <w:t>1</w:t>
      </w:r>
      <w:r w:rsidRPr="008D0457">
        <w:rPr>
          <w:b/>
          <w:bCs/>
        </w:rPr>
        <w:t xml:space="preserve">. </w:t>
      </w:r>
      <w:r>
        <w:rPr>
          <w:b/>
          <w:bCs/>
        </w:rPr>
        <w:t>Předmět výpůjčky, odst.</w:t>
      </w:r>
      <w:r w:rsidRPr="008D0457">
        <w:rPr>
          <w:b/>
          <w:bCs/>
        </w:rPr>
        <w:t xml:space="preserve"> </w:t>
      </w:r>
      <w:r>
        <w:rPr>
          <w:b/>
          <w:bCs/>
        </w:rPr>
        <w:t>1</w:t>
      </w:r>
      <w:r w:rsidRPr="008D0457">
        <w:rPr>
          <w:b/>
          <w:bCs/>
        </w:rPr>
        <w:t>.</w:t>
      </w:r>
      <w:r>
        <w:rPr>
          <w:b/>
          <w:bCs/>
        </w:rPr>
        <w:t>1</w:t>
      </w:r>
      <w:r w:rsidRPr="008D0457">
        <w:rPr>
          <w:b/>
          <w:bCs/>
        </w:rPr>
        <w:t>.,</w:t>
      </w:r>
      <w:r>
        <w:rPr>
          <w:b/>
          <w:bCs/>
        </w:rPr>
        <w:t xml:space="preserve"> </w:t>
      </w:r>
      <w:r w:rsidRPr="008D0457">
        <w:rPr>
          <w:b/>
          <w:bCs/>
        </w:rPr>
        <w:t>se mění tak, že původní znění se zrušuje a nahrazuje se novým zněním takto:</w:t>
      </w:r>
    </w:p>
    <w:p w:rsidR="006116FF" w:rsidRDefault="006116FF" w:rsidP="006116FF"/>
    <w:p w:rsidR="006116FF" w:rsidRPr="00962F03" w:rsidRDefault="006116FF" w:rsidP="006116FF">
      <w:pPr>
        <w:widowControl w:val="0"/>
        <w:autoSpaceDE w:val="0"/>
        <w:autoSpaceDN w:val="0"/>
        <w:adjustRightInd w:val="0"/>
        <w:spacing w:after="120"/>
        <w:jc w:val="both"/>
        <w:rPr>
          <w:szCs w:val="20"/>
        </w:rPr>
      </w:pPr>
      <w:r>
        <w:rPr>
          <w:spacing w:val="-6"/>
          <w:szCs w:val="20"/>
        </w:rPr>
        <w:t>„</w:t>
      </w:r>
      <w:proofErr w:type="gramStart"/>
      <w:r>
        <w:rPr>
          <w:spacing w:val="-6"/>
          <w:szCs w:val="20"/>
        </w:rPr>
        <w:t xml:space="preserve">1.1. </w:t>
      </w:r>
      <w:r w:rsidRPr="00962F03">
        <w:rPr>
          <w:spacing w:val="-6"/>
          <w:szCs w:val="20"/>
        </w:rPr>
        <w:t xml:space="preserve"> Česká</w:t>
      </w:r>
      <w:proofErr w:type="gramEnd"/>
      <w:r w:rsidRPr="00962F03">
        <w:rPr>
          <w:spacing w:val="-6"/>
          <w:szCs w:val="20"/>
        </w:rPr>
        <w:t xml:space="preserve"> republika je vlastníkem a Vězeňská služba České republiky</w:t>
      </w:r>
      <w:r w:rsidRPr="00962F03">
        <w:rPr>
          <w:iCs/>
          <w:spacing w:val="-6"/>
          <w:szCs w:val="20"/>
        </w:rPr>
        <w:t xml:space="preserve"> jako organizační složka státu</w:t>
      </w:r>
      <w:r w:rsidRPr="00962F03">
        <w:rPr>
          <w:spacing w:val="-6"/>
          <w:szCs w:val="20"/>
        </w:rPr>
        <w:t xml:space="preserve"> je </w:t>
      </w:r>
      <w:r w:rsidRPr="00962F03">
        <w:rPr>
          <w:szCs w:val="20"/>
        </w:rPr>
        <w:t>oprávněna hospodařit s dále specifikovanými nemovitostmi, jejichž součástí jsou uvedené nebytové prostory: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 xml:space="preserve">-  </w:t>
      </w:r>
      <w:r w:rsidRPr="001D5231">
        <w:rPr>
          <w:b/>
          <w:szCs w:val="20"/>
        </w:rPr>
        <w:t xml:space="preserve">objekt č. 8 </w:t>
      </w:r>
      <w:r w:rsidRPr="001D5231">
        <w:rPr>
          <w:szCs w:val="20"/>
        </w:rPr>
        <w:t>(budova</w:t>
      </w:r>
      <w:r>
        <w:rPr>
          <w:szCs w:val="20"/>
        </w:rPr>
        <w:t xml:space="preserve"> M</w:t>
      </w:r>
      <w:proofErr w:type="gramStart"/>
      <w:r w:rsidRPr="001D5231">
        <w:rPr>
          <w:szCs w:val="20"/>
        </w:rPr>
        <w:t>)  umístěný</w:t>
      </w:r>
      <w:proofErr w:type="gramEnd"/>
      <w:r w:rsidRPr="001D5231">
        <w:rPr>
          <w:szCs w:val="20"/>
        </w:rPr>
        <w:t xml:space="preserve"> v areálu věznice Vinařice na pozemku 1860/28, 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s nebytovými prostorami v </w:t>
      </w:r>
      <w:proofErr w:type="gramStart"/>
      <w:r w:rsidRPr="001D5231">
        <w:rPr>
          <w:szCs w:val="20"/>
        </w:rPr>
        <w:t xml:space="preserve">místnostech:   </w:t>
      </w:r>
      <w:proofErr w:type="gramEnd"/>
      <w:r w:rsidRPr="001D5231">
        <w:rPr>
          <w:szCs w:val="20"/>
        </w:rPr>
        <w:t xml:space="preserve">            </w:t>
      </w:r>
      <w:r w:rsidRPr="001D5231">
        <w:rPr>
          <w:color w:val="A6A6A6" w:themeColor="background1" w:themeShade="A6"/>
          <w:szCs w:val="20"/>
        </w:rPr>
        <w:t>plocha celkem: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spacing w:before="120"/>
        <w:jc w:val="both"/>
        <w:rPr>
          <w:szCs w:val="20"/>
          <w:vertAlign w:val="superscript"/>
        </w:rPr>
      </w:pPr>
      <w:r w:rsidRPr="001D5231">
        <w:rPr>
          <w:szCs w:val="20"/>
        </w:rPr>
        <w:t>č. 1P2 – ostatní o ploše 32,0m</w:t>
      </w:r>
      <w:r w:rsidRPr="001D5231">
        <w:rPr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szCs w:val="20"/>
          <w:vertAlign w:val="superscript"/>
        </w:rPr>
      </w:pPr>
      <w:r w:rsidRPr="001D5231">
        <w:rPr>
          <w:szCs w:val="20"/>
        </w:rPr>
        <w:t>č. 1P4 – soc. zařízení o ploše 2,0m</w:t>
      </w:r>
      <w:r w:rsidRPr="001D5231">
        <w:rPr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szCs w:val="20"/>
          <w:vertAlign w:val="superscript"/>
        </w:rPr>
      </w:pPr>
      <w:r w:rsidRPr="001D5231">
        <w:rPr>
          <w:szCs w:val="20"/>
        </w:rPr>
        <w:t>č. 1P5 – soc. zařízení o ploše 10,2m</w:t>
      </w:r>
      <w:r w:rsidRPr="001D5231">
        <w:rPr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jc w:val="both"/>
        <w:rPr>
          <w:szCs w:val="20"/>
          <w:vertAlign w:val="superscript"/>
        </w:rPr>
      </w:pPr>
      <w:r w:rsidRPr="001D5231">
        <w:rPr>
          <w:szCs w:val="20"/>
        </w:rPr>
        <w:lastRenderedPageBreak/>
        <w:t>č. 1P6 – učebna o ploše 65,1m</w:t>
      </w:r>
      <w:r w:rsidRPr="001D5231">
        <w:rPr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1P8 – učebna o ploše 45,3 m</w:t>
      </w:r>
      <w:r w:rsidRPr="001D5231">
        <w:rPr>
          <w:szCs w:val="20"/>
          <w:vertAlign w:val="superscript"/>
        </w:rPr>
        <w:t xml:space="preserve">2 </w:t>
      </w:r>
    </w:p>
    <w:p w:rsidR="006116FF" w:rsidRPr="001D5231" w:rsidRDefault="006116FF" w:rsidP="006116FF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1P9a – učebna o ploše 44,6m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color w:val="BFBFBF"/>
          <w:szCs w:val="20"/>
        </w:rPr>
        <w:t>270,6m</w:t>
      </w:r>
      <w:r w:rsidRPr="001D5231">
        <w:rPr>
          <w:color w:val="BFBFBF"/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1P10 – kancelář o ploše 16,9m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tabs>
          <w:tab w:val="left" w:pos="1985"/>
          <w:tab w:val="left" w:pos="2127"/>
        </w:tabs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1P11 – kancelář o ploše 14,5m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  <w:vertAlign w:val="superscript"/>
        </w:rPr>
      </w:pPr>
      <w:r w:rsidRPr="001D5231">
        <w:rPr>
          <w:szCs w:val="20"/>
        </w:rPr>
        <w:t>č. 1P12 – ostatní o ploše 16,7m</w:t>
      </w:r>
      <w:r w:rsidRPr="001D5231">
        <w:rPr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 1P13 – ostatní o ploše 23,3m</w:t>
      </w:r>
      <w:r w:rsidRPr="001D5231">
        <w:rPr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6116FF" w:rsidRPr="001D5231" w:rsidRDefault="006116FF" w:rsidP="006116FF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6116FF" w:rsidRPr="001D5231" w:rsidRDefault="006116FF" w:rsidP="006116FF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b/>
          <w:szCs w:val="20"/>
        </w:rPr>
        <w:t xml:space="preserve">-  objekt č. 17 </w:t>
      </w:r>
      <w:r w:rsidRPr="001D5231">
        <w:rPr>
          <w:szCs w:val="20"/>
        </w:rPr>
        <w:t xml:space="preserve">(budova </w:t>
      </w:r>
      <w:proofErr w:type="spellStart"/>
      <w:r w:rsidRPr="001D5231">
        <w:rPr>
          <w:szCs w:val="20"/>
        </w:rPr>
        <w:t>kuch</w:t>
      </w:r>
      <w:proofErr w:type="spellEnd"/>
      <w:r w:rsidRPr="001D5231">
        <w:rPr>
          <w:szCs w:val="20"/>
        </w:rPr>
        <w:t>.)</w:t>
      </w:r>
      <w:r w:rsidRPr="001D5231">
        <w:rPr>
          <w:b/>
          <w:szCs w:val="20"/>
        </w:rPr>
        <w:t xml:space="preserve"> </w:t>
      </w:r>
      <w:proofErr w:type="gramStart"/>
      <w:r w:rsidRPr="001D5231">
        <w:rPr>
          <w:szCs w:val="20"/>
        </w:rPr>
        <w:t>umístěný  v</w:t>
      </w:r>
      <w:proofErr w:type="gramEnd"/>
      <w:r w:rsidRPr="001D5231">
        <w:rPr>
          <w:szCs w:val="20"/>
        </w:rPr>
        <w:t> areálu věznice Vinařice na pozemku 1860/29,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s nebytovými prostorami v místnostech: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zCs w:val="20"/>
        </w:rPr>
      </w:pPr>
      <w:r w:rsidRPr="001D5231">
        <w:rPr>
          <w:szCs w:val="20"/>
        </w:rPr>
        <w:t>č.1N06 – úklid o ploše 1,3m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č.1N07 – předsíň o ploše 1,9m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č.1N08 – šatna o ploše 4,2m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č.1N09 – umývárna o ploše 2,0m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szCs w:val="20"/>
        </w:rPr>
        <w:tab/>
      </w:r>
      <w:r w:rsidRPr="001D5231">
        <w:rPr>
          <w:color w:val="BFBFBF"/>
          <w:szCs w:val="20"/>
        </w:rPr>
        <w:t>42,4m</w:t>
      </w:r>
      <w:r w:rsidRPr="001D5231">
        <w:rPr>
          <w:color w:val="BFBFBF"/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č.1N10 – WC o ploše 1,2m</w:t>
      </w:r>
      <w:r w:rsidRPr="001D5231">
        <w:rPr>
          <w:szCs w:val="20"/>
          <w:vertAlign w:val="superscript"/>
        </w:rPr>
        <w:t>2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č.1N52 – chodba o ploše 9,0m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ind w:left="283" w:hanging="283"/>
        <w:jc w:val="both"/>
        <w:rPr>
          <w:szCs w:val="20"/>
        </w:rPr>
      </w:pPr>
      <w:r w:rsidRPr="001D5231">
        <w:rPr>
          <w:szCs w:val="20"/>
        </w:rPr>
        <w:t>č.1N53 – učebna o ploše 14,0m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szCs w:val="20"/>
        </w:rPr>
      </w:pPr>
      <w:r w:rsidRPr="001D5231">
        <w:rPr>
          <w:szCs w:val="20"/>
        </w:rPr>
        <w:t>č.1N54 – učebna o ploše 8,8 m</w:t>
      </w:r>
      <w:r w:rsidRPr="001D5231">
        <w:rPr>
          <w:szCs w:val="20"/>
          <w:vertAlign w:val="superscript"/>
        </w:rPr>
        <w:t>2</w:t>
      </w:r>
      <w:r w:rsidRPr="001D5231">
        <w:rPr>
          <w:szCs w:val="20"/>
        </w:rPr>
        <w:t xml:space="preserve"> </w:t>
      </w:r>
    </w:p>
    <w:p w:rsidR="006116FF" w:rsidRPr="001D5231" w:rsidRDefault="006116FF" w:rsidP="006116FF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5231">
        <w:rPr>
          <w:szCs w:val="20"/>
        </w:rPr>
        <w:t>vše v </w:t>
      </w:r>
      <w:r w:rsidRPr="001D5231">
        <w:rPr>
          <w:b/>
          <w:szCs w:val="20"/>
        </w:rPr>
        <w:t xml:space="preserve">obci a </w:t>
      </w:r>
      <w:proofErr w:type="spellStart"/>
      <w:r w:rsidRPr="001D5231">
        <w:rPr>
          <w:b/>
          <w:szCs w:val="20"/>
        </w:rPr>
        <w:t>k.ú</w:t>
      </w:r>
      <w:proofErr w:type="spellEnd"/>
      <w:r w:rsidRPr="001D5231">
        <w:rPr>
          <w:b/>
          <w:szCs w:val="20"/>
        </w:rPr>
        <w:t>. Vinařice zapsaném na LV č. 267</w:t>
      </w:r>
      <w:r w:rsidRPr="001D5231">
        <w:rPr>
          <w:szCs w:val="20"/>
        </w:rPr>
        <w:t xml:space="preserve"> u Katastrálního úřadu pro Středočeský kraj, Katastrální pracoviště v Kladně.</w:t>
      </w:r>
      <w:r>
        <w:rPr>
          <w:szCs w:val="20"/>
        </w:rPr>
        <w:t>“</w:t>
      </w:r>
    </w:p>
    <w:p w:rsidR="006116FF" w:rsidRDefault="006116FF" w:rsidP="006116FF">
      <w:pPr>
        <w:ind w:left="360"/>
        <w:rPr>
          <w:b/>
          <w:bCs/>
        </w:rPr>
      </w:pPr>
    </w:p>
    <w:p w:rsidR="006116FF" w:rsidRDefault="006116FF" w:rsidP="006116FF">
      <w:pPr>
        <w:ind w:left="360"/>
        <w:rPr>
          <w:b/>
          <w:bCs/>
        </w:rPr>
      </w:pPr>
    </w:p>
    <w:p w:rsidR="006116FF" w:rsidRDefault="006116FF" w:rsidP="006116FF">
      <w:pPr>
        <w:rPr>
          <w:b/>
          <w:bCs/>
        </w:rPr>
      </w:pPr>
      <w:r>
        <w:rPr>
          <w:b/>
          <w:bCs/>
        </w:rPr>
        <w:t>2</w:t>
      </w:r>
      <w:r w:rsidRPr="00C17F9D">
        <w:rPr>
          <w:b/>
          <w:bCs/>
        </w:rPr>
        <w:t xml:space="preserve">.  </w:t>
      </w:r>
      <w:r>
        <w:rPr>
          <w:b/>
          <w:bCs/>
        </w:rPr>
        <w:t xml:space="preserve">Zrušuje se příloha </w:t>
      </w:r>
      <w:proofErr w:type="gramStart"/>
      <w:r>
        <w:rPr>
          <w:b/>
          <w:bCs/>
        </w:rPr>
        <w:t>č.4  Smlouvy</w:t>
      </w:r>
      <w:proofErr w:type="gramEnd"/>
      <w:r>
        <w:rPr>
          <w:b/>
          <w:bCs/>
        </w:rPr>
        <w:t>.</w:t>
      </w:r>
    </w:p>
    <w:p w:rsidR="006116FF" w:rsidRDefault="006116FF" w:rsidP="006116FF">
      <w:pPr>
        <w:rPr>
          <w:b/>
          <w:bCs/>
        </w:rPr>
      </w:pPr>
    </w:p>
    <w:p w:rsidR="006116FF" w:rsidRDefault="006116FF" w:rsidP="006116FF">
      <w:pPr>
        <w:ind w:left="360"/>
        <w:rPr>
          <w:b/>
          <w:bCs/>
        </w:rPr>
      </w:pPr>
    </w:p>
    <w:p w:rsidR="006116FF" w:rsidRDefault="006116FF" w:rsidP="006116FF">
      <w:pPr>
        <w:rPr>
          <w:b/>
          <w:bCs/>
        </w:rPr>
      </w:pPr>
    </w:p>
    <w:p w:rsidR="006116FF" w:rsidRDefault="006116FF" w:rsidP="006116FF">
      <w:pPr>
        <w:pStyle w:val="Zkladntext"/>
      </w:pPr>
    </w:p>
    <w:p w:rsidR="006116FF" w:rsidRPr="008D0457" w:rsidRDefault="006116FF" w:rsidP="006116FF">
      <w:pPr>
        <w:jc w:val="center"/>
        <w:rPr>
          <w:b/>
        </w:rPr>
      </w:pPr>
      <w:r w:rsidRPr="008D0457">
        <w:rPr>
          <w:b/>
        </w:rPr>
        <w:t>III.</w:t>
      </w:r>
    </w:p>
    <w:p w:rsidR="006116FF" w:rsidRPr="008D0457" w:rsidRDefault="006116FF" w:rsidP="006116FF">
      <w:pPr>
        <w:spacing w:before="120"/>
        <w:jc w:val="both"/>
      </w:pPr>
      <w:r w:rsidRPr="008D0457">
        <w:rPr>
          <w:b/>
        </w:rPr>
        <w:t>1.</w:t>
      </w:r>
      <w:r w:rsidRPr="008D0457">
        <w:t xml:space="preserve"> Ostatní ustanovení Smlouvy se nemění a zůstávají </w:t>
      </w:r>
      <w:r>
        <w:t xml:space="preserve">v platnosti </w:t>
      </w:r>
      <w:r w:rsidRPr="008D0457">
        <w:t>v původním znění.</w:t>
      </w:r>
    </w:p>
    <w:p w:rsidR="006116FF" w:rsidRPr="008D0457" w:rsidRDefault="006116FF" w:rsidP="006116FF">
      <w:pPr>
        <w:spacing w:before="80"/>
        <w:jc w:val="both"/>
      </w:pPr>
      <w:r w:rsidRPr="008D0457">
        <w:rPr>
          <w:b/>
        </w:rPr>
        <w:t>2.</w:t>
      </w:r>
      <w:r w:rsidRPr="008D0457">
        <w:t xml:space="preserve"> Tento dodatek č.</w:t>
      </w:r>
      <w:r>
        <w:t xml:space="preserve"> 10</w:t>
      </w:r>
      <w:r w:rsidRPr="008D0457">
        <w:t xml:space="preserve"> byl vyhotoven ve čtyřech stejnopisech, přičemž </w:t>
      </w:r>
      <w:proofErr w:type="spellStart"/>
      <w:r>
        <w:t>půjčitel</w:t>
      </w:r>
      <w:proofErr w:type="spellEnd"/>
      <w:r>
        <w:t xml:space="preserve"> obdrží tři výtisky a vypůjčitel jeden výtisk</w:t>
      </w:r>
      <w:r w:rsidRPr="008D0457">
        <w:t>.</w:t>
      </w:r>
    </w:p>
    <w:p w:rsidR="006116FF" w:rsidRDefault="006116FF" w:rsidP="006116FF">
      <w:pPr>
        <w:spacing w:before="80"/>
        <w:jc w:val="both"/>
      </w:pPr>
      <w:r w:rsidRPr="008D0457">
        <w:rPr>
          <w:b/>
        </w:rPr>
        <w:t>3.</w:t>
      </w:r>
      <w:r w:rsidRPr="008D0457">
        <w:t xml:space="preserve"> Tento dodatek nabývá platnosti dnem podpisu smluvních stran s účinností ke dni 1.</w:t>
      </w:r>
      <w:r>
        <w:t>9</w:t>
      </w:r>
      <w:r w:rsidRPr="008D0457">
        <w:t>.20</w:t>
      </w:r>
      <w:r>
        <w:t>21</w:t>
      </w:r>
      <w:r w:rsidRPr="008D0457">
        <w:t>.</w:t>
      </w:r>
    </w:p>
    <w:p w:rsidR="006116FF" w:rsidRPr="008D0457" w:rsidRDefault="006116FF" w:rsidP="006116FF">
      <w:pPr>
        <w:spacing w:before="80"/>
        <w:jc w:val="both"/>
      </w:pPr>
    </w:p>
    <w:p w:rsidR="006116FF" w:rsidRDefault="006116FF" w:rsidP="006116FF">
      <w:pPr>
        <w:jc w:val="both"/>
      </w:pPr>
    </w:p>
    <w:p w:rsidR="006116FF" w:rsidRDefault="006116FF" w:rsidP="006116FF">
      <w:pPr>
        <w:jc w:val="both"/>
      </w:pPr>
    </w:p>
    <w:p w:rsidR="006116FF" w:rsidRDefault="006116FF" w:rsidP="006116FF">
      <w:pPr>
        <w:jc w:val="both"/>
      </w:pPr>
    </w:p>
    <w:p w:rsidR="006116FF" w:rsidRDefault="006116FF" w:rsidP="006116FF">
      <w:pPr>
        <w:jc w:val="both"/>
      </w:pPr>
      <w:r>
        <w:t xml:space="preserve">Ve Vinařicích dne:                                                              </w:t>
      </w:r>
    </w:p>
    <w:p w:rsidR="006116FF" w:rsidRDefault="006116FF" w:rsidP="006116FF">
      <w:pPr>
        <w:jc w:val="both"/>
      </w:pPr>
    </w:p>
    <w:p w:rsidR="006116FF" w:rsidRDefault="006116FF" w:rsidP="006116FF">
      <w:pPr>
        <w:jc w:val="both"/>
      </w:pPr>
    </w:p>
    <w:p w:rsidR="006116FF" w:rsidRDefault="006116FF" w:rsidP="006116FF">
      <w:pPr>
        <w:jc w:val="both"/>
      </w:pPr>
    </w:p>
    <w:p w:rsidR="006116FF" w:rsidRDefault="006116FF" w:rsidP="006116FF">
      <w:pPr>
        <w:jc w:val="both"/>
      </w:pPr>
      <w:r>
        <w:t xml:space="preserve">Za </w:t>
      </w:r>
      <w:proofErr w:type="spellStart"/>
      <w:proofErr w:type="gramStart"/>
      <w:r>
        <w:t>půjčitele</w:t>
      </w:r>
      <w:proofErr w:type="spellEnd"/>
      <w:r>
        <w:t xml:space="preserve">:   </w:t>
      </w:r>
      <w:proofErr w:type="gramEnd"/>
      <w:r>
        <w:t xml:space="preserve">                                                                     Za vypůjčitele:</w:t>
      </w:r>
    </w:p>
    <w:p w:rsidR="006116FF" w:rsidRDefault="006116FF" w:rsidP="006116FF">
      <w:pPr>
        <w:jc w:val="both"/>
      </w:pPr>
      <w:r>
        <w:t xml:space="preserve">          </w:t>
      </w:r>
    </w:p>
    <w:p w:rsidR="006116FF" w:rsidRDefault="006116FF" w:rsidP="006116FF">
      <w:pPr>
        <w:ind w:firstLine="708"/>
        <w:jc w:val="both"/>
      </w:pPr>
      <w:r>
        <w:t xml:space="preserve">vrchní rada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6FF" w:rsidRDefault="006116FF" w:rsidP="006116FF">
      <w:pPr>
        <w:jc w:val="both"/>
      </w:pPr>
      <w:r>
        <w:t xml:space="preserve">plk. Mgr. Luboš Beránek                                                                  ředitel SOU                         </w:t>
      </w:r>
    </w:p>
    <w:p w:rsidR="006116FF" w:rsidRDefault="006116FF" w:rsidP="006116FF">
      <w:pPr>
        <w:jc w:val="both"/>
      </w:pPr>
      <w:r>
        <w:t xml:space="preserve">z pověření ředitel věznice                                      </w:t>
      </w:r>
      <w:r>
        <w:tab/>
      </w:r>
      <w:r>
        <w:tab/>
        <w:t xml:space="preserve">         Bc. Daniel Černý</w:t>
      </w:r>
    </w:p>
    <w:p w:rsidR="006116FF" w:rsidRDefault="006116FF" w:rsidP="006116FF">
      <w:pPr>
        <w:jc w:val="both"/>
      </w:pPr>
    </w:p>
    <w:p w:rsidR="006116FF" w:rsidRDefault="006116FF" w:rsidP="006116FF">
      <w:pPr>
        <w:jc w:val="both"/>
      </w:pPr>
    </w:p>
    <w:p w:rsidR="00C01455" w:rsidRDefault="00826D54"/>
    <w:sectPr w:rsidR="00C01455" w:rsidSect="006627F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FF"/>
    <w:rsid w:val="0023650A"/>
    <w:rsid w:val="006116FF"/>
    <w:rsid w:val="007D063C"/>
    <w:rsid w:val="00826D54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8D9"/>
  <w15:chartTrackingRefBased/>
  <w15:docId w15:val="{5BC1C263-F861-4C7C-8D43-3F803A53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116F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11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116FF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116F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Aneta, Bc.</dc:creator>
  <cp:keywords/>
  <dc:description/>
  <cp:lastModifiedBy>Musilová Aneta, Bc.</cp:lastModifiedBy>
  <cp:revision>2</cp:revision>
  <dcterms:created xsi:type="dcterms:W3CDTF">2021-09-08T09:28:00Z</dcterms:created>
  <dcterms:modified xsi:type="dcterms:W3CDTF">2021-09-08T09:30:00Z</dcterms:modified>
</cp:coreProperties>
</file>