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34" w:rsidRDefault="003E2978">
      <w:pPr>
        <w:pStyle w:val="Zkladntext"/>
        <w:tabs>
          <w:tab w:val="left" w:pos="7005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34" w:rsidRDefault="00896634">
      <w:pPr>
        <w:pStyle w:val="Zkladntext"/>
        <w:spacing w:before="9"/>
        <w:rPr>
          <w:rFonts w:ascii="Times New Roman"/>
          <w:sz w:val="29"/>
        </w:rPr>
      </w:pPr>
    </w:p>
    <w:p w:rsidR="00896634" w:rsidRDefault="003E2978">
      <w:pPr>
        <w:spacing w:before="100"/>
        <w:ind w:left="2671" w:right="2643"/>
        <w:jc w:val="center"/>
        <w:rPr>
          <w:sz w:val="32"/>
        </w:rPr>
      </w:pPr>
      <w:r>
        <w:rPr>
          <w:color w:val="808080"/>
          <w:sz w:val="32"/>
        </w:rPr>
        <w:t>Smlouva o poskytnutí podpory z</w:t>
      </w:r>
    </w:p>
    <w:p w:rsidR="00896634" w:rsidRDefault="003E2978">
      <w:pPr>
        <w:spacing w:line="424" w:lineRule="exact"/>
        <w:ind w:left="709" w:right="689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896634" w:rsidRDefault="003E2978">
      <w:pPr>
        <w:spacing w:before="1"/>
        <w:ind w:left="709" w:right="67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896634" w:rsidRDefault="00896634">
      <w:pPr>
        <w:pStyle w:val="Zkladntext"/>
        <w:spacing w:before="12"/>
        <w:rPr>
          <w:i/>
          <w:sz w:val="31"/>
        </w:rPr>
      </w:pPr>
    </w:p>
    <w:p w:rsidR="00896634" w:rsidRDefault="003E2978">
      <w:pPr>
        <w:ind w:left="2671" w:right="2638"/>
        <w:jc w:val="center"/>
        <w:rPr>
          <w:sz w:val="32"/>
        </w:rPr>
      </w:pPr>
      <w:r>
        <w:rPr>
          <w:color w:val="808080"/>
          <w:sz w:val="32"/>
        </w:rPr>
        <w:t>smlouva č. 3201200019</w:t>
      </w:r>
    </w:p>
    <w:p w:rsidR="00896634" w:rsidRDefault="00896634">
      <w:pPr>
        <w:pStyle w:val="Zkladntext"/>
        <w:rPr>
          <w:sz w:val="40"/>
        </w:rPr>
      </w:pPr>
    </w:p>
    <w:p w:rsidR="00896634" w:rsidRDefault="003E2978">
      <w:pPr>
        <w:pStyle w:val="Zkladntext"/>
        <w:ind w:left="162"/>
      </w:pPr>
      <w:r>
        <w:t>Smluvní strany</w:t>
      </w:r>
    </w:p>
    <w:p w:rsidR="00896634" w:rsidRDefault="00896634">
      <w:pPr>
        <w:pStyle w:val="Zkladntext"/>
        <w:spacing w:before="1"/>
      </w:pPr>
    </w:p>
    <w:p w:rsidR="00896634" w:rsidRDefault="003E2978">
      <w:pPr>
        <w:pStyle w:val="Nadpis2"/>
        <w:ind w:left="162"/>
        <w:jc w:val="left"/>
      </w:pPr>
      <w:r>
        <w:t>Státní fond životního prostředí České republiky</w:t>
      </w:r>
    </w:p>
    <w:p w:rsidR="00896634" w:rsidRDefault="003E2978">
      <w:pPr>
        <w:pStyle w:val="Zkladntext"/>
        <w:tabs>
          <w:tab w:val="left" w:pos="3042"/>
        </w:tabs>
        <w:spacing w:before="121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4"/>
        </w:rPr>
        <w:t xml:space="preserve"> </w:t>
      </w:r>
      <w:r>
        <w:t>11</w:t>
      </w:r>
    </w:p>
    <w:p w:rsidR="00896634" w:rsidRDefault="003E2978">
      <w:pPr>
        <w:pStyle w:val="Zkladntext"/>
        <w:tabs>
          <w:tab w:val="left" w:pos="3042"/>
        </w:tabs>
        <w:spacing w:line="265" w:lineRule="exact"/>
        <w:ind w:left="16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 2006/9, 140 00 Praha</w:t>
      </w:r>
      <w:r>
        <w:rPr>
          <w:spacing w:val="-2"/>
        </w:rPr>
        <w:t xml:space="preserve"> </w:t>
      </w:r>
      <w:r>
        <w:t>4</w:t>
      </w:r>
    </w:p>
    <w:p w:rsidR="00896634" w:rsidRDefault="003E2978">
      <w:pPr>
        <w:pStyle w:val="Zkladntext"/>
        <w:tabs>
          <w:tab w:val="right" w:pos="3906"/>
        </w:tabs>
        <w:spacing w:line="265" w:lineRule="exact"/>
        <w:ind w:left="162"/>
      </w:pPr>
      <w:r>
        <w:t>IČO:</w:t>
      </w:r>
      <w:r>
        <w:tab/>
        <w:t>00020729</w:t>
      </w:r>
    </w:p>
    <w:p w:rsidR="00896634" w:rsidRDefault="003E2978">
      <w:pPr>
        <w:pStyle w:val="Zkladntext"/>
        <w:tabs>
          <w:tab w:val="left" w:pos="3042"/>
        </w:tabs>
        <w:ind w:left="16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 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ředitelem</w:t>
      </w:r>
    </w:p>
    <w:p w:rsidR="00896634" w:rsidRDefault="003E2978">
      <w:pPr>
        <w:pStyle w:val="Zkladntext"/>
        <w:tabs>
          <w:tab w:val="left" w:pos="3042"/>
        </w:tabs>
        <w:spacing w:before="1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896634" w:rsidRDefault="003E2978">
      <w:pPr>
        <w:pStyle w:val="Zkladntext"/>
        <w:tabs>
          <w:tab w:val="left" w:pos="3042"/>
          <w:tab w:val="left" w:leader="hyphen" w:pos="5632"/>
        </w:tabs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</w:t>
      </w:r>
      <w:r>
        <w:rPr>
          <w:spacing w:val="-7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tab/>
        <w:t>40002-9025001/0710</w:t>
      </w:r>
    </w:p>
    <w:p w:rsidR="00896634" w:rsidRDefault="003E2978">
      <w:pPr>
        <w:pStyle w:val="Zkladntext"/>
        <w:tabs>
          <w:tab w:val="left" w:leader="hyphen" w:pos="5752"/>
        </w:tabs>
        <w:ind w:left="3042"/>
      </w:pPr>
      <w:r>
        <w:t>pro financování z</w:t>
      </w:r>
      <w:r>
        <w:rPr>
          <w:spacing w:val="-3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896634" w:rsidRDefault="003E2978">
      <w:pPr>
        <w:pStyle w:val="Zkladntext"/>
        <w:spacing w:before="1" w:line="480" w:lineRule="auto"/>
        <w:ind w:left="162" w:right="8052"/>
      </w:pPr>
      <w:r>
        <w:t>(dále jen „Fond“) a</w:t>
      </w:r>
    </w:p>
    <w:p w:rsidR="00896634" w:rsidRDefault="003E2978">
      <w:pPr>
        <w:pStyle w:val="Nadpis2"/>
        <w:spacing w:line="266" w:lineRule="exact"/>
        <w:ind w:left="162"/>
        <w:jc w:val="left"/>
      </w:pPr>
      <w:r>
        <w:t>Institut pro udržitelný rozvoj o. p. s.</w:t>
      </w:r>
    </w:p>
    <w:p w:rsidR="00896634" w:rsidRDefault="003E2978">
      <w:pPr>
        <w:pStyle w:val="Zkladntext"/>
        <w:tabs>
          <w:tab w:val="left" w:pos="3042"/>
        </w:tabs>
        <w:spacing w:before="120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Švermova 32/35, 460 10 Liberec, Liberec</w:t>
      </w:r>
      <w:r>
        <w:rPr>
          <w:spacing w:val="-2"/>
        </w:rPr>
        <w:t xml:space="preserve"> </w:t>
      </w:r>
      <w:r>
        <w:t>X-Františkov</w:t>
      </w:r>
    </w:p>
    <w:p w:rsidR="00896634" w:rsidRDefault="003E2978">
      <w:pPr>
        <w:pStyle w:val="Zkladntext"/>
        <w:tabs>
          <w:tab w:val="left" w:pos="3042"/>
        </w:tabs>
        <w:spacing w:before="1"/>
        <w:ind w:left="162"/>
      </w:pPr>
      <w:r>
        <w:t>IČO:</w:t>
      </w:r>
      <w:r>
        <w:tab/>
        <w:t>02586894</w:t>
      </w:r>
    </w:p>
    <w:p w:rsidR="00896634" w:rsidRDefault="003E2978">
      <w:pPr>
        <w:pStyle w:val="Zkladntext"/>
        <w:tabs>
          <w:tab w:val="left" w:pos="3042"/>
        </w:tabs>
        <w:spacing w:line="265" w:lineRule="exact"/>
        <w:ind w:left="162"/>
      </w:pPr>
      <w:r>
        <w:t>zastoupená:</w:t>
      </w:r>
      <w:r>
        <w:tab/>
        <w:t>Mgr. Jiřím Ř í m á n k e m,</w:t>
      </w:r>
      <w:r>
        <w:rPr>
          <w:spacing w:val="-2"/>
        </w:rPr>
        <w:t xml:space="preserve"> </w:t>
      </w:r>
      <w:r>
        <w:t>ředitelem</w:t>
      </w:r>
    </w:p>
    <w:p w:rsidR="00896634" w:rsidRDefault="003E2978">
      <w:pPr>
        <w:pStyle w:val="Zkladntext"/>
        <w:tabs>
          <w:tab w:val="left" w:pos="3042"/>
        </w:tabs>
        <w:spacing w:line="265" w:lineRule="exact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7F6E77" w:rsidRPr="007F6E77">
        <w:rPr>
          <w:highlight w:val="yellow"/>
        </w:rPr>
        <w:t>xxxx</w:t>
      </w:r>
    </w:p>
    <w:p w:rsidR="00896634" w:rsidRDefault="003E2978">
      <w:pPr>
        <w:pStyle w:val="Zkladntext"/>
        <w:tabs>
          <w:tab w:val="left" w:pos="3042"/>
        </w:tabs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7F6E77" w:rsidRPr="007F6E77">
        <w:rPr>
          <w:highlight w:val="yellow"/>
        </w:rPr>
        <w:t>xxxx</w:t>
      </w:r>
      <w:bookmarkStart w:id="0" w:name="_GoBack"/>
      <w:bookmarkEnd w:id="0"/>
    </w:p>
    <w:p w:rsidR="00896634" w:rsidRDefault="003E2978">
      <w:pPr>
        <w:pStyle w:val="Zkladntext"/>
        <w:tabs>
          <w:tab w:val="left" w:pos="3042"/>
        </w:tabs>
        <w:spacing w:before="1"/>
        <w:ind w:left="16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3201200019</w:t>
      </w:r>
    </w:p>
    <w:p w:rsidR="00896634" w:rsidRDefault="003E2978">
      <w:pPr>
        <w:pStyle w:val="Zkladntext"/>
        <w:spacing w:before="120"/>
        <w:ind w:left="162"/>
      </w:pPr>
      <w:r>
        <w:t>(dále jen „příjemce podpory“)</w:t>
      </w:r>
    </w:p>
    <w:p w:rsidR="00896634" w:rsidRDefault="00896634">
      <w:pPr>
        <w:pStyle w:val="Zkladntext"/>
      </w:pPr>
    </w:p>
    <w:p w:rsidR="00896634" w:rsidRDefault="00896634">
      <w:pPr>
        <w:sectPr w:rsidR="00896634">
          <w:footerReference w:type="default" r:id="rId9"/>
          <w:type w:val="continuous"/>
          <w:pgSz w:w="12240" w:h="15840"/>
          <w:pgMar w:top="940" w:right="1000" w:bottom="880" w:left="1540" w:header="708" w:footer="691" w:gutter="0"/>
          <w:pgNumType w:start="1"/>
          <w:cols w:space="708"/>
        </w:sectPr>
      </w:pPr>
    </w:p>
    <w:p w:rsidR="00896634" w:rsidRDefault="00896634">
      <w:pPr>
        <w:pStyle w:val="Zkladntext"/>
        <w:spacing w:before="13"/>
        <w:rPr>
          <w:sz w:val="19"/>
        </w:rPr>
      </w:pPr>
    </w:p>
    <w:p w:rsidR="00896634" w:rsidRDefault="003E2978">
      <w:pPr>
        <w:pStyle w:val="Zkladntext"/>
        <w:ind w:left="162"/>
      </w:pPr>
      <w:r>
        <w:t>se dohodly takto:</w:t>
      </w:r>
    </w:p>
    <w:p w:rsidR="00896634" w:rsidRDefault="003E2978">
      <w:pPr>
        <w:pStyle w:val="Zkladntext"/>
        <w:rPr>
          <w:sz w:val="26"/>
        </w:rPr>
      </w:pPr>
      <w:r>
        <w:br w:type="column"/>
      </w:r>
    </w:p>
    <w:p w:rsidR="00896634" w:rsidRDefault="00896634">
      <w:pPr>
        <w:pStyle w:val="Zkladntext"/>
        <w:rPr>
          <w:sz w:val="32"/>
        </w:rPr>
      </w:pPr>
    </w:p>
    <w:p w:rsidR="00896634" w:rsidRDefault="003E2978">
      <w:pPr>
        <w:pStyle w:val="Nadpis2"/>
        <w:ind w:left="140" w:right="3988"/>
      </w:pPr>
      <w:r>
        <w:t>I.</w:t>
      </w:r>
    </w:p>
    <w:p w:rsidR="00896634" w:rsidRDefault="003E2978">
      <w:pPr>
        <w:spacing w:before="1"/>
        <w:ind w:left="140" w:right="399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896634" w:rsidRDefault="00896634">
      <w:pPr>
        <w:jc w:val="center"/>
        <w:rPr>
          <w:sz w:val="20"/>
        </w:rPr>
        <w:sectPr w:rsidR="00896634">
          <w:type w:val="continuous"/>
          <w:pgSz w:w="12240" w:h="15840"/>
          <w:pgMar w:top="940" w:right="1000" w:bottom="880" w:left="1540" w:header="708" w:footer="708" w:gutter="0"/>
          <w:cols w:num="2" w:space="708" w:equalWidth="0">
            <w:col w:w="1723" w:space="2156"/>
            <w:col w:w="5821"/>
          </w:cols>
        </w:sectPr>
      </w:pPr>
    </w:p>
    <w:p w:rsidR="00896634" w:rsidRDefault="00896634">
      <w:pPr>
        <w:pStyle w:val="Zkladntext"/>
        <w:spacing w:before="8"/>
        <w:rPr>
          <w:b/>
          <w:sz w:val="10"/>
        </w:rPr>
      </w:pPr>
    </w:p>
    <w:p w:rsidR="00896634" w:rsidRDefault="003E2978">
      <w:pPr>
        <w:pStyle w:val="Odstavecseseznamem"/>
        <w:numPr>
          <w:ilvl w:val="0"/>
          <w:numId w:val="10"/>
        </w:numPr>
        <w:tabs>
          <w:tab w:val="left" w:pos="44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Tato Smlouva o poskytnutí podpory z Programu  „Životní prostředí, ekosystémy a změna klimatu“   (dále jen „Program“) podporovaného  z  Norských fondů 2014-2021 (dále jen „Smlouva“) se uzavírá    na základě Rozhodnutí ministra životního prostředí č. 3201200</w:t>
      </w:r>
      <w:r>
        <w:rPr>
          <w:sz w:val="20"/>
        </w:rPr>
        <w:t>019 o poskytnutí finančních prostředků  z</w:t>
      </w:r>
      <w:r>
        <w:rPr>
          <w:spacing w:val="-1"/>
          <w:sz w:val="20"/>
        </w:rPr>
        <w:t xml:space="preserve"> </w:t>
      </w:r>
      <w:r>
        <w:rPr>
          <w:sz w:val="20"/>
        </w:rPr>
        <w:t>Programu</w:t>
      </w:r>
      <w:r>
        <w:rPr>
          <w:spacing w:val="42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„Rozhodnutí</w:t>
      </w:r>
      <w:r>
        <w:rPr>
          <w:spacing w:val="41"/>
          <w:sz w:val="20"/>
        </w:rPr>
        <w:t xml:space="preserve"> </w:t>
      </w:r>
      <w:r>
        <w:rPr>
          <w:sz w:val="20"/>
        </w:rPr>
        <w:t>ministra“),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1"/>
          <w:sz w:val="20"/>
        </w:rPr>
        <w:t xml:space="preserve"> </w:t>
      </w:r>
      <w:r>
        <w:rPr>
          <w:sz w:val="20"/>
        </w:rPr>
        <w:t>dne</w:t>
      </w:r>
      <w:r>
        <w:rPr>
          <w:spacing w:val="48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 souladu</w:t>
      </w:r>
      <w:r>
        <w:rPr>
          <w:spacing w:val="41"/>
          <w:sz w:val="20"/>
        </w:rPr>
        <w:t xml:space="preserve"> </w:t>
      </w:r>
      <w:r>
        <w:rPr>
          <w:sz w:val="20"/>
        </w:rPr>
        <w:t>se směrnicí</w:t>
      </w:r>
      <w:r>
        <w:rPr>
          <w:spacing w:val="42"/>
          <w:sz w:val="20"/>
        </w:rPr>
        <w:t xml:space="preserve"> </w:t>
      </w:r>
      <w:r>
        <w:rPr>
          <w:sz w:val="20"/>
        </w:rPr>
        <w:t>Ministerstva</w:t>
      </w:r>
    </w:p>
    <w:p w:rsidR="00896634" w:rsidRDefault="00896634">
      <w:pPr>
        <w:jc w:val="both"/>
        <w:rPr>
          <w:sz w:val="20"/>
        </w:rPr>
        <w:sectPr w:rsidR="00896634">
          <w:type w:val="continuous"/>
          <w:pgSz w:w="12240" w:h="15840"/>
          <w:pgMar w:top="940" w:right="1000" w:bottom="880" w:left="1540" w:header="708" w:footer="708" w:gutter="0"/>
          <w:cols w:space="708"/>
        </w:sectPr>
      </w:pPr>
    </w:p>
    <w:p w:rsidR="00896634" w:rsidRDefault="003E2978">
      <w:pPr>
        <w:pStyle w:val="Zkladntext"/>
        <w:spacing w:before="73"/>
        <w:ind w:left="445" w:right="131"/>
        <w:jc w:val="both"/>
      </w:pPr>
      <w:r>
        <w:lastRenderedPageBreak/>
        <w:t xml:space="preserve">životního prostředí ČR č. 8/2019 o poskytování finančních prostředků z finančního mechanismu Evropského </w:t>
      </w:r>
      <w:r>
        <w:t>hospodářského prostoru a z finančního mechanismu Norska administrovaných Státním fondem životního prostředí České republiky (dále jen „Směrnice MŽP“), v platném znění.</w:t>
      </w:r>
    </w:p>
    <w:p w:rsidR="00896634" w:rsidRDefault="003E2978">
      <w:pPr>
        <w:pStyle w:val="Odstavecseseznamem"/>
        <w:numPr>
          <w:ilvl w:val="0"/>
          <w:numId w:val="10"/>
        </w:numPr>
        <w:tabs>
          <w:tab w:val="left" w:pos="522"/>
        </w:tabs>
        <w:spacing w:before="121"/>
        <w:ind w:left="521" w:right="130" w:hanging="360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SGS-1 R</w:t>
      </w:r>
      <w:r>
        <w:rPr>
          <w:sz w:val="20"/>
        </w:rPr>
        <w:t>ondane,  k předkládání žádostí o poskytnutí podpory z Programu (dále jen „Výzva“) a že náležitosti podporovaného  projektu odpovídají podmínkám stanoveným touto  Výzvou a jsou v souladu s cíli     a</w:t>
      </w:r>
      <w:r>
        <w:rPr>
          <w:spacing w:val="-5"/>
          <w:sz w:val="20"/>
        </w:rPr>
        <w:t xml:space="preserve"> </w:t>
      </w:r>
      <w:r>
        <w:rPr>
          <w:sz w:val="20"/>
        </w:rPr>
        <w:t>principy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8"/>
          <w:sz w:val="20"/>
        </w:rPr>
        <w:t xml:space="preserve"> </w:t>
      </w:r>
      <w:r>
        <w:rPr>
          <w:sz w:val="20"/>
        </w:rPr>
        <w:t>právního</w:t>
      </w:r>
      <w:r>
        <w:rPr>
          <w:spacing w:val="-7"/>
          <w:sz w:val="20"/>
        </w:rPr>
        <w:t xml:space="preserve"> </w:t>
      </w:r>
      <w:r>
        <w:rPr>
          <w:sz w:val="20"/>
        </w:rPr>
        <w:t>rámce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mechanismu</w:t>
      </w:r>
      <w:r>
        <w:rPr>
          <w:spacing w:val="-8"/>
          <w:sz w:val="20"/>
        </w:rPr>
        <w:t xml:space="preserve"> </w:t>
      </w:r>
      <w:r>
        <w:rPr>
          <w:sz w:val="20"/>
        </w:rPr>
        <w:t>Norska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2014- 2021, zejména pak uvedeného v článku 1.5. Nařízení o implementaci Finančního mechanismu Norska 2014-2021 (dále jen „Nařízení“)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896634" w:rsidRDefault="003E2978">
      <w:pPr>
        <w:pStyle w:val="Odstavecseseznamem"/>
        <w:numPr>
          <w:ilvl w:val="0"/>
          <w:numId w:val="10"/>
        </w:numPr>
        <w:tabs>
          <w:tab w:val="left" w:pos="446"/>
        </w:tabs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896634" w:rsidRDefault="003E2978">
      <w:pPr>
        <w:pStyle w:val="Nadpis2"/>
        <w:spacing w:before="121"/>
        <w:ind w:left="922"/>
        <w:jc w:val="both"/>
      </w:pPr>
      <w:r>
        <w:t>„Nové mokřady a tůně jako místa pro biodiverzitu v Libereckém kraji 2021 – 2024“</w:t>
      </w:r>
    </w:p>
    <w:p w:rsidR="00896634" w:rsidRDefault="00896634">
      <w:pPr>
        <w:pStyle w:val="Zkladntext"/>
        <w:spacing w:before="5"/>
        <w:rPr>
          <w:b/>
          <w:sz w:val="21"/>
        </w:rPr>
      </w:pPr>
    </w:p>
    <w:p w:rsidR="00896634" w:rsidRDefault="003E2978">
      <w:pPr>
        <w:pStyle w:val="Zkladntext"/>
        <w:spacing w:before="100"/>
        <w:ind w:left="445"/>
      </w:pPr>
      <w:r>
        <w:t>(dále jen „akce“).</w:t>
      </w:r>
    </w:p>
    <w:p w:rsidR="00896634" w:rsidRDefault="00896634">
      <w:pPr>
        <w:pStyle w:val="Zkladntext"/>
        <w:spacing w:before="1"/>
        <w:rPr>
          <w:sz w:val="18"/>
        </w:rPr>
      </w:pPr>
    </w:p>
    <w:p w:rsidR="00896634" w:rsidRDefault="003E2978">
      <w:pPr>
        <w:pStyle w:val="Nadpis2"/>
        <w:ind w:right="2287"/>
      </w:pPr>
      <w:r>
        <w:t>II.</w:t>
      </w:r>
    </w:p>
    <w:p w:rsidR="00896634" w:rsidRDefault="003E2978">
      <w:pPr>
        <w:spacing w:before="1"/>
        <w:ind w:left="2671" w:right="2290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896634" w:rsidRDefault="003E2978">
      <w:pPr>
        <w:ind w:left="2671" w:right="228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896634" w:rsidRDefault="00896634">
      <w:pPr>
        <w:pStyle w:val="Zkladntext"/>
        <w:spacing w:before="2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88"/>
        <w:gridCol w:w="1363"/>
      </w:tblGrid>
      <w:tr w:rsidR="00896634">
        <w:trPr>
          <w:trHeight w:val="385"/>
        </w:trPr>
        <w:tc>
          <w:tcPr>
            <w:tcW w:w="6888" w:type="dxa"/>
          </w:tcPr>
          <w:p w:rsidR="00896634" w:rsidRDefault="003E2978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363" w:type="dxa"/>
          </w:tcPr>
          <w:p w:rsidR="00896634" w:rsidRDefault="003E2978">
            <w:pPr>
              <w:pStyle w:val="TableParagraph"/>
              <w:spacing w:line="265" w:lineRule="exact"/>
              <w:ind w:left="362"/>
              <w:rPr>
                <w:sz w:val="20"/>
              </w:rPr>
            </w:pPr>
            <w:r>
              <w:rPr>
                <w:sz w:val="20"/>
              </w:rPr>
              <w:t>1. 5. 2021</w:t>
            </w:r>
          </w:p>
        </w:tc>
      </w:tr>
      <w:tr w:rsidR="00896634">
        <w:trPr>
          <w:trHeight w:val="505"/>
        </w:trPr>
        <w:tc>
          <w:tcPr>
            <w:tcW w:w="6888" w:type="dxa"/>
          </w:tcPr>
          <w:p w:rsidR="00896634" w:rsidRDefault="003E2978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363" w:type="dxa"/>
          </w:tcPr>
          <w:p w:rsidR="00896634" w:rsidRDefault="003E2978">
            <w:pPr>
              <w:pStyle w:val="TableParagraph"/>
              <w:spacing w:before="120"/>
              <w:ind w:left="362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  <w:tr w:rsidR="00896634">
        <w:trPr>
          <w:trHeight w:val="445"/>
        </w:trPr>
        <w:tc>
          <w:tcPr>
            <w:tcW w:w="6888" w:type="dxa"/>
          </w:tcPr>
          <w:p w:rsidR="00896634" w:rsidRDefault="003E2978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363" w:type="dxa"/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96634">
        <w:trPr>
          <w:trHeight w:val="386"/>
        </w:trPr>
        <w:tc>
          <w:tcPr>
            <w:tcW w:w="6888" w:type="dxa"/>
          </w:tcPr>
          <w:p w:rsidR="00896634" w:rsidRDefault="003E2978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363" w:type="dxa"/>
          </w:tcPr>
          <w:p w:rsidR="00896634" w:rsidRDefault="003E2978">
            <w:pPr>
              <w:pStyle w:val="TableParagraph"/>
              <w:spacing w:before="60"/>
              <w:ind w:left="362"/>
              <w:rPr>
                <w:sz w:val="20"/>
              </w:rPr>
            </w:pPr>
            <w:r>
              <w:rPr>
                <w:sz w:val="20"/>
              </w:rPr>
              <w:t>9. 4. 2021</w:t>
            </w:r>
          </w:p>
        </w:tc>
      </w:tr>
      <w:tr w:rsidR="00896634">
        <w:trPr>
          <w:trHeight w:val="713"/>
        </w:trPr>
        <w:tc>
          <w:tcPr>
            <w:tcW w:w="6888" w:type="dxa"/>
          </w:tcPr>
          <w:p w:rsidR="00896634" w:rsidRDefault="003E2978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896634" w:rsidRDefault="003E2978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363" w:type="dxa"/>
          </w:tcPr>
          <w:p w:rsidR="00896634" w:rsidRDefault="00896634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896634" w:rsidRDefault="003E2978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  <w:tr w:rsidR="00896634">
        <w:trPr>
          <w:trHeight w:val="385"/>
        </w:trPr>
        <w:tc>
          <w:tcPr>
            <w:tcW w:w="6888" w:type="dxa"/>
          </w:tcPr>
          <w:p w:rsidR="00896634" w:rsidRDefault="003E2978">
            <w:pPr>
              <w:pStyle w:val="TableParagraph"/>
              <w:spacing w:before="120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 Příjemce podpory se zavazuje splnit účel akce tím, že:</w:t>
            </w:r>
          </w:p>
        </w:tc>
        <w:tc>
          <w:tcPr>
            <w:tcW w:w="1363" w:type="dxa"/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96634" w:rsidRDefault="003E2978">
      <w:pPr>
        <w:pStyle w:val="Odstavecseseznamem"/>
        <w:numPr>
          <w:ilvl w:val="1"/>
          <w:numId w:val="10"/>
        </w:numPr>
        <w:tabs>
          <w:tab w:val="left" w:pos="868"/>
        </w:tabs>
        <w:spacing w:before="0"/>
        <w:ind w:right="134"/>
        <w:rPr>
          <w:sz w:val="20"/>
        </w:rPr>
      </w:pPr>
      <w:r>
        <w:rPr>
          <w:sz w:val="20"/>
        </w:rPr>
        <w:t>v rámci realizace projektu dojde k vytvoření nových a k obnově stávajících přírodních lokalit pro zlepšení podmínek min. 20 chráněných a ohrožených druhů živočichů z červených seznamů. Hlavními</w:t>
      </w:r>
      <w:r>
        <w:rPr>
          <w:spacing w:val="-11"/>
          <w:sz w:val="20"/>
        </w:rPr>
        <w:t xml:space="preserve"> </w:t>
      </w:r>
      <w:r>
        <w:rPr>
          <w:sz w:val="20"/>
        </w:rPr>
        <w:t>nástroji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vytvoření</w:t>
      </w:r>
      <w:r>
        <w:rPr>
          <w:spacing w:val="-10"/>
          <w:sz w:val="20"/>
        </w:rPr>
        <w:t xml:space="preserve"> </w:t>
      </w:r>
      <w:r>
        <w:rPr>
          <w:sz w:val="20"/>
        </w:rPr>
        <w:t>77</w:t>
      </w:r>
      <w:r>
        <w:rPr>
          <w:spacing w:val="-9"/>
          <w:sz w:val="20"/>
        </w:rPr>
        <w:t xml:space="preserve"> </w:t>
      </w:r>
      <w:r>
        <w:rPr>
          <w:sz w:val="20"/>
        </w:rPr>
        <w:t>tůní,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biodiverzity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lokalitách, příprava obdobných projektů na dalších lokalitách a jednání s jejich vlastníky, zlepšení podmínek pro pokračování projektu po jeho skončení a osvětové</w:t>
      </w:r>
      <w:r>
        <w:rPr>
          <w:spacing w:val="-3"/>
          <w:sz w:val="20"/>
        </w:rPr>
        <w:t xml:space="preserve"> </w:t>
      </w:r>
      <w:r>
        <w:rPr>
          <w:sz w:val="20"/>
        </w:rPr>
        <w:t>aktivity.</w:t>
      </w:r>
    </w:p>
    <w:p w:rsidR="00896634" w:rsidRDefault="003E2978">
      <w:pPr>
        <w:pStyle w:val="Zkladntext"/>
        <w:spacing w:before="120"/>
        <w:ind w:left="867"/>
      </w:pPr>
      <w:r>
        <w:t>Dále se příjemce podpory zavazuje naplnit indikátory:</w:t>
      </w:r>
    </w:p>
    <w:p w:rsidR="00896634" w:rsidRDefault="003E2978">
      <w:pPr>
        <w:pStyle w:val="Odstavecseseznamem"/>
        <w:numPr>
          <w:ilvl w:val="2"/>
          <w:numId w:val="10"/>
        </w:numPr>
        <w:tabs>
          <w:tab w:val="left" w:pos="1074"/>
        </w:tabs>
        <w:ind w:right="140" w:firstLine="0"/>
        <w:jc w:val="left"/>
        <w:rPr>
          <w:sz w:val="20"/>
        </w:rPr>
      </w:pPr>
      <w:r>
        <w:rPr>
          <w:sz w:val="20"/>
        </w:rPr>
        <w:t>"Po</w:t>
      </w:r>
      <w:r>
        <w:rPr>
          <w:sz w:val="20"/>
        </w:rPr>
        <w:t>čet opatření  realizovaných  na  ochranu  vybraných  rostlinných  nebo  živočišných  druhů"  v rozsahu 1 opatření,</w:t>
      </w:r>
    </w:p>
    <w:p w:rsidR="00896634" w:rsidRDefault="003E2978">
      <w:pPr>
        <w:pStyle w:val="Odstavecseseznamem"/>
        <w:numPr>
          <w:ilvl w:val="2"/>
          <w:numId w:val="10"/>
        </w:numPr>
        <w:tabs>
          <w:tab w:val="left" w:pos="976"/>
        </w:tabs>
        <w:spacing w:before="119"/>
        <w:ind w:left="843" w:right="137" w:firstLine="0"/>
        <w:jc w:val="left"/>
        <w:rPr>
          <w:sz w:val="20"/>
        </w:rPr>
      </w:pPr>
      <w:r>
        <w:rPr>
          <w:sz w:val="20"/>
        </w:rPr>
        <w:t>"Počet</w:t>
      </w:r>
      <w:r>
        <w:rPr>
          <w:spacing w:val="-7"/>
          <w:sz w:val="20"/>
        </w:rPr>
        <w:t xml:space="preserve"> </w:t>
      </w:r>
      <w:r>
        <w:rPr>
          <w:sz w:val="20"/>
        </w:rPr>
        <w:t>opatření</w:t>
      </w:r>
      <w:r>
        <w:rPr>
          <w:spacing w:val="-6"/>
          <w:sz w:val="20"/>
        </w:rPr>
        <w:t xml:space="preserve"> </w:t>
      </w:r>
      <w:r>
        <w:rPr>
          <w:sz w:val="20"/>
        </w:rPr>
        <w:t>zaměřených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ochranu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zachování</w:t>
      </w:r>
      <w:r>
        <w:rPr>
          <w:spacing w:val="-6"/>
          <w:sz w:val="20"/>
        </w:rPr>
        <w:t xml:space="preserve"> </w:t>
      </w:r>
      <w:r>
        <w:rPr>
          <w:sz w:val="20"/>
        </w:rPr>
        <w:t>ohrožených</w:t>
      </w:r>
      <w:r>
        <w:rPr>
          <w:spacing w:val="-6"/>
          <w:sz w:val="20"/>
        </w:rPr>
        <w:t xml:space="preserve"> </w:t>
      </w:r>
      <w:r>
        <w:rPr>
          <w:sz w:val="20"/>
        </w:rPr>
        <w:t>přírodních</w:t>
      </w:r>
      <w:r>
        <w:rPr>
          <w:spacing w:val="-5"/>
          <w:sz w:val="20"/>
        </w:rPr>
        <w:t xml:space="preserve"> </w:t>
      </w:r>
      <w:r>
        <w:rPr>
          <w:sz w:val="20"/>
        </w:rPr>
        <w:t>biotopů</w:t>
      </w:r>
      <w:r>
        <w:rPr>
          <w:spacing w:val="-5"/>
          <w:sz w:val="20"/>
        </w:rPr>
        <w:t xml:space="preserve"> </w:t>
      </w:r>
      <w:r>
        <w:rPr>
          <w:sz w:val="20"/>
        </w:rPr>
        <w:t>mimo</w:t>
      </w:r>
      <w:r>
        <w:rPr>
          <w:spacing w:val="-6"/>
          <w:sz w:val="20"/>
        </w:rPr>
        <w:t xml:space="preserve"> </w:t>
      </w:r>
      <w:r>
        <w:rPr>
          <w:sz w:val="20"/>
        </w:rPr>
        <w:t>zvláště chráněná území" v rozsahu 1</w:t>
      </w:r>
      <w:r>
        <w:rPr>
          <w:spacing w:val="-2"/>
          <w:sz w:val="20"/>
        </w:rPr>
        <w:t xml:space="preserve"> </w:t>
      </w:r>
      <w:r>
        <w:rPr>
          <w:sz w:val="20"/>
        </w:rPr>
        <w:t>opatření,</w:t>
      </w:r>
    </w:p>
    <w:p w:rsidR="00896634" w:rsidRDefault="003E2978">
      <w:pPr>
        <w:pStyle w:val="Odstavecseseznamem"/>
        <w:numPr>
          <w:ilvl w:val="2"/>
          <w:numId w:val="10"/>
        </w:numPr>
        <w:tabs>
          <w:tab w:val="left" w:pos="1012"/>
        </w:tabs>
        <w:spacing w:before="121"/>
        <w:ind w:left="843" w:right="140" w:firstLine="0"/>
        <w:jc w:val="left"/>
        <w:rPr>
          <w:sz w:val="20"/>
        </w:rPr>
      </w:pPr>
      <w:r>
        <w:rPr>
          <w:sz w:val="20"/>
        </w:rPr>
        <w:t>"Počet osob, které mají prospěch ze zavedených opatření na zlepšení ekosystému" v rozsahu  443 690 osob,</w:t>
      </w:r>
    </w:p>
    <w:p w:rsidR="00896634" w:rsidRDefault="003E2978">
      <w:pPr>
        <w:pStyle w:val="Odstavecseseznamem"/>
        <w:numPr>
          <w:ilvl w:val="2"/>
          <w:numId w:val="10"/>
        </w:numPr>
        <w:tabs>
          <w:tab w:val="left" w:pos="978"/>
        </w:tabs>
        <w:spacing w:before="121"/>
        <w:ind w:left="978" w:hanging="135"/>
        <w:jc w:val="left"/>
        <w:rPr>
          <w:sz w:val="20"/>
        </w:rPr>
      </w:pPr>
      <w:r>
        <w:rPr>
          <w:sz w:val="20"/>
        </w:rPr>
        <w:t>"Počet rostlinných nebo živočišných druhů, jejichž podmínky byly zlepšeny" v rozsahu 20 druhů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</w:p>
    <w:p w:rsidR="00896634" w:rsidRDefault="003E2978">
      <w:pPr>
        <w:pStyle w:val="Odstavecseseznamem"/>
        <w:numPr>
          <w:ilvl w:val="2"/>
          <w:numId w:val="10"/>
        </w:numPr>
        <w:tabs>
          <w:tab w:val="left" w:pos="978"/>
        </w:tabs>
        <w:ind w:left="978" w:hanging="135"/>
        <w:jc w:val="left"/>
        <w:rPr>
          <w:sz w:val="20"/>
        </w:rPr>
      </w:pPr>
      <w:r>
        <w:rPr>
          <w:sz w:val="20"/>
        </w:rPr>
        <w:t>"Počet stanovišť se zlepšeným ekologickým stavem" v roz</w:t>
      </w:r>
      <w:r>
        <w:rPr>
          <w:sz w:val="20"/>
        </w:rPr>
        <w:t>sahu 5</w:t>
      </w:r>
      <w:r>
        <w:rPr>
          <w:spacing w:val="1"/>
          <w:sz w:val="20"/>
        </w:rPr>
        <w:t xml:space="preserve"> </w:t>
      </w:r>
      <w:r>
        <w:rPr>
          <w:sz w:val="20"/>
        </w:rPr>
        <w:t>druhů.</w:t>
      </w:r>
    </w:p>
    <w:p w:rsidR="00896634" w:rsidRDefault="00896634">
      <w:pPr>
        <w:rPr>
          <w:sz w:val="20"/>
        </w:rPr>
        <w:sectPr w:rsidR="00896634">
          <w:pgSz w:w="12240" w:h="15840"/>
          <w:pgMar w:top="1060" w:right="1000" w:bottom="960" w:left="1540" w:header="0" w:footer="691" w:gutter="0"/>
          <w:cols w:space="708"/>
        </w:sectPr>
      </w:pPr>
    </w:p>
    <w:p w:rsidR="00896634" w:rsidRDefault="003E2978">
      <w:pPr>
        <w:pStyle w:val="Nadpis2"/>
        <w:spacing w:before="73"/>
        <w:ind w:right="2285"/>
      </w:pPr>
      <w:r>
        <w:lastRenderedPageBreak/>
        <w:t>III.</w:t>
      </w:r>
    </w:p>
    <w:p w:rsidR="00896634" w:rsidRDefault="003E2978">
      <w:pPr>
        <w:ind w:left="2671" w:right="2287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896634" w:rsidRDefault="00896634">
      <w:pPr>
        <w:pStyle w:val="Zkladntext"/>
        <w:spacing w:before="1"/>
        <w:rPr>
          <w:b/>
          <w:sz w:val="18"/>
        </w:rPr>
      </w:pPr>
    </w:p>
    <w:p w:rsidR="00896634" w:rsidRDefault="003E2978">
      <w:pPr>
        <w:pStyle w:val="Odstavecseseznamem"/>
        <w:numPr>
          <w:ilvl w:val="0"/>
          <w:numId w:val="9"/>
        </w:numPr>
        <w:tabs>
          <w:tab w:val="left" w:pos="446"/>
        </w:tabs>
        <w:spacing w:before="0"/>
        <w:ind w:right="128"/>
        <w:jc w:val="both"/>
        <w:rPr>
          <w:sz w:val="20"/>
        </w:rPr>
      </w:pPr>
      <w:r>
        <w:rPr>
          <w:sz w:val="20"/>
        </w:rPr>
        <w:t>Výše podpory odpovídá 52,90 %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ministra, dle čl. I, odst. 1) této Smlouvy a činí pevně stanovenou a neměnnou částku ve výši </w:t>
      </w:r>
      <w:r>
        <w:rPr>
          <w:b/>
          <w:sz w:val="20"/>
        </w:rPr>
        <w:t>5 200 000,00 Kč</w:t>
      </w:r>
      <w:r>
        <w:rPr>
          <w:sz w:val="20"/>
        </w:rPr>
        <w:t>, slovy: pět milionů dvě stě tisíc korun českých, (tj. 200 000,00 EUR), která bude vyplacena v poměru 85 % z prostředků Finančního mechanismu Norska</w:t>
      </w:r>
      <w:r>
        <w:rPr>
          <w:sz w:val="20"/>
        </w:rPr>
        <w:t xml:space="preserve"> 2014-2021 a 15 % z 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Fondu.</w:t>
      </w:r>
    </w:p>
    <w:p w:rsidR="00896634" w:rsidRDefault="003E2978">
      <w:pPr>
        <w:pStyle w:val="Odstavecseseznamem"/>
        <w:numPr>
          <w:ilvl w:val="0"/>
          <w:numId w:val="9"/>
        </w:numPr>
        <w:tabs>
          <w:tab w:val="left" w:pos="446"/>
        </w:tabs>
        <w:ind w:right="136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nezbytných výdajů vynaložených na dodávky, služby a stavební práce, a výdajů, kterými je akce realizována a které vznikly a byly </w:t>
      </w:r>
      <w:r>
        <w:rPr>
          <w:sz w:val="20"/>
        </w:rPr>
        <w:t>uhrazeny v období realizace akce, 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896634" w:rsidRDefault="00896634">
      <w:pPr>
        <w:pStyle w:val="Zkladntext"/>
        <w:spacing w:before="2"/>
        <w:rPr>
          <w:sz w:val="18"/>
        </w:rPr>
      </w:pPr>
    </w:p>
    <w:p w:rsidR="00896634" w:rsidRDefault="003E2978">
      <w:pPr>
        <w:pStyle w:val="Nadpis2"/>
        <w:ind w:right="2287"/>
      </w:pPr>
      <w:r>
        <w:t>IV.</w:t>
      </w:r>
    </w:p>
    <w:p w:rsidR="00896634" w:rsidRDefault="003E2978">
      <w:pPr>
        <w:ind w:left="2671" w:right="2290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896634" w:rsidRDefault="00896634">
      <w:pPr>
        <w:pStyle w:val="Zkladntext"/>
        <w:spacing w:before="6"/>
        <w:rPr>
          <w:b/>
          <w:sz w:val="10"/>
        </w:rPr>
      </w:pPr>
    </w:p>
    <w:p w:rsidR="00896634" w:rsidRDefault="003E2978">
      <w:pPr>
        <w:pStyle w:val="Odstavecseseznamem"/>
        <w:numPr>
          <w:ilvl w:val="0"/>
          <w:numId w:val="8"/>
        </w:numPr>
        <w:tabs>
          <w:tab w:val="left" w:pos="446"/>
        </w:tabs>
        <w:spacing w:before="100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0"/>
        </w:tabs>
        <w:ind w:right="13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0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</w:t>
      </w:r>
      <w:r>
        <w:rPr>
          <w:sz w:val="20"/>
        </w:rPr>
        <w:t>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0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oprávněn požadovat podporu ve výši 5 200 000,00 Kč (tj. 200 000,00 EUR), dle čl. III Smlouvy   a v souladu s Pokyny pr</w:t>
      </w:r>
      <w:r>
        <w:rPr>
          <w:sz w:val="20"/>
        </w:rPr>
        <w:t>o žadatele a konečné příjemce z Programu (dále jen „Pokyny pro žadatele“), které tvoří přílohu</w:t>
      </w:r>
      <w:r>
        <w:rPr>
          <w:spacing w:val="-3"/>
          <w:sz w:val="20"/>
        </w:rPr>
        <w:t xml:space="preserve"> </w:t>
      </w:r>
      <w:r>
        <w:rPr>
          <w:sz w:val="20"/>
        </w:rPr>
        <w:t>Výzvy;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0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 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7"/>
          <w:sz w:val="20"/>
        </w:rPr>
        <w:t xml:space="preserve"> </w:t>
      </w:r>
      <w:r>
        <w:rPr>
          <w:sz w:val="20"/>
        </w:rPr>
        <w:t>výši,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7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</w:t>
      </w:r>
      <w:r>
        <w:rPr>
          <w:sz w:val="20"/>
        </w:rPr>
        <w:t>ičních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1" w:hanging="360"/>
        <w:jc w:val="both"/>
        <w:rPr>
          <w:sz w:val="20"/>
        </w:rPr>
      </w:pPr>
      <w:r>
        <w:rPr>
          <w:sz w:val="20"/>
        </w:rPr>
        <w:t xml:space="preserve">povinen </w:t>
      </w:r>
      <w:r>
        <w:rPr>
          <w:sz w:val="20"/>
        </w:rPr>
        <w:t>předfinancovat způsobilé výdaje projektu z vlastních zdrojů s využitím zálohy poskytnuté Fondem dle kap. VI, odst. 3. a Pokynů pro</w:t>
      </w:r>
      <w:r>
        <w:rPr>
          <w:spacing w:val="-11"/>
          <w:sz w:val="20"/>
        </w:rPr>
        <w:t xml:space="preserve"> </w:t>
      </w:r>
      <w:r>
        <w:rPr>
          <w:sz w:val="20"/>
        </w:rPr>
        <w:t>žadatele;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</w:t>
      </w:r>
      <w:r>
        <w:rPr>
          <w:sz w:val="20"/>
        </w:rPr>
        <w:t>i vyplývající z této Smlouvy. Smlouvu nelze měnit se zpětnou účinností po porušení povinnosti, která je předmětem</w:t>
      </w:r>
      <w:r>
        <w:rPr>
          <w:spacing w:val="-6"/>
          <w:sz w:val="20"/>
        </w:rPr>
        <w:t xml:space="preserve"> </w:t>
      </w:r>
      <w:r>
        <w:rPr>
          <w:sz w:val="20"/>
        </w:rPr>
        <w:t>změny;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žádosti</w:t>
      </w:r>
    </w:p>
    <w:p w:rsidR="00896634" w:rsidRDefault="003E2978">
      <w:pPr>
        <w:pStyle w:val="Zkladntext"/>
        <w:spacing w:before="1"/>
        <w:ind w:left="1241" w:right="137"/>
        <w:jc w:val="both"/>
      </w:pPr>
      <w:r>
        <w:t>o platbu; závěrečnou monitorovací zprávu příjemce podpory předloží nejpozději do 1 měsíce od uplynutí termínu dle čl. II odst. 2) této Smlouvy;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</w:t>
      </w:r>
      <w:r>
        <w:rPr>
          <w:sz w:val="20"/>
        </w:rPr>
        <w:t>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0"/>
        </w:tabs>
        <w:ind w:right="131" w:hanging="360"/>
        <w:jc w:val="both"/>
        <w:rPr>
          <w:sz w:val="20"/>
        </w:rPr>
      </w:pPr>
      <w:r>
        <w:rPr>
          <w:sz w:val="20"/>
        </w:rPr>
        <w:t xml:space="preserve"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</w:t>
      </w:r>
      <w:r>
        <w:rPr>
          <w:sz w:val="20"/>
        </w:rPr>
        <w:t>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896634" w:rsidRDefault="00896634">
      <w:pPr>
        <w:jc w:val="both"/>
        <w:rPr>
          <w:sz w:val="20"/>
        </w:rPr>
        <w:sectPr w:rsidR="00896634">
          <w:pgSz w:w="12240" w:h="15840"/>
          <w:pgMar w:top="1060" w:right="1000" w:bottom="960" w:left="1540" w:header="0" w:footer="691" w:gutter="0"/>
          <w:cols w:space="708"/>
        </w:sectPr>
      </w:pP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spacing w:before="73"/>
        <w:ind w:left="1241" w:right="133" w:hanging="360"/>
        <w:jc w:val="both"/>
        <w:rPr>
          <w:sz w:val="20"/>
        </w:rPr>
      </w:pPr>
      <w:r>
        <w:rPr>
          <w:sz w:val="20"/>
        </w:rPr>
        <w:lastRenderedPageBreak/>
        <w:t>povinen archivovat všechny dokumenty související s realizací akce po dobu nejméně 10 let   od 1. ledna roku následujícího  po  schválení  závěrečné monitorovací zprávy, nejméně však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spacing w:before="121"/>
        <w:ind w:left="1241" w:right="132" w:hanging="360"/>
        <w:jc w:val="both"/>
        <w:rPr>
          <w:sz w:val="20"/>
        </w:rPr>
      </w:pPr>
      <w:r>
        <w:rPr>
          <w:sz w:val="20"/>
        </w:rPr>
        <w:t>srozuměn a uděluje s</w:t>
      </w:r>
      <w:r>
        <w:rPr>
          <w:sz w:val="20"/>
        </w:rPr>
        <w:t>ouhlas s použitím informací souvisejících s akcí pro účely administrace Fondů EHP a 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spacing w:before="123" w:line="237" w:lineRule="auto"/>
        <w:ind w:left="1241" w:right="130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2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</w:t>
      </w:r>
      <w:r>
        <w:rPr>
          <w:sz w:val="20"/>
        </w:rPr>
        <w:t>vropského   sdružení  volného   obchodu   a  neprodleně  poskytnout  požadovaný  přístup   v souvislosti s audity, monitorováním a evaluací akce. Na vyžádání je povinen předložit požadované dokumenty a kontrolní protokoly přímo Certifikačnímu</w:t>
      </w:r>
      <w:r>
        <w:rPr>
          <w:spacing w:val="-8"/>
          <w:sz w:val="20"/>
        </w:rPr>
        <w:t xml:space="preserve"> </w:t>
      </w:r>
      <w:r>
        <w:rPr>
          <w:sz w:val="20"/>
        </w:rPr>
        <w:t>orgánu;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spacing w:before="121"/>
        <w:ind w:left="1241" w:right="132" w:hanging="360"/>
        <w:jc w:val="both"/>
        <w:rPr>
          <w:sz w:val="20"/>
        </w:rPr>
      </w:pPr>
      <w:r>
        <w:rPr>
          <w:sz w:val="20"/>
        </w:rPr>
        <w:t>povin</w:t>
      </w:r>
      <w:r>
        <w:rPr>
          <w:sz w:val="20"/>
        </w:rPr>
        <w:t xml:space="preserve">en neprodleně informovat Fond o podezřeních </w:t>
      </w:r>
      <w:r>
        <w:rPr>
          <w:spacing w:val="2"/>
          <w:sz w:val="20"/>
        </w:rPr>
        <w:t xml:space="preserve">na </w:t>
      </w:r>
      <w:r>
        <w:rPr>
          <w:sz w:val="20"/>
        </w:rPr>
        <w:t>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7" w:hanging="360"/>
        <w:jc w:val="both"/>
        <w:rPr>
          <w:sz w:val="20"/>
        </w:rPr>
      </w:pPr>
      <w:r>
        <w:rPr>
          <w:sz w:val="20"/>
        </w:rPr>
        <w:t>povinen informovat Fond o všech kontrolách nebo mo</w:t>
      </w:r>
      <w:r>
        <w:rPr>
          <w:sz w:val="20"/>
        </w:rPr>
        <w:t>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</w:t>
      </w:r>
      <w:r>
        <w:rPr>
          <w:sz w:val="20"/>
        </w:rPr>
        <w:t>obu zajištění jeho dlouhodobé udržitelnosti. V případech, které zahrnují investici do nemovitosti a/nebo pozemku (včetně renovací), je navíc</w:t>
      </w:r>
      <w:r>
        <w:rPr>
          <w:spacing w:val="-4"/>
          <w:sz w:val="20"/>
        </w:rPr>
        <w:t xml:space="preserve"> </w:t>
      </w:r>
      <w:r>
        <w:rPr>
          <w:sz w:val="20"/>
        </w:rPr>
        <w:t>povinen:</w:t>
      </w:r>
    </w:p>
    <w:p w:rsidR="00896634" w:rsidRDefault="003E2978">
      <w:pPr>
        <w:pStyle w:val="Odstavecseseznamem"/>
        <w:numPr>
          <w:ilvl w:val="2"/>
          <w:numId w:val="8"/>
        </w:numPr>
        <w:tabs>
          <w:tab w:val="left" w:pos="1962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</w:t>
      </w:r>
      <w:r>
        <w:rPr>
          <w:sz w:val="20"/>
        </w:rPr>
        <w:t xml:space="preserve"> strany Fondu a po stejně dlouhou dobu využívat danou nemovitost a/nebo pozemek pro účely uvedené v čl. II. odst. 4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896634" w:rsidRDefault="003E2978">
      <w:pPr>
        <w:pStyle w:val="Odstavecseseznamem"/>
        <w:numPr>
          <w:ilvl w:val="2"/>
          <w:numId w:val="8"/>
        </w:numPr>
        <w:tabs>
          <w:tab w:val="left" w:pos="1962"/>
        </w:tabs>
        <w:spacing w:before="121"/>
        <w:ind w:right="135" w:hanging="320"/>
        <w:jc w:val="both"/>
        <w:rPr>
          <w:sz w:val="20"/>
        </w:rPr>
      </w:pPr>
      <w:r>
        <w:rPr>
          <w:sz w:val="20"/>
        </w:rPr>
        <w:t xml:space="preserve">veškeré nemovitosti zakoupené, postavené nebo zrekonstruované v rámci akce, řádně pojistit  jak  během  provádění  akce,  tak </w:t>
      </w:r>
      <w:r>
        <w:rPr>
          <w:sz w:val="20"/>
        </w:rPr>
        <w:t xml:space="preserve"> po  stanovenou  dobu  nejméně  pěti  let  od schválení závěrečné monitorovací zprávy akce ze 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Fondu;</w:t>
      </w:r>
    </w:p>
    <w:p w:rsidR="00896634" w:rsidRDefault="003E2978">
      <w:pPr>
        <w:pStyle w:val="Odstavecseseznamem"/>
        <w:numPr>
          <w:ilvl w:val="2"/>
          <w:numId w:val="8"/>
        </w:numPr>
        <w:tabs>
          <w:tab w:val="left" w:pos="1962"/>
        </w:tabs>
        <w:spacing w:before="119"/>
        <w:ind w:hanging="370"/>
        <w:jc w:val="both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8"/>
          <w:sz w:val="20"/>
        </w:rPr>
        <w:t xml:space="preserve"> </w:t>
      </w:r>
      <w:r>
        <w:rPr>
          <w:sz w:val="20"/>
        </w:rPr>
        <w:t>údržbu;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4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8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896634" w:rsidRDefault="003E297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8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pokyny.</w:t>
      </w:r>
    </w:p>
    <w:p w:rsidR="00896634" w:rsidRDefault="00896634">
      <w:pPr>
        <w:jc w:val="both"/>
        <w:rPr>
          <w:sz w:val="20"/>
        </w:rPr>
        <w:sectPr w:rsidR="00896634">
          <w:pgSz w:w="12240" w:h="15840"/>
          <w:pgMar w:top="1060" w:right="1000" w:bottom="960" w:left="1540" w:header="0" w:footer="691" w:gutter="0"/>
          <w:cols w:space="708"/>
        </w:sectPr>
      </w:pPr>
    </w:p>
    <w:p w:rsidR="00896634" w:rsidRDefault="00896634">
      <w:pPr>
        <w:pStyle w:val="Zkladntext"/>
        <w:rPr>
          <w:sz w:val="26"/>
        </w:rPr>
      </w:pPr>
    </w:p>
    <w:p w:rsidR="00896634" w:rsidRDefault="00896634">
      <w:pPr>
        <w:pStyle w:val="Zkladntext"/>
        <w:spacing w:before="8"/>
        <w:rPr>
          <w:sz w:val="37"/>
        </w:rPr>
      </w:pPr>
    </w:p>
    <w:p w:rsidR="00896634" w:rsidRDefault="003E2978">
      <w:pPr>
        <w:pStyle w:val="Odstavecseseznamem"/>
        <w:numPr>
          <w:ilvl w:val="0"/>
          <w:numId w:val="7"/>
        </w:numPr>
        <w:tabs>
          <w:tab w:val="left" w:pos="446"/>
        </w:tabs>
        <w:spacing w:before="0"/>
        <w:rPr>
          <w:sz w:val="20"/>
        </w:rPr>
      </w:pPr>
      <w:r>
        <w:rPr>
          <w:sz w:val="20"/>
        </w:rPr>
        <w:t>Fo</w:t>
      </w:r>
      <w:r>
        <w:rPr>
          <w:sz w:val="20"/>
        </w:rPr>
        <w:t>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896634" w:rsidRDefault="003E2978">
      <w:pPr>
        <w:spacing w:before="73"/>
        <w:ind w:left="141" w:right="361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896634" w:rsidRDefault="003E2978">
      <w:pPr>
        <w:pStyle w:val="Nadpis2"/>
        <w:ind w:left="141" w:right="3621"/>
      </w:pPr>
      <w:r>
        <w:t>Práva a povinnosti Fondu</w:t>
      </w:r>
    </w:p>
    <w:p w:rsidR="00896634" w:rsidRDefault="00896634">
      <w:pPr>
        <w:sectPr w:rsidR="00896634">
          <w:pgSz w:w="12240" w:h="15840"/>
          <w:pgMar w:top="1060" w:right="1000" w:bottom="960" w:left="1540" w:header="0" w:footer="691" w:gutter="0"/>
          <w:cols w:num="2" w:space="708" w:equalWidth="0">
            <w:col w:w="1181" w:space="2326"/>
            <w:col w:w="6193"/>
          </w:cols>
        </w:sectPr>
      </w:pPr>
    </w:p>
    <w:p w:rsidR="00896634" w:rsidRDefault="003E2978">
      <w:pPr>
        <w:pStyle w:val="Odstavecseseznamem"/>
        <w:numPr>
          <w:ilvl w:val="1"/>
          <w:numId w:val="7"/>
        </w:numPr>
        <w:tabs>
          <w:tab w:val="left" w:pos="1240"/>
        </w:tabs>
        <w:ind w:right="131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896634" w:rsidRDefault="003E2978">
      <w:pPr>
        <w:pStyle w:val="Odstavecseseznamem"/>
        <w:numPr>
          <w:ilvl w:val="1"/>
          <w:numId w:val="7"/>
        </w:numPr>
        <w:tabs>
          <w:tab w:val="left" w:pos="1242"/>
        </w:tabs>
        <w:spacing w:before="119"/>
        <w:ind w:left="1241" w:right="14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896634" w:rsidRDefault="003E2978">
      <w:pPr>
        <w:pStyle w:val="Odstavecseseznamem"/>
        <w:numPr>
          <w:ilvl w:val="1"/>
          <w:numId w:val="7"/>
        </w:numPr>
        <w:tabs>
          <w:tab w:val="left" w:pos="1242"/>
        </w:tabs>
        <w:spacing w:before="121"/>
        <w:ind w:left="1241" w:right="131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</w:t>
      </w:r>
      <w:r>
        <w:rPr>
          <w:sz w:val="20"/>
        </w:rPr>
        <w:t>ných informací od příjemce podpory, bez prodlení pozastavit platbu podpory.</w:t>
      </w:r>
    </w:p>
    <w:p w:rsidR="00896634" w:rsidRDefault="00896634">
      <w:pPr>
        <w:pStyle w:val="Zkladntext"/>
        <w:spacing w:before="9"/>
        <w:rPr>
          <w:sz w:val="10"/>
        </w:rPr>
      </w:pPr>
    </w:p>
    <w:p w:rsidR="00896634" w:rsidRDefault="003E2978">
      <w:pPr>
        <w:pStyle w:val="Nadpis2"/>
        <w:spacing w:before="99"/>
        <w:ind w:right="2642"/>
      </w:pPr>
      <w:r>
        <w:t>VI.</w:t>
      </w:r>
    </w:p>
    <w:p w:rsidR="00896634" w:rsidRDefault="003E2978">
      <w:pPr>
        <w:spacing w:before="1"/>
        <w:ind w:left="2667" w:right="2643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896634" w:rsidRDefault="00896634">
      <w:pPr>
        <w:pStyle w:val="Zkladntext"/>
        <w:spacing w:before="12"/>
        <w:rPr>
          <w:b/>
          <w:sz w:val="17"/>
        </w:rPr>
      </w:pPr>
    </w:p>
    <w:p w:rsidR="00896634" w:rsidRDefault="003E2978">
      <w:pPr>
        <w:pStyle w:val="Odstavecseseznamem"/>
        <w:numPr>
          <w:ilvl w:val="0"/>
          <w:numId w:val="6"/>
        </w:numPr>
        <w:tabs>
          <w:tab w:val="left" w:pos="446"/>
        </w:tabs>
        <w:spacing w:before="0"/>
        <w:ind w:right="141"/>
        <w:jc w:val="both"/>
        <w:rPr>
          <w:sz w:val="20"/>
        </w:rPr>
      </w:pPr>
      <w:r>
        <w:rPr>
          <w:sz w:val="20"/>
        </w:rPr>
        <w:t>Podpora bude poskytnuta bankovním převodem  peněžních  prostředků  z  bankovního  účtu  Fondu na bankovní účet příjemce podpory uvedený v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Smlouvě.</w:t>
      </w:r>
    </w:p>
    <w:p w:rsidR="00896634" w:rsidRDefault="003E2978">
      <w:pPr>
        <w:pStyle w:val="Odstavecseseznamem"/>
        <w:numPr>
          <w:ilvl w:val="0"/>
          <w:numId w:val="6"/>
        </w:numPr>
        <w:tabs>
          <w:tab w:val="left" w:pos="44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3"/>
          <w:sz w:val="20"/>
        </w:rPr>
        <w:t xml:space="preserve"> </w:t>
      </w:r>
      <w:r>
        <w:rPr>
          <w:sz w:val="20"/>
        </w:rPr>
        <w:t>výpisy,</w:t>
      </w:r>
      <w:r>
        <w:rPr>
          <w:spacing w:val="-4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dalšími</w:t>
      </w:r>
      <w:r>
        <w:rPr>
          <w:spacing w:val="-4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smyslu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2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896634" w:rsidRDefault="003E2978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 xml:space="preserve">Zálohová platba bude v souladu s vyhláškou č. 323/2002 Sb., o rozpočtové skladbě, ve znění pozdějších </w:t>
      </w:r>
      <w:r>
        <w:rPr>
          <w:sz w:val="20"/>
        </w:rPr>
        <w:t>předpisů, proplacena dle převažujícího typu investičních nebo a neinvestičních způsobilých výdajů uvedených v rozpočtu projektu v AIS SFŽP ČR. Vyúčtování poskytnuté zálohy bude odpovídat typu 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:rsidR="00896634" w:rsidRDefault="003E2978">
      <w:pPr>
        <w:pStyle w:val="Odstavecseseznamem"/>
        <w:numPr>
          <w:ilvl w:val="0"/>
          <w:numId w:val="6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1 040 000,00 Kč (maximálně do výše 20 % z dotace) a převedena na bankovní účet příjemce podpory uvedený v této Smlouvě</w:t>
      </w:r>
      <w:r>
        <w:rPr>
          <w:sz w:val="20"/>
        </w:rPr>
        <w:t xml:space="preserve"> zpravidla do 10 pracovních dnů ode dne platnosti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896634" w:rsidRDefault="003E2978">
      <w:pPr>
        <w:pStyle w:val="Odstavecseseznamem"/>
        <w:numPr>
          <w:ilvl w:val="0"/>
          <w:numId w:val="6"/>
        </w:numPr>
        <w:tabs>
          <w:tab w:val="left" w:pos="44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akce a odečteno v žádosti o průběžnou / konečnou platbu až do vyúčtování plné výše poskytnuté zálohy.    V případě, že zálohová platba nebyla plně vyúčtována v rámci první průběžné monitorovací zprávy, použije se stejná zásada pro následující monitorovací </w:t>
      </w:r>
      <w:r>
        <w:rPr>
          <w:sz w:val="20"/>
        </w:rPr>
        <w:t>zprávu. Je-li celková částka zálohové platby plně vyúčtována a podaná žádost o platbu obsahuje další způsobilé výdaje nad vyúčtování, Fond vyplatí příjemci podpory podporu  připadající na tyto  způsobilé výdaje na základě schválených vynaložených  a uhraze</w:t>
      </w:r>
      <w:r>
        <w:rPr>
          <w:sz w:val="20"/>
        </w:rPr>
        <w:t>ných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výdajů.</w:t>
      </w:r>
    </w:p>
    <w:p w:rsidR="00896634" w:rsidRDefault="003E2978">
      <w:pPr>
        <w:pStyle w:val="Odstavecseseznamem"/>
        <w:numPr>
          <w:ilvl w:val="0"/>
          <w:numId w:val="6"/>
        </w:numPr>
        <w:tabs>
          <w:tab w:val="left" w:pos="446"/>
        </w:tabs>
        <w:ind w:right="137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896634" w:rsidRDefault="00896634">
      <w:pPr>
        <w:pStyle w:val="Zkladntext"/>
        <w:rPr>
          <w:sz w:val="26"/>
        </w:rPr>
      </w:pPr>
    </w:p>
    <w:p w:rsidR="00896634" w:rsidRDefault="00896634">
      <w:pPr>
        <w:pStyle w:val="Zkladntext"/>
        <w:spacing w:before="1"/>
        <w:rPr>
          <w:sz w:val="21"/>
        </w:rPr>
      </w:pPr>
    </w:p>
    <w:p w:rsidR="00896634" w:rsidRDefault="003E2978">
      <w:pPr>
        <w:pStyle w:val="Nadpis2"/>
        <w:ind w:right="2642"/>
      </w:pPr>
      <w:r>
        <w:t>VII.</w:t>
      </w:r>
    </w:p>
    <w:p w:rsidR="00896634" w:rsidRDefault="003E2978">
      <w:pPr>
        <w:ind w:left="2669" w:right="2643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896634" w:rsidRDefault="00896634">
      <w:pPr>
        <w:pStyle w:val="Zkladntext"/>
        <w:spacing w:before="1"/>
        <w:rPr>
          <w:b/>
          <w:sz w:val="18"/>
        </w:rPr>
      </w:pPr>
    </w:p>
    <w:p w:rsidR="00896634" w:rsidRDefault="003E2978">
      <w:pPr>
        <w:pStyle w:val="Odstavecseseznamem"/>
        <w:numPr>
          <w:ilvl w:val="0"/>
          <w:numId w:val="5"/>
        </w:numPr>
        <w:tabs>
          <w:tab w:val="left" w:pos="44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</w:t>
      </w:r>
      <w:r>
        <w:rPr>
          <w:spacing w:val="23"/>
          <w:sz w:val="20"/>
        </w:rPr>
        <w:t xml:space="preserve"> </w:t>
      </w:r>
      <w:r>
        <w:rPr>
          <w:sz w:val="20"/>
        </w:rPr>
        <w:t>smyslu příslušných ustanovení zákona č. 218/2000 Sb., o rozpočtových pravidlech</w:t>
      </w:r>
    </w:p>
    <w:p w:rsidR="00896634" w:rsidRDefault="00896634">
      <w:pPr>
        <w:jc w:val="both"/>
        <w:rPr>
          <w:sz w:val="20"/>
        </w:rPr>
        <w:sectPr w:rsidR="00896634">
          <w:type w:val="continuous"/>
          <w:pgSz w:w="12240" w:h="15840"/>
          <w:pgMar w:top="940" w:right="1000" w:bottom="880" w:left="1540" w:header="708" w:footer="708" w:gutter="0"/>
          <w:cols w:space="708"/>
        </w:sectPr>
      </w:pPr>
    </w:p>
    <w:p w:rsidR="00896634" w:rsidRDefault="003E2978">
      <w:pPr>
        <w:pStyle w:val="Zkladntext"/>
        <w:spacing w:before="73"/>
        <w:ind w:left="445"/>
        <w:jc w:val="both"/>
      </w:pPr>
      <w:r>
        <w:lastRenderedPageBreak/>
        <w:t xml:space="preserve">a o změně některých souvisejících zákonů </w:t>
      </w:r>
      <w:r>
        <w:t>(rozpočtová pravidla), v platném znění.</w:t>
      </w:r>
    </w:p>
    <w:p w:rsidR="00896634" w:rsidRDefault="003E2978">
      <w:pPr>
        <w:pStyle w:val="Odstavecseseznamem"/>
        <w:numPr>
          <w:ilvl w:val="0"/>
          <w:numId w:val="5"/>
        </w:numPr>
        <w:tabs>
          <w:tab w:val="left" w:pos="446"/>
        </w:tabs>
        <w:ind w:right="128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896634" w:rsidRDefault="003E2978">
      <w:pPr>
        <w:pStyle w:val="Odstavecseseznamem"/>
        <w:numPr>
          <w:ilvl w:val="0"/>
          <w:numId w:val="5"/>
        </w:numPr>
        <w:tabs>
          <w:tab w:val="left" w:pos="44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Naplnění čl. II odst. 4 nebo čl. IV odst. 1 písm. a</w:t>
      </w:r>
      <w:r>
        <w:rPr>
          <w:sz w:val="20"/>
        </w:rPr>
        <w:t>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6"/>
          <w:sz w:val="20"/>
        </w:rPr>
        <w:t xml:space="preserve"> </w:t>
      </w:r>
      <w:r>
        <w:rPr>
          <w:sz w:val="20"/>
        </w:rPr>
        <w:t>výši:</w:t>
      </w:r>
    </w:p>
    <w:p w:rsidR="00896634" w:rsidRDefault="003E2978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19"/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896634" w:rsidRDefault="003E2978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896634" w:rsidRDefault="003E2978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21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896634" w:rsidRDefault="003E2978">
      <w:pPr>
        <w:pStyle w:val="Zkladntext"/>
        <w:spacing w:before="120"/>
        <w:ind w:left="445" w:right="139"/>
        <w:jc w:val="both"/>
      </w:pPr>
      <w:r>
        <w:t>V případě nesplnění nebo částečného naplnění více než jednoho ze závazných indikátorů akce dle čl. II odst. 4, bude odvod</w:t>
      </w:r>
      <w:r>
        <w:t xml:space="preserve"> uplatněn pouze v sazbě dle indikátoru, u něhož došlo k nejnižšímu naplnění stanoveného účelu.</w:t>
      </w:r>
    </w:p>
    <w:p w:rsidR="00896634" w:rsidRDefault="003E2978">
      <w:pPr>
        <w:pStyle w:val="Odstavecseseznamem"/>
        <w:numPr>
          <w:ilvl w:val="0"/>
          <w:numId w:val="5"/>
        </w:numPr>
        <w:tabs>
          <w:tab w:val="left" w:pos="44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</w:t>
      </w:r>
      <w:r>
        <w:rPr>
          <w:sz w:val="20"/>
        </w:rPr>
        <w:t>no za porušení podmínek poskytnutí podpory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896634" w:rsidRDefault="003E2978">
      <w:pPr>
        <w:pStyle w:val="Odstavecseseznamem"/>
        <w:numPr>
          <w:ilvl w:val="0"/>
          <w:numId w:val="5"/>
        </w:numPr>
        <w:tabs>
          <w:tab w:val="left" w:pos="446"/>
        </w:tabs>
        <w:spacing w:before="125" w:line="237" w:lineRule="auto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896634" w:rsidRDefault="003E2978">
      <w:pPr>
        <w:pStyle w:val="Odstavecseseznamem"/>
        <w:numPr>
          <w:ilvl w:val="0"/>
          <w:numId w:val="5"/>
        </w:numPr>
        <w:tabs>
          <w:tab w:val="left" w:pos="446"/>
        </w:tabs>
        <w:spacing w:before="121"/>
        <w:ind w:right="140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96634" w:rsidRDefault="00896634">
      <w:pPr>
        <w:pStyle w:val="Zkladntext"/>
        <w:spacing w:before="9"/>
        <w:rPr>
          <w:sz w:val="10"/>
        </w:rPr>
      </w:pPr>
    </w:p>
    <w:p w:rsidR="00896634" w:rsidRDefault="003E2978">
      <w:pPr>
        <w:pStyle w:val="Nadpis2"/>
        <w:spacing w:before="99"/>
        <w:ind w:right="2642"/>
      </w:pPr>
      <w:r>
        <w:t>VIII.</w:t>
      </w:r>
    </w:p>
    <w:p w:rsidR="00896634" w:rsidRDefault="003E2978">
      <w:pPr>
        <w:ind w:left="2669" w:right="2643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896634" w:rsidRDefault="00896634">
      <w:pPr>
        <w:pStyle w:val="Zkladntext"/>
        <w:spacing w:before="1"/>
        <w:rPr>
          <w:b/>
          <w:sz w:val="18"/>
        </w:rPr>
      </w:pPr>
    </w:p>
    <w:p w:rsidR="00896634" w:rsidRDefault="003E2978">
      <w:pPr>
        <w:pStyle w:val="Odstavecseseznamem"/>
        <w:numPr>
          <w:ilvl w:val="0"/>
          <w:numId w:val="4"/>
        </w:numPr>
        <w:tabs>
          <w:tab w:val="left" w:pos="446"/>
        </w:tabs>
        <w:spacing w:before="1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896634" w:rsidRDefault="003E2978">
      <w:pPr>
        <w:pStyle w:val="Odstavecseseznamem"/>
        <w:numPr>
          <w:ilvl w:val="1"/>
          <w:numId w:val="4"/>
        </w:numPr>
        <w:tabs>
          <w:tab w:val="left" w:pos="882"/>
        </w:tabs>
        <w:spacing w:before="118"/>
        <w:ind w:left="881" w:right="134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896634" w:rsidRDefault="003E2978">
      <w:pPr>
        <w:pStyle w:val="Odstavecseseznamem"/>
        <w:numPr>
          <w:ilvl w:val="1"/>
          <w:numId w:val="4"/>
        </w:numPr>
        <w:tabs>
          <w:tab w:val="left" w:pos="882"/>
        </w:tabs>
        <w:ind w:left="881" w:right="135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5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</w:t>
      </w:r>
      <w:r>
        <w:rPr>
          <w:sz w:val="20"/>
        </w:rPr>
        <w:t xml:space="preserve"> Smlouvě, tak v monitorovacích zprávách, včetně žádostí o platbu a neoprávněného použití prostředků;</w:t>
      </w:r>
    </w:p>
    <w:p w:rsidR="00896634" w:rsidRDefault="003E2978">
      <w:pPr>
        <w:pStyle w:val="Odstavecseseznamem"/>
        <w:numPr>
          <w:ilvl w:val="1"/>
          <w:numId w:val="4"/>
        </w:numPr>
        <w:tabs>
          <w:tab w:val="left" w:pos="882"/>
        </w:tabs>
        <w:spacing w:before="122"/>
        <w:ind w:left="881" w:right="13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896634" w:rsidRDefault="00896634">
      <w:pPr>
        <w:pStyle w:val="Zkladntext"/>
        <w:spacing w:before="12"/>
        <w:rPr>
          <w:sz w:val="17"/>
        </w:rPr>
      </w:pPr>
    </w:p>
    <w:p w:rsidR="00896634" w:rsidRDefault="003E2978">
      <w:pPr>
        <w:pStyle w:val="Nadpis2"/>
        <w:ind w:right="2643"/>
      </w:pPr>
      <w:r>
        <w:t>IX.</w:t>
      </w:r>
    </w:p>
    <w:p w:rsidR="00896634" w:rsidRDefault="003E2978">
      <w:pPr>
        <w:ind w:left="2669" w:right="2643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896634" w:rsidRDefault="00896634">
      <w:pPr>
        <w:pStyle w:val="Zkladntext"/>
        <w:spacing w:before="2"/>
        <w:rPr>
          <w:b/>
          <w:sz w:val="18"/>
        </w:rPr>
      </w:pPr>
    </w:p>
    <w:p w:rsidR="00896634" w:rsidRDefault="003E2978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896634" w:rsidRDefault="003E2978">
      <w:pPr>
        <w:pStyle w:val="Odstavecseseznamem"/>
        <w:numPr>
          <w:ilvl w:val="0"/>
          <w:numId w:val="3"/>
        </w:numPr>
        <w:tabs>
          <w:tab w:val="left" w:pos="446"/>
        </w:tabs>
        <w:spacing w:before="119"/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19"/>
          <w:sz w:val="20"/>
        </w:rPr>
        <w:t xml:space="preserve"> </w:t>
      </w:r>
      <w:r>
        <w:rPr>
          <w:sz w:val="20"/>
        </w:rPr>
        <w:t>formě.</w:t>
      </w:r>
    </w:p>
    <w:p w:rsidR="00896634" w:rsidRDefault="003E2978">
      <w:pPr>
        <w:pStyle w:val="Odstavecseseznamem"/>
        <w:numPr>
          <w:ilvl w:val="0"/>
          <w:numId w:val="3"/>
        </w:numPr>
        <w:tabs>
          <w:tab w:val="left" w:pos="446"/>
        </w:tabs>
        <w:ind w:right="13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</w:t>
      </w:r>
      <w:r>
        <w:rPr>
          <w:sz w:val="20"/>
        </w:rPr>
        <w:t>řeně, zejména jeho části</w:t>
      </w:r>
      <w:r>
        <w:rPr>
          <w:spacing w:val="3"/>
          <w:sz w:val="20"/>
        </w:rPr>
        <w:t xml:space="preserve"> </w:t>
      </w:r>
      <w:r>
        <w:rPr>
          <w:sz w:val="20"/>
        </w:rPr>
        <w:t>čtvrté.</w:t>
      </w:r>
    </w:p>
    <w:p w:rsidR="00896634" w:rsidRDefault="00896634">
      <w:pPr>
        <w:jc w:val="both"/>
        <w:rPr>
          <w:sz w:val="20"/>
        </w:rPr>
        <w:sectPr w:rsidR="00896634">
          <w:pgSz w:w="12240" w:h="15840"/>
          <w:pgMar w:top="1060" w:right="1000" w:bottom="960" w:left="1540" w:header="0" w:footer="691" w:gutter="0"/>
          <w:cols w:space="708"/>
        </w:sectPr>
      </w:pPr>
    </w:p>
    <w:p w:rsidR="00896634" w:rsidRDefault="003E2978">
      <w:pPr>
        <w:pStyle w:val="Odstavecseseznamem"/>
        <w:numPr>
          <w:ilvl w:val="0"/>
          <w:numId w:val="3"/>
        </w:numPr>
        <w:tabs>
          <w:tab w:val="left" w:pos="446"/>
        </w:tabs>
        <w:spacing w:before="73"/>
        <w:ind w:right="137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896634" w:rsidRDefault="003E2978">
      <w:pPr>
        <w:pStyle w:val="Odstavecseseznamem"/>
        <w:numPr>
          <w:ilvl w:val="0"/>
          <w:numId w:val="3"/>
        </w:numPr>
        <w:tabs>
          <w:tab w:val="left" w:pos="44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 podpory souhlasí se zveřejněním celého textu této Smlouv</w:t>
      </w:r>
      <w:r>
        <w:rPr>
          <w:sz w:val="20"/>
        </w:rPr>
        <w:t>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896634" w:rsidRDefault="00896634">
      <w:pPr>
        <w:pStyle w:val="Zkladntext"/>
        <w:rPr>
          <w:sz w:val="26"/>
        </w:rPr>
      </w:pPr>
    </w:p>
    <w:p w:rsidR="00896634" w:rsidRDefault="00896634">
      <w:pPr>
        <w:pStyle w:val="Zkladntext"/>
        <w:rPr>
          <w:sz w:val="19"/>
        </w:rPr>
      </w:pPr>
    </w:p>
    <w:p w:rsidR="00896634" w:rsidRDefault="003E2978">
      <w:pPr>
        <w:pStyle w:val="Nadpis1"/>
        <w:tabs>
          <w:tab w:val="left" w:pos="5922"/>
        </w:tabs>
      </w:pPr>
      <w:r>
        <w:t>v</w:t>
      </w:r>
      <w:r>
        <w:tab/>
        <w:t>v</w:t>
      </w:r>
      <w:r>
        <w:rPr>
          <w:spacing w:val="-2"/>
        </w:rPr>
        <w:t xml:space="preserve"> </w:t>
      </w:r>
      <w:r>
        <w:t>Praze</w:t>
      </w:r>
    </w:p>
    <w:p w:rsidR="00896634" w:rsidRDefault="00896634">
      <w:pPr>
        <w:pStyle w:val="Zkladntext"/>
        <w:rPr>
          <w:sz w:val="24"/>
        </w:rPr>
      </w:pPr>
    </w:p>
    <w:p w:rsidR="00896634" w:rsidRDefault="003E2978">
      <w:pPr>
        <w:tabs>
          <w:tab w:val="left" w:pos="5922"/>
        </w:tabs>
        <w:ind w:left="445"/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  <w:t>dne:</w:t>
      </w:r>
    </w:p>
    <w:p w:rsidR="00896634" w:rsidRDefault="00896634">
      <w:pPr>
        <w:pStyle w:val="Zkladntext"/>
        <w:rPr>
          <w:sz w:val="32"/>
        </w:rPr>
      </w:pPr>
    </w:p>
    <w:p w:rsidR="00896634" w:rsidRDefault="00896634">
      <w:pPr>
        <w:pStyle w:val="Zkladntext"/>
        <w:rPr>
          <w:sz w:val="32"/>
        </w:rPr>
      </w:pPr>
    </w:p>
    <w:p w:rsidR="00896634" w:rsidRDefault="00896634">
      <w:pPr>
        <w:pStyle w:val="Zkladntext"/>
        <w:spacing w:before="4"/>
        <w:rPr>
          <w:sz w:val="46"/>
        </w:rPr>
      </w:pPr>
    </w:p>
    <w:p w:rsidR="00896634" w:rsidRDefault="003E2978">
      <w:pPr>
        <w:pStyle w:val="Zkladntext"/>
        <w:tabs>
          <w:tab w:val="left" w:pos="6642"/>
        </w:tabs>
        <w:ind w:left="881"/>
      </w:pPr>
      <w:r>
        <w:t>…………………………………………….</w:t>
      </w:r>
      <w:r>
        <w:tab/>
        <w:t>…………………………………………….</w:t>
      </w:r>
    </w:p>
    <w:p w:rsidR="00896634" w:rsidRDefault="003E2978">
      <w:pPr>
        <w:tabs>
          <w:tab w:val="left" w:pos="7410"/>
        </w:tabs>
        <w:spacing w:before="1"/>
        <w:ind w:left="99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</w:p>
    <w:p w:rsidR="00896634" w:rsidRDefault="00896634">
      <w:pPr>
        <w:pStyle w:val="Zkladntext"/>
        <w:rPr>
          <w:i/>
          <w:sz w:val="26"/>
        </w:rPr>
      </w:pPr>
    </w:p>
    <w:p w:rsidR="00896634" w:rsidRDefault="00896634">
      <w:pPr>
        <w:pStyle w:val="Zkladntext"/>
        <w:spacing w:before="1"/>
        <w:rPr>
          <w:i/>
          <w:sz w:val="23"/>
        </w:rPr>
      </w:pPr>
    </w:p>
    <w:p w:rsidR="00896634" w:rsidRDefault="003E2978">
      <w:pPr>
        <w:pStyle w:val="Zkladntext"/>
        <w:ind w:left="162"/>
      </w:pPr>
      <w:r>
        <w:t>Přílohy:</w:t>
      </w:r>
    </w:p>
    <w:p w:rsidR="00896634" w:rsidRDefault="00896634">
      <w:pPr>
        <w:pStyle w:val="Zkladntext"/>
        <w:spacing w:before="12"/>
        <w:rPr>
          <w:sz w:val="19"/>
        </w:rPr>
      </w:pPr>
    </w:p>
    <w:p w:rsidR="00896634" w:rsidRDefault="003E2978">
      <w:pPr>
        <w:pStyle w:val="Zkladntext"/>
        <w:ind w:left="162"/>
      </w:pPr>
      <w:r>
        <w:t>Příloha č. 1 – Stanovení výše odvodů, které se použijí v případě porušení povinností při zadávání zakázek/ veřejných zakázek</w:t>
      </w:r>
    </w:p>
    <w:p w:rsidR="00896634" w:rsidRDefault="00896634">
      <w:pPr>
        <w:sectPr w:rsidR="00896634">
          <w:pgSz w:w="12240" w:h="15840"/>
          <w:pgMar w:top="1060" w:right="1000" w:bottom="960" w:left="1540" w:header="0" w:footer="691" w:gutter="0"/>
          <w:cols w:space="708"/>
        </w:sectPr>
      </w:pPr>
    </w:p>
    <w:p w:rsidR="00896634" w:rsidRDefault="003E2978">
      <w:pPr>
        <w:pStyle w:val="Zkladntext"/>
        <w:spacing w:before="73" w:line="264" w:lineRule="auto"/>
        <w:ind w:left="162"/>
      </w:pPr>
      <w:r>
        <w:lastRenderedPageBreak/>
        <w:t>Příloha č. 1 – Smlouva o poskytnutí podpory z Programu „Životní prostředí ekosystémy a změna klimatu“ podporovaného z</w:t>
      </w:r>
      <w:r>
        <w:t xml:space="preserve"> Norských fondů 2014-2021</w:t>
      </w:r>
    </w:p>
    <w:p w:rsidR="00896634" w:rsidRDefault="00896634">
      <w:pPr>
        <w:pStyle w:val="Zkladntext"/>
        <w:spacing w:before="1"/>
        <w:rPr>
          <w:sz w:val="27"/>
        </w:rPr>
      </w:pPr>
    </w:p>
    <w:p w:rsidR="00896634" w:rsidRDefault="003E2978">
      <w:pPr>
        <w:pStyle w:val="Nadpis2"/>
        <w:spacing w:line="264" w:lineRule="auto"/>
        <w:ind w:left="162"/>
        <w:jc w:val="left"/>
      </w:pPr>
      <w:r>
        <w:t>Stanovení výše odvodů, které se použijí v případě porušení povinností při zadávání zakázek/ veřejných zakázek</w:t>
      </w:r>
    </w:p>
    <w:p w:rsidR="00896634" w:rsidRDefault="00896634">
      <w:pPr>
        <w:pStyle w:val="Zkladntext"/>
        <w:spacing w:before="1"/>
        <w:rPr>
          <w:b/>
          <w:sz w:val="27"/>
        </w:rPr>
      </w:pPr>
    </w:p>
    <w:p w:rsidR="00896634" w:rsidRDefault="003E2978">
      <w:pPr>
        <w:pStyle w:val="Odstavecseseznamem"/>
        <w:numPr>
          <w:ilvl w:val="0"/>
          <w:numId w:val="2"/>
        </w:numPr>
        <w:tabs>
          <w:tab w:val="left" w:pos="446"/>
        </w:tabs>
        <w:spacing w:before="1"/>
        <w:rPr>
          <w:b/>
          <w:sz w:val="20"/>
        </w:rPr>
      </w:pPr>
      <w:r>
        <w:rPr>
          <w:b/>
          <w:sz w:val="20"/>
        </w:rPr>
        <w:t>OBECNÁ USTANOVENÍ</w:t>
      </w:r>
    </w:p>
    <w:p w:rsidR="00896634" w:rsidRDefault="00896634">
      <w:pPr>
        <w:pStyle w:val="Zkladntext"/>
        <w:rPr>
          <w:b/>
        </w:rPr>
      </w:pPr>
    </w:p>
    <w:p w:rsidR="00896634" w:rsidRDefault="003E297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</w:t>
      </w:r>
      <w:r>
        <w:rPr>
          <w:sz w:val="20"/>
        </w:rPr>
        <w:t>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</w:p>
    <w:p w:rsidR="00896634" w:rsidRDefault="003E2978">
      <w:pPr>
        <w:pStyle w:val="Zkladntext"/>
        <w:spacing w:before="2"/>
        <w:ind w:left="870"/>
        <w:jc w:val="both"/>
      </w:pPr>
      <w:r>
        <w:t>o veřejných zakázkách, ve znění účinném v době zahájení zadávacího řízení (dále</w:t>
      </w:r>
      <w:r>
        <w:rPr>
          <w:spacing w:val="53"/>
        </w:rPr>
        <w:t xml:space="preserve"> </w:t>
      </w:r>
      <w:r>
        <w:t>souhrnně jen</w:t>
      </w:r>
    </w:p>
    <w:p w:rsidR="00896634" w:rsidRDefault="003E2978">
      <w:pPr>
        <w:pStyle w:val="Zkladntext"/>
        <w:spacing w:before="80" w:line="312" w:lineRule="auto"/>
        <w:ind w:left="870" w:right="134"/>
        <w:jc w:val="both"/>
      </w:pPr>
      <w:r>
        <w:t>„zákon“) a/nebo  nedodržení postupu  stanoveného v Pokynech  pro zadávání veřejných  zakázek  v rámci FM Norska 2</w:t>
      </w:r>
      <w:r>
        <w:t>014-2020,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896634" w:rsidRDefault="003E297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9"/>
        <w:jc w:val="both"/>
        <w:rPr>
          <w:sz w:val="20"/>
        </w:rPr>
      </w:pPr>
      <w:r>
        <w:rPr>
          <w:sz w:val="20"/>
        </w:rPr>
        <w:t>V  případě, že identifikované porušení nemohlo mít  ani potenciální finanční  dopad, nestanoví    se za něj žádný</w:t>
      </w:r>
      <w:r>
        <w:rPr>
          <w:spacing w:val="-5"/>
          <w:sz w:val="20"/>
        </w:rPr>
        <w:t xml:space="preserve"> </w:t>
      </w:r>
      <w:r>
        <w:rPr>
          <w:sz w:val="20"/>
        </w:rPr>
        <w:t>odvod.</w:t>
      </w:r>
    </w:p>
    <w:p w:rsidR="00896634" w:rsidRDefault="003E297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Odvod bude vždy stanoven paušální sazbou d</w:t>
      </w:r>
      <w:r>
        <w:rPr>
          <w:sz w:val="20"/>
        </w:rPr>
        <w:t>le kapitoly B. – Typy porušení a sazby odvodů této Přílohy.</w:t>
      </w:r>
    </w:p>
    <w:p w:rsidR="00896634" w:rsidRDefault="003E297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vyskytlo.</w:t>
      </w:r>
    </w:p>
    <w:p w:rsidR="00896634" w:rsidRDefault="003E297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3"/>
        <w:jc w:val="both"/>
        <w:rPr>
          <w:sz w:val="20"/>
        </w:rPr>
      </w:pPr>
      <w:r>
        <w:rPr>
          <w:sz w:val="20"/>
        </w:rPr>
        <w:t>V případě, že u veřejné zakáz</w:t>
      </w:r>
      <w:r>
        <w:rPr>
          <w:sz w:val="20"/>
        </w:rPr>
        <w:t>ky bude identifikováno více porušení, výše odvodů stanovených       za jednotlivá porušení se nesčítají a výsledný odvod je stanoven s ohledem na nejzávažnější porušení.</w:t>
      </w:r>
    </w:p>
    <w:p w:rsidR="00896634" w:rsidRDefault="003E297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Závažnost porušení je posuzována zejména  z  hlediska  jeho  skutečného  nebo  možného</w:t>
      </w:r>
      <w:r>
        <w:rPr>
          <w:sz w:val="20"/>
        </w:rPr>
        <w:t xml:space="preserve">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</w:t>
      </w:r>
      <w:r>
        <w:rPr>
          <w:sz w:val="20"/>
        </w:rPr>
        <w:t>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6"/>
          <w:sz w:val="20"/>
        </w:rPr>
        <w:t xml:space="preserve"> </w:t>
      </w:r>
      <w:r>
        <w:rPr>
          <w:sz w:val="20"/>
        </w:rPr>
        <w:t>zadána.</w:t>
      </w:r>
    </w:p>
    <w:p w:rsidR="00896634" w:rsidRDefault="003E297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4"/>
          <w:sz w:val="20"/>
        </w:rPr>
        <w:t xml:space="preserve"> </w:t>
      </w:r>
      <w:r>
        <w:rPr>
          <w:sz w:val="20"/>
        </w:rPr>
        <w:t>přiměřenosti.</w:t>
      </w:r>
    </w:p>
    <w:p w:rsidR="00896634" w:rsidRDefault="00896634">
      <w:pPr>
        <w:spacing w:line="312" w:lineRule="auto"/>
        <w:jc w:val="both"/>
        <w:rPr>
          <w:sz w:val="20"/>
        </w:rPr>
        <w:sectPr w:rsidR="00896634">
          <w:pgSz w:w="12240" w:h="15840"/>
          <w:pgMar w:top="1060" w:right="1000" w:bottom="960" w:left="1540" w:header="0" w:footer="691" w:gutter="0"/>
          <w:cols w:space="708"/>
        </w:sectPr>
      </w:pPr>
    </w:p>
    <w:p w:rsidR="00896634" w:rsidRDefault="003E2978">
      <w:pPr>
        <w:pStyle w:val="Nadpis2"/>
        <w:numPr>
          <w:ilvl w:val="0"/>
          <w:numId w:val="2"/>
        </w:numPr>
        <w:tabs>
          <w:tab w:val="left" w:pos="446"/>
        </w:tabs>
        <w:spacing w:before="73"/>
      </w:pPr>
      <w:r>
        <w:lastRenderedPageBreak/>
        <w:t>TYPY PORUŠENÍ A SAZBY</w:t>
      </w:r>
      <w:r>
        <w:rPr>
          <w:spacing w:val="-4"/>
        </w:rPr>
        <w:t xml:space="preserve"> </w:t>
      </w:r>
      <w:r>
        <w:t>ODVODŮ</w:t>
      </w:r>
    </w:p>
    <w:p w:rsidR="00896634" w:rsidRDefault="00896634">
      <w:pPr>
        <w:pStyle w:val="Zkladntext"/>
        <w:rPr>
          <w:b/>
        </w:rPr>
      </w:pPr>
    </w:p>
    <w:p w:rsidR="00896634" w:rsidRDefault="00896634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89663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89663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896634" w:rsidRDefault="003E2978">
            <w:pPr>
              <w:pStyle w:val="TableParagraph"/>
              <w:spacing w:before="1"/>
              <w:ind w:right="670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896634" w:rsidRDefault="003E297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896634" w:rsidRDefault="003E2978">
            <w:pPr>
              <w:pStyle w:val="TableParagraph"/>
              <w:spacing w:before="1"/>
              <w:ind w:right="513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9663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96634" w:rsidRDefault="003E2978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896634" w:rsidRDefault="003E2978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896634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896634" w:rsidRDefault="003E297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896634" w:rsidRDefault="003E2978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896634" w:rsidRDefault="003E297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896634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96634" w:rsidRDefault="003E2978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896634" w:rsidRDefault="003E2978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896634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896634" w:rsidRDefault="003E2978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896634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96634" w:rsidRDefault="003E2978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896634" w:rsidRDefault="003E297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předběžných nabídek nebo žádostí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96634" w:rsidRDefault="003E2978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 že jejich délka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nedosahovala minimálních lhůt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896634" w:rsidRDefault="003E2978"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896634" w:rsidRDefault="003E297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</w:t>
            </w:r>
            <w:r>
              <w:rPr>
                <w:sz w:val="20"/>
              </w:rPr>
              <w:t>ovala, přiměřeně tuto lhůtu</w:t>
            </w:r>
          </w:p>
          <w:p w:rsidR="00896634" w:rsidRDefault="003E297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896634">
        <w:trPr>
          <w:trHeight w:val="177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14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  <w:tr w:rsidR="00896634">
        <w:trPr>
          <w:trHeight w:val="101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</w:t>
            </w:r>
          </w:p>
        </w:tc>
      </w:tr>
    </w:tbl>
    <w:p w:rsidR="00896634" w:rsidRDefault="00896634">
      <w:pPr>
        <w:rPr>
          <w:sz w:val="20"/>
        </w:rPr>
        <w:sectPr w:rsidR="00896634">
          <w:pgSz w:w="12240" w:h="15840"/>
          <w:pgMar w:top="1060" w:right="1000" w:bottom="96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89663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896634">
        <w:trPr>
          <w:trHeight w:val="235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 w:right="1200"/>
              <w:jc w:val="both"/>
              <w:rPr>
                <w:sz w:val="20"/>
              </w:rPr>
            </w:pPr>
            <w:r>
              <w:rPr>
                <w:sz w:val="20"/>
              </w:rPr>
              <w:t>nedosahuje 50 %) nebo</w:t>
            </w:r>
          </w:p>
          <w:p w:rsidR="00896634" w:rsidRDefault="003E2978">
            <w:pPr>
              <w:pStyle w:val="TableParagraph"/>
              <w:spacing w:before="1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896634" w:rsidRDefault="003E2978">
            <w:pPr>
              <w:pStyle w:val="TableParagraph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896634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896634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896634" w:rsidRDefault="003E297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896634" w:rsidRDefault="003E2978">
            <w:pPr>
              <w:pStyle w:val="TableParagraph"/>
              <w:spacing w:before="2"/>
              <w:ind w:right="1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896634" w:rsidRDefault="003E2978">
            <w:pPr>
              <w:pStyle w:val="TableParagraph"/>
              <w:spacing w:before="2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50 % stanovené lhůty pro doručení nabídek</w:t>
            </w:r>
          </w:p>
        </w:tc>
      </w:tr>
      <w:tr w:rsidR="00896634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896634" w:rsidRDefault="003E2978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896634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98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896634" w:rsidRDefault="003E2978">
            <w:pPr>
              <w:pStyle w:val="TableParagraph"/>
              <w:ind w:left="112" w:right="375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96634" w:rsidRDefault="003E297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896634" w:rsidRDefault="003E2978">
            <w:pPr>
              <w:pStyle w:val="TableParagraph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896634">
        <w:trPr>
          <w:trHeight w:val="74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896634" w:rsidRDefault="003E297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96634" w:rsidRDefault="003E2978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896634" w:rsidRDefault="003E2978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896634" w:rsidRDefault="003E297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 tuto skutečnost uveřejnil</w:t>
            </w:r>
          </w:p>
          <w:p w:rsidR="00896634" w:rsidRDefault="003E2978">
            <w:pPr>
              <w:pStyle w:val="TableParagraph"/>
              <w:spacing w:before="2"/>
              <w:ind w:right="94"/>
              <w:rPr>
                <w:sz w:val="20"/>
              </w:rPr>
            </w:pPr>
            <w:r>
              <w:rPr>
                <w:sz w:val="20"/>
              </w:rPr>
              <w:t>způsobem sta</w:t>
            </w:r>
            <w:r>
              <w:rPr>
                <w:sz w:val="20"/>
              </w:rPr>
              <w:t>noveným v zákoně nebo v Pokynech,</w:t>
            </w:r>
          </w:p>
          <w:p w:rsidR="00896634" w:rsidRDefault="003E2978">
            <w:pPr>
              <w:pStyle w:val="TableParagraph"/>
              <w:ind w:right="511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 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 řízení,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96634" w:rsidRDefault="003E2978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896634">
        <w:trPr>
          <w:trHeight w:val="317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95"/>
              <w:ind w:left="112" w:right="834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896634" w:rsidRDefault="003E2978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96634" w:rsidRDefault="003E2978">
            <w:pPr>
              <w:pStyle w:val="TableParagraph"/>
              <w:spacing w:before="1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96634" w:rsidRDefault="003E2978">
            <w:pPr>
              <w:pStyle w:val="TableParagraph"/>
              <w:spacing w:before="1"/>
              <w:ind w:left="112" w:right="268"/>
              <w:rPr>
                <w:sz w:val="20"/>
              </w:rPr>
            </w:pPr>
            <w:r>
              <w:rPr>
                <w:sz w:val="20"/>
              </w:rPr>
              <w:t xml:space="preserve">v důsledku nedodržení </w:t>
            </w:r>
            <w:r>
              <w:rPr>
                <w:spacing w:val="-3"/>
                <w:sz w:val="20"/>
              </w:rPr>
              <w:t xml:space="preserve">lhůty </w:t>
            </w:r>
            <w:r>
              <w:rPr>
                <w:sz w:val="20"/>
              </w:rPr>
              <w:t>pro 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896634" w:rsidRDefault="003E297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 dokumentace</w:t>
            </w:r>
          </w:p>
        </w:tc>
      </w:tr>
    </w:tbl>
    <w:p w:rsidR="00896634" w:rsidRDefault="00896634">
      <w:pPr>
        <w:rPr>
          <w:sz w:val="20"/>
        </w:rPr>
        <w:sectPr w:rsidR="00896634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89663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896634">
        <w:trPr>
          <w:trHeight w:val="136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148"/>
              <w:rPr>
                <w:sz w:val="20"/>
              </w:rPr>
            </w:pPr>
            <w:r>
              <w:rPr>
                <w:sz w:val="20"/>
              </w:rPr>
              <w:t>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9663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494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896634" w:rsidRDefault="003E297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513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896634" w:rsidRDefault="003E2978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zákonné podmínky pro takový postup, nebo v průběhu</w:t>
            </w:r>
          </w:p>
          <w:p w:rsidR="00896634" w:rsidRDefault="003E297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jednacího řízení s uveřejněním nebo v soutěžním dialogu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 změnil 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9663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896634" w:rsidRDefault="003E2978">
            <w:pPr>
              <w:pStyle w:val="TableParagraph"/>
              <w:spacing w:before="4" w:line="237" w:lineRule="auto"/>
              <w:ind w:left="112" w:right="82"/>
              <w:rPr>
                <w:sz w:val="20"/>
              </w:rPr>
            </w:pPr>
            <w:r>
              <w:rPr>
                <w:sz w:val="20"/>
              </w:rPr>
              <w:t>tohoto druhu řízení v zadávací dokumentaci, nebyl omezen</w:t>
            </w:r>
          </w:p>
          <w:p w:rsidR="00896634" w:rsidRDefault="003E2978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896634" w:rsidRDefault="003E2978">
            <w:pPr>
              <w:pStyle w:val="TableParagraph"/>
              <w:ind w:left="112" w:right="104"/>
              <w:rPr>
                <w:sz w:val="20"/>
              </w:rPr>
            </w:pPr>
            <w:r>
              <w:rPr>
                <w:sz w:val="20"/>
              </w:rPr>
              <w:t>dodavatelů, kteří mohli podat nabídku nebo žádost o účast, a současně byl zajištěn rovný přístup ke všem účastníkům, kteří podali nabídku či žádost o účast</w:t>
            </w:r>
          </w:p>
        </w:tc>
      </w:tr>
      <w:tr w:rsidR="00896634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896634" w:rsidRDefault="003E2978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elektronické aukce, elektronické katalogy, centralizované</w:t>
            </w:r>
          </w:p>
          <w:p w:rsidR="00896634" w:rsidRDefault="003E2978">
            <w:pPr>
              <w:pStyle w:val="TableParagraph"/>
              <w:ind w:right="488"/>
              <w:rPr>
                <w:sz w:val="20"/>
              </w:rPr>
            </w:pPr>
            <w:r>
              <w:rPr>
                <w:sz w:val="20"/>
              </w:rPr>
              <w:t>zadávání, společné zadávání a postupy centrálních</w:t>
            </w:r>
          </w:p>
          <w:p w:rsidR="00896634" w:rsidRDefault="003E297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896634" w:rsidRDefault="003E2978">
            <w:pPr>
              <w:pStyle w:val="TableParagraph"/>
              <w:spacing w:line="26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896634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12" w:right="649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896634" w:rsidRDefault="003E2978">
            <w:pPr>
              <w:pStyle w:val="TableParagraph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896634" w:rsidRDefault="003E2978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zadavatel pochybení nedopustil</w:t>
            </w:r>
          </w:p>
        </w:tc>
      </w:tr>
      <w:tr w:rsidR="00896634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  <w:p w:rsidR="00896634" w:rsidRDefault="003E2978">
            <w:pPr>
              <w:pStyle w:val="TableParagraph"/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nedostatečné vymezení požadavků na kvalifikaci nebo hodnotících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>Zadavatel neuvedl v oznámení o zahájení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96634" w:rsidRDefault="003E2978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896634" w:rsidRDefault="003E2978">
            <w:pPr>
              <w:pStyle w:val="TableParagraph"/>
              <w:ind w:left="112" w:right="480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</w:tbl>
    <w:p w:rsidR="00896634" w:rsidRDefault="00896634">
      <w:pPr>
        <w:pStyle w:val="Zkladntext"/>
        <w:rPr>
          <w:b/>
        </w:rPr>
      </w:pPr>
    </w:p>
    <w:p w:rsidR="00896634" w:rsidRDefault="00896634">
      <w:pPr>
        <w:pStyle w:val="Zkladntext"/>
        <w:rPr>
          <w:b/>
        </w:rPr>
      </w:pPr>
    </w:p>
    <w:p w:rsidR="00896634" w:rsidRDefault="00896634">
      <w:pPr>
        <w:pStyle w:val="Zkladntext"/>
        <w:rPr>
          <w:b/>
        </w:rPr>
      </w:pPr>
    </w:p>
    <w:p w:rsidR="00896634" w:rsidRDefault="003E2978">
      <w:pPr>
        <w:pStyle w:val="Zkladntext"/>
        <w:spacing w:before="3"/>
        <w:rPr>
          <w:b/>
          <w:sz w:val="12"/>
        </w:rPr>
      </w:pPr>
      <w:r>
        <w:pict>
          <v:shape id="_x0000_s1027" style="position:absolute;margin-left:85.1pt;margin-top:10.35pt;width:144.05pt;height:.1pt;z-index:-251658240;mso-wrap-distance-left:0;mso-wrap-distance-right:0;mso-position-horizontal-relative:page" coordorigin="1702,207" coordsize="2881,0" path="m1702,207r2880,e" filled="f" strokeweight=".48pt">
            <v:path arrowok="t"/>
            <w10:wrap type="topAndBottom" anchorx="page"/>
          </v:shape>
        </w:pict>
      </w:r>
    </w:p>
    <w:p w:rsidR="00896634" w:rsidRDefault="00896634">
      <w:pPr>
        <w:pStyle w:val="Zkladntext"/>
        <w:rPr>
          <w:b/>
        </w:rPr>
      </w:pPr>
    </w:p>
    <w:p w:rsidR="00896634" w:rsidRDefault="00896634">
      <w:pPr>
        <w:pStyle w:val="Zkladntext"/>
        <w:spacing w:before="6"/>
        <w:rPr>
          <w:b/>
          <w:sz w:val="18"/>
        </w:rPr>
      </w:pPr>
    </w:p>
    <w:p w:rsidR="00896634" w:rsidRDefault="003E2978">
      <w:pPr>
        <w:pStyle w:val="Odstavecseseznamem"/>
        <w:numPr>
          <w:ilvl w:val="0"/>
          <w:numId w:val="1"/>
        </w:numPr>
        <w:tabs>
          <w:tab w:val="left" w:pos="278"/>
        </w:tabs>
        <w:spacing w:befor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896634" w:rsidRDefault="00896634">
      <w:pPr>
        <w:rPr>
          <w:rFonts w:ascii="Times New Roman" w:hAnsi="Times New Roman"/>
          <w:sz w:val="16"/>
        </w:rPr>
        <w:sectPr w:rsidR="00896634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89663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896634">
        <w:trPr>
          <w:trHeight w:val="4730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86"/>
              <w:ind w:right="577"/>
              <w:rPr>
                <w:sz w:val="20"/>
              </w:rPr>
            </w:pPr>
            <w:r>
              <w:rPr>
                <w:sz w:val="20"/>
              </w:rPr>
              <w:t>a jejich vah, podmínek plnění veřejné zakázky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technické specifikace nebo</w:t>
            </w:r>
          </w:p>
          <w:p w:rsidR="00896634" w:rsidRDefault="003E297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  <w:p w:rsidR="00896634" w:rsidRDefault="003E2978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neposkytnutí vysvětlení objasňující či doplňující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kvalifikační nebo hodnotící kritéria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86"/>
              <w:ind w:right="482"/>
              <w:rPr>
                <w:sz w:val="20"/>
              </w:rPr>
            </w:pPr>
            <w:r>
              <w:rPr>
                <w:sz w:val="20"/>
              </w:rPr>
              <w:t>jasného způsobu hodnocení nabídek), podmínky plnění</w:t>
            </w:r>
          </w:p>
          <w:p w:rsidR="00896634" w:rsidRDefault="003E2978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veřejné zakázky nebo technické specifikace, případně tyto</w:t>
            </w:r>
          </w:p>
          <w:p w:rsidR="00896634" w:rsidRDefault="003E2978">
            <w:pPr>
              <w:pStyle w:val="TableParagraph"/>
              <w:ind w:right="1030"/>
              <w:rPr>
                <w:sz w:val="20"/>
              </w:rPr>
            </w:pPr>
            <w:r>
              <w:rPr>
                <w:sz w:val="20"/>
              </w:rPr>
              <w:t>požadavky nevymezil dostatečně určitě nebo</w:t>
            </w:r>
          </w:p>
          <w:p w:rsidR="00896634" w:rsidRDefault="003E2978">
            <w:pPr>
              <w:pStyle w:val="TableParagraph"/>
              <w:ind w:right="499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</w:t>
            </w:r>
          </w:p>
          <w:p w:rsidR="00896634" w:rsidRDefault="003E297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86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896634" w:rsidRDefault="003E297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96634" w:rsidRDefault="003E2978">
            <w:pPr>
              <w:pStyle w:val="TableParagraph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896634" w:rsidRDefault="003E2978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896634" w:rsidRDefault="003E2978">
            <w:pPr>
              <w:pStyle w:val="TableParagraph"/>
              <w:spacing w:before="3" w:line="237" w:lineRule="auto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</w:p>
          <w:p w:rsidR="00896634" w:rsidRDefault="003E2978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896634" w:rsidRDefault="003E297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896634" w:rsidRDefault="003E2978">
            <w:pPr>
              <w:pStyle w:val="TableParagraph"/>
              <w:spacing w:before="2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 uveřejněna</w:t>
            </w:r>
          </w:p>
        </w:tc>
      </w:tr>
      <w:tr w:rsidR="0089663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 na kvalifikaci dodavatelů, kritérií</w:t>
            </w:r>
          </w:p>
          <w:p w:rsidR="00896634" w:rsidRDefault="003E2978">
            <w:pPr>
              <w:pStyle w:val="TableParagraph"/>
              <w:ind w:right="670"/>
              <w:rPr>
                <w:sz w:val="20"/>
              </w:rPr>
            </w:pPr>
            <w:r>
              <w:rPr>
                <w:sz w:val="20"/>
              </w:rPr>
              <w:t>hodnocení nabídek, podmínek pro plnění veřejné zakázky nebo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  <w:p w:rsidR="00896634" w:rsidRDefault="003E2978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v rozporu se zákonem nebo s Pokyny, a to ve vztahu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 národním, regionálním nebo lokálním preferencím.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</w:t>
            </w:r>
          </w:p>
          <w:p w:rsidR="00896634" w:rsidRDefault="003E2978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hodnocení nabídek, podmínek pro plnění veřejné zakázky nebo technických specifikací nutných pro účast ve</w:t>
            </w:r>
          </w:p>
          <w:p w:rsidR="00896634" w:rsidRDefault="003E2978">
            <w:pPr>
              <w:pStyle w:val="TableParagraph"/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 vztahu k místu realizace (např. v případě požadavku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96634" w:rsidRDefault="003E2978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zkušenosti, zařízení, provozovnu atd. z určitého regionu či 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 w:right="596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96634" w:rsidRDefault="003E2978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896634">
        <w:trPr>
          <w:trHeight w:val="237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896634">
        <w:trPr>
          <w:trHeight w:val="3419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9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  <w:p w:rsidR="00896634" w:rsidRDefault="003E297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požadavků na kvalifikaci dodavatelů, kritérií</w:t>
            </w:r>
          </w:p>
          <w:p w:rsidR="00896634" w:rsidRDefault="003E2978">
            <w:pPr>
              <w:pStyle w:val="TableParagraph"/>
              <w:spacing w:before="1"/>
              <w:ind w:right="670"/>
              <w:rPr>
                <w:sz w:val="20"/>
              </w:rPr>
            </w:pPr>
            <w:r>
              <w:rPr>
                <w:sz w:val="20"/>
              </w:rPr>
              <w:t>hodnocení nabídek, podmínek pro plnění veřejné zakázky nebo</w:t>
            </w:r>
          </w:p>
          <w:p w:rsidR="00896634" w:rsidRDefault="003E2978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technických specifikací v rozporu se zákonem nebo s Pokyny v ostatních</w:t>
            </w:r>
          </w:p>
          <w:p w:rsidR="00896634" w:rsidRDefault="003E2978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aspektech než je uvedeno v předchozím bodu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</w:t>
            </w:r>
          </w:p>
          <w:p w:rsidR="00896634" w:rsidRDefault="003E2978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hodnocení nabídek</w:t>
            </w:r>
            <w:r>
              <w:rPr>
                <w:sz w:val="20"/>
              </w:rPr>
              <w:t>, podmínek pro plnění veřejné zakázky nebo technických specifikací nutných pro účast ve</w:t>
            </w:r>
          </w:p>
          <w:p w:rsidR="00896634" w:rsidRDefault="003E297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  <w:p w:rsidR="00896634" w:rsidRDefault="003E2978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9" w:line="237" w:lineRule="auto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  <w:p w:rsidR="00896634" w:rsidRDefault="003E2978">
            <w:pPr>
              <w:pStyle w:val="TableParagraph"/>
              <w:spacing w:before="2"/>
              <w:ind w:left="112" w:right="94"/>
              <w:rPr>
                <w:sz w:val="20"/>
              </w:rPr>
            </w:pPr>
            <w:r>
              <w:rPr>
                <w:sz w:val="20"/>
              </w:rPr>
              <w:t>neodpovídají pře</w:t>
            </w:r>
            <w:r>
              <w:rPr>
                <w:sz w:val="20"/>
              </w:rPr>
              <w:t>dmětu veřejné zakázky nebo</w:t>
            </w:r>
          </w:p>
          <w:p w:rsidR="00896634" w:rsidRDefault="003E2978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 dodavatele</w:t>
            </w:r>
          </w:p>
          <w:p w:rsidR="00896634" w:rsidRDefault="003E2978">
            <w:pPr>
              <w:pStyle w:val="TableParagraph"/>
              <w:ind w:left="112" w:right="398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 specifickým technickým charakterem</w:t>
            </w:r>
          </w:p>
          <w:p w:rsidR="00896634" w:rsidRDefault="003E297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</w:tbl>
    <w:p w:rsidR="00896634" w:rsidRDefault="00896634">
      <w:pPr>
        <w:rPr>
          <w:sz w:val="20"/>
        </w:rPr>
        <w:sectPr w:rsidR="00896634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89663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896634">
        <w:trPr>
          <w:trHeight w:val="579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86"/>
              <w:ind w:right="513"/>
              <w:rPr>
                <w:sz w:val="20"/>
              </w:rPr>
            </w:pPr>
            <w:r>
              <w:rPr>
                <w:sz w:val="20"/>
              </w:rPr>
              <w:t>kritéria nevyjadřovaly vztah užitné hodnoty a ceny).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86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896634" w:rsidRDefault="003E2978">
            <w:pPr>
              <w:pStyle w:val="TableParagraph"/>
              <w:spacing w:before="3" w:line="237" w:lineRule="auto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896634" w:rsidRDefault="003E2978">
            <w:pPr>
              <w:pStyle w:val="TableParagraph"/>
              <w:spacing w:before="2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896634" w:rsidRDefault="003E2978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896634" w:rsidRDefault="003E297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896634" w:rsidRDefault="003E2978">
            <w:pPr>
              <w:pStyle w:val="TableParagraph"/>
              <w:spacing w:before="1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896634" w:rsidRDefault="003E297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896634" w:rsidRDefault="003E2978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dopad na prostředky Fondu je pouze formální</w:t>
            </w:r>
          </w:p>
        </w:tc>
      </w:tr>
      <w:tr w:rsidR="00896634">
        <w:trPr>
          <w:trHeight w:val="131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896634" w:rsidRDefault="003E297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896634">
        <w:trPr>
          <w:trHeight w:val="235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896634" w:rsidRDefault="003E2978">
            <w:pPr>
              <w:pStyle w:val="TableParagraph"/>
              <w:spacing w:before="1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896634" w:rsidRDefault="003E2978">
            <w:pPr>
              <w:pStyle w:val="TableParagraph"/>
              <w:spacing w:before="1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96634">
        <w:trPr>
          <w:trHeight w:val="2090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8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0" w:line="237" w:lineRule="auto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10" w:line="237" w:lineRule="auto"/>
              <w:ind w:right="513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896634" w:rsidRDefault="003E2978">
            <w:pPr>
              <w:pStyle w:val="TableParagraph"/>
              <w:spacing w:before="2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 části veřejné zakázky.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896634" w:rsidRDefault="00896634">
      <w:pPr>
        <w:rPr>
          <w:sz w:val="20"/>
        </w:rPr>
        <w:sectPr w:rsidR="00896634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89663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89663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Nedodržení či nesprávná aplikace kvalifikačních</w:t>
            </w:r>
          </w:p>
          <w:p w:rsidR="00896634" w:rsidRDefault="003E2978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896634" w:rsidRDefault="003E2978">
            <w:pPr>
              <w:pStyle w:val="TableParagraph"/>
              <w:spacing w:before="1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požadavky na kvalifikaci,</w:t>
            </w:r>
          </w:p>
          <w:p w:rsidR="00896634" w:rsidRDefault="003E2978">
            <w:pPr>
              <w:pStyle w:val="TableParagraph"/>
              <w:spacing w:before="2" w:line="237" w:lineRule="auto"/>
              <w:rPr>
                <w:sz w:val="20"/>
              </w:rPr>
            </w:pPr>
            <w:r>
              <w:rPr>
                <w:sz w:val="20"/>
              </w:rPr>
              <w:t>obchodní p</w:t>
            </w:r>
            <w:r>
              <w:rPr>
                <w:sz w:val="20"/>
              </w:rPr>
              <w:t>odmínky nebo jiné podmínky účasti ve</w:t>
            </w:r>
          </w:p>
          <w:p w:rsidR="00896634" w:rsidRDefault="003E2978">
            <w:pPr>
              <w:pStyle w:val="TableParagraph"/>
              <w:spacing w:before="2"/>
              <w:ind w:right="462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896634" w:rsidRDefault="003E2978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896634" w:rsidRDefault="003E2978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nabídek či žádostí o ú</w:t>
            </w:r>
            <w:r>
              <w:rPr>
                <w:sz w:val="20"/>
              </w:rPr>
              <w:t>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9663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896634" w:rsidRDefault="003E29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896634" w:rsidRDefault="003E297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96634" w:rsidRDefault="003E2978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896634" w:rsidRDefault="003E2978">
            <w:pPr>
              <w:pStyle w:val="TableParagraph"/>
              <w:spacing w:before="4" w:line="237" w:lineRule="auto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96634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96634" w:rsidRDefault="003E2978">
            <w:pPr>
              <w:pStyle w:val="TableParagraph"/>
              <w:spacing w:before="1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896634" w:rsidRDefault="003E2978">
            <w:pPr>
              <w:pStyle w:val="TableParagraph"/>
              <w:spacing w:before="1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896634">
        <w:trPr>
          <w:trHeight w:val="182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896634" w:rsidRDefault="003E2978">
            <w:pPr>
              <w:pStyle w:val="TableParagraph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896634" w:rsidRDefault="003E297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896634" w:rsidRDefault="003E297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9663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72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896634" w:rsidRDefault="00896634">
      <w:pPr>
        <w:rPr>
          <w:sz w:val="20"/>
        </w:rPr>
        <w:sectPr w:rsidR="00896634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89663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896634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896634" w:rsidRDefault="003E2978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896634" w:rsidRDefault="003E2978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</w:t>
            </w:r>
            <w:r>
              <w:rPr>
                <w:sz w:val="20"/>
              </w:rPr>
              <w:t>dmínek,</w:t>
            </w:r>
          </w:p>
          <w:p w:rsidR="00896634" w:rsidRDefault="003E297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96634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896634" w:rsidRDefault="003E2978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či obdobná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896634" w:rsidRDefault="003E297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896634" w:rsidRDefault="003E2978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896634" w:rsidRDefault="003E297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96634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896634" w:rsidRDefault="003E2978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896634" w:rsidRDefault="003E297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597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896634" w:rsidRDefault="003E2978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896634" w:rsidRDefault="003E2978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896634" w:rsidRDefault="00896634">
      <w:pPr>
        <w:rPr>
          <w:sz w:val="20"/>
        </w:rPr>
        <w:sectPr w:rsidR="00896634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89663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89663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896634" w:rsidRDefault="003E2978">
            <w:pPr>
              <w:pStyle w:val="TableParagraph"/>
              <w:spacing w:before="2" w:line="237" w:lineRule="auto"/>
              <w:ind w:right="51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896634" w:rsidRDefault="003E297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896634" w:rsidRDefault="003E2978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896634" w:rsidRDefault="003E29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odpovědi účastníků posoudil</w:t>
            </w:r>
          </w:p>
          <w:p w:rsidR="00896634" w:rsidRDefault="003E297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96634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 výsledek</w:t>
            </w:r>
          </w:p>
          <w:p w:rsidR="00896634" w:rsidRDefault="003E2978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896634" w:rsidRDefault="003E2978">
            <w:pPr>
              <w:pStyle w:val="TableParagraph"/>
              <w:ind w:right="107"/>
              <w:rPr>
                <w:sz w:val="13"/>
              </w:rPr>
            </w:pPr>
            <w:r>
              <w:rPr>
                <w:sz w:val="20"/>
              </w:rPr>
              <w:t>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9663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8"/>
              <w:ind w:right="343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896634" w:rsidRDefault="003E2978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</w:t>
            </w:r>
            <w:r>
              <w:rPr>
                <w:sz w:val="20"/>
              </w:rPr>
              <w:t>ngu podíleli, postupovali bez pomoci osoby v rámci řídícího či</w:t>
            </w:r>
          </w:p>
          <w:p w:rsidR="00896634" w:rsidRDefault="003E2978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89663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 riggingu nepodíleli jiní</w:t>
            </w:r>
          </w:p>
          <w:p w:rsidR="00896634" w:rsidRDefault="003E2978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896634">
        <w:trPr>
          <w:trHeight w:val="155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896634" w:rsidRDefault="003E2978">
            <w:pPr>
              <w:pStyle w:val="TableParagraph"/>
              <w:spacing w:before="1"/>
              <w:ind w:left="112" w:right="128"/>
              <w:rPr>
                <w:sz w:val="20"/>
              </w:rPr>
            </w:pPr>
            <w:r>
              <w:rPr>
                <w:sz w:val="20"/>
              </w:rPr>
              <w:t>v rámci řídícího či kontrolního systému nebo zadavatel ve spolupráci s dodavateli</w:t>
            </w:r>
          </w:p>
        </w:tc>
      </w:tr>
    </w:tbl>
    <w:p w:rsidR="00896634" w:rsidRDefault="003E2978">
      <w:pPr>
        <w:pStyle w:val="Zkladntext"/>
        <w:spacing w:before="11"/>
        <w:rPr>
          <w:rFonts w:ascii="Times New Roman"/>
          <w:sz w:val="15"/>
        </w:rPr>
      </w:pPr>
      <w:r>
        <w:pict>
          <v:shape id="_x0000_s1026" style="position:absolute;margin-left:85.1pt;margin-top:11.4pt;width:144.05pt;height:.1pt;z-index:-251657216;mso-wrap-distance-left:0;mso-wrap-distance-right:0;mso-position-horizontal-relative:page;mso-position-vertical-relative:text" coordorigin="1702,228" coordsize="2881,0" path="m1702,228r2880,e" filled="f" strokeweight=".48pt">
            <v:path arrowok="t"/>
            <w10:wrap type="topAndBottom" anchorx="page"/>
          </v:shape>
        </w:pict>
      </w:r>
    </w:p>
    <w:p w:rsidR="00896634" w:rsidRDefault="00896634">
      <w:pPr>
        <w:pStyle w:val="Zkladntext"/>
        <w:rPr>
          <w:rFonts w:ascii="Times New Roman"/>
        </w:rPr>
      </w:pPr>
    </w:p>
    <w:p w:rsidR="00896634" w:rsidRDefault="00896634">
      <w:pPr>
        <w:pStyle w:val="Zkladntext"/>
        <w:spacing w:before="3"/>
        <w:rPr>
          <w:rFonts w:ascii="Times New Roman"/>
          <w:sz w:val="16"/>
        </w:rPr>
      </w:pPr>
    </w:p>
    <w:p w:rsidR="00896634" w:rsidRDefault="003E2978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zájmů může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fázi přípravy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projektu vliv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 řízení.</w:t>
      </w:r>
    </w:p>
    <w:p w:rsidR="00896634" w:rsidRDefault="00896634">
      <w:pPr>
        <w:rPr>
          <w:rFonts w:ascii="Times New Roman" w:hAnsi="Times New Roman"/>
          <w:sz w:val="16"/>
        </w:rPr>
        <w:sectPr w:rsidR="00896634">
          <w:pgSz w:w="12240" w:h="15840"/>
          <w:pgMar w:top="1140" w:right="1000" w:bottom="880" w:left="1540" w:header="0" w:footer="691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89663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896634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896634" w:rsidRDefault="003E2978">
            <w:pPr>
              <w:pStyle w:val="TableParagraph"/>
              <w:spacing w:before="1"/>
              <w:ind w:left="112" w:right="398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896634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896634" w:rsidRDefault="003E297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896634" w:rsidRDefault="003E297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896634" w:rsidRDefault="003E2978">
            <w:pPr>
              <w:pStyle w:val="TableParagraph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</w:t>
            </w:r>
          </w:p>
          <w:p w:rsidR="00896634" w:rsidRDefault="003E297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služeb (tzv. vícepráce)</w:t>
            </w:r>
          </w:p>
        </w:tc>
      </w:tr>
      <w:tr w:rsidR="00896634">
        <w:trPr>
          <w:trHeight w:val="26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896634" w:rsidRDefault="003E297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896634" w:rsidRDefault="003E2978"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896634" w:rsidRDefault="003E2978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takové zvýšení převyšuje 50 % hodnoty původní veřejné</w:t>
            </w:r>
          </w:p>
          <w:p w:rsidR="00896634" w:rsidRDefault="003E297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9663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896634" w:rsidRDefault="003E2978">
            <w:pPr>
              <w:pStyle w:val="TableParagraph"/>
              <w:spacing w:before="2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1) písm. j) Smlouvy včetně</w:t>
            </w:r>
          </w:p>
          <w:p w:rsidR="00896634" w:rsidRDefault="003E2978">
            <w:pPr>
              <w:pStyle w:val="TableParagraph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896634" w:rsidRDefault="003E297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96634">
        <w:trPr>
          <w:trHeight w:val="211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6634" w:rsidRDefault="00896634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896634" w:rsidRDefault="003E2978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3E2978" w:rsidRDefault="003E2978"/>
    <w:sectPr w:rsidR="003E2978">
      <w:pgSz w:w="12240" w:h="15840"/>
      <w:pgMar w:top="1140" w:right="1000" w:bottom="880" w:left="1540" w:header="0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78" w:rsidRDefault="003E2978">
      <w:r>
        <w:separator/>
      </w:r>
    </w:p>
  </w:endnote>
  <w:endnote w:type="continuationSeparator" w:id="0">
    <w:p w:rsidR="003E2978" w:rsidRDefault="003E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34" w:rsidRDefault="003E2978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42.45pt;width:16.8pt;height:15.25pt;z-index:-251658752;mso-position-horizontal-relative:page;mso-position-vertical-relative:page" filled="f" stroked="f">
          <v:textbox inset="0,0,0,0">
            <w:txbxContent>
              <w:p w:rsidR="00896634" w:rsidRDefault="003E2978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F6E7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78" w:rsidRDefault="003E2978">
      <w:r>
        <w:separator/>
      </w:r>
    </w:p>
  </w:footnote>
  <w:footnote w:type="continuationSeparator" w:id="0">
    <w:p w:rsidR="003E2978" w:rsidRDefault="003E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FF2"/>
    <w:multiLevelType w:val="hybridMultilevel"/>
    <w:tmpl w:val="974CB1BA"/>
    <w:lvl w:ilvl="0" w:tplc="A8F41C1A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69961250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E07A2226">
      <w:numFmt w:val="bullet"/>
      <w:lvlText w:val="•"/>
      <w:lvlJc w:val="left"/>
      <w:pPr>
        <w:ind w:left="1860" w:hanging="425"/>
      </w:pPr>
      <w:rPr>
        <w:rFonts w:hint="default"/>
        <w:lang w:val="cs-CZ" w:eastAsia="cs-CZ" w:bidi="cs-CZ"/>
      </w:rPr>
    </w:lvl>
    <w:lvl w:ilvl="3" w:tplc="78CA5E4A">
      <w:numFmt w:val="bullet"/>
      <w:lvlText w:val="•"/>
      <w:lvlJc w:val="left"/>
      <w:pPr>
        <w:ind w:left="2840" w:hanging="425"/>
      </w:pPr>
      <w:rPr>
        <w:rFonts w:hint="default"/>
        <w:lang w:val="cs-CZ" w:eastAsia="cs-CZ" w:bidi="cs-CZ"/>
      </w:rPr>
    </w:lvl>
    <w:lvl w:ilvl="4" w:tplc="9E2A62F8">
      <w:numFmt w:val="bullet"/>
      <w:lvlText w:val="•"/>
      <w:lvlJc w:val="left"/>
      <w:pPr>
        <w:ind w:left="3820" w:hanging="425"/>
      </w:pPr>
      <w:rPr>
        <w:rFonts w:hint="default"/>
        <w:lang w:val="cs-CZ" w:eastAsia="cs-CZ" w:bidi="cs-CZ"/>
      </w:rPr>
    </w:lvl>
    <w:lvl w:ilvl="5" w:tplc="3432D0A8">
      <w:numFmt w:val="bullet"/>
      <w:lvlText w:val="•"/>
      <w:lvlJc w:val="left"/>
      <w:pPr>
        <w:ind w:left="4800" w:hanging="425"/>
      </w:pPr>
      <w:rPr>
        <w:rFonts w:hint="default"/>
        <w:lang w:val="cs-CZ" w:eastAsia="cs-CZ" w:bidi="cs-CZ"/>
      </w:rPr>
    </w:lvl>
    <w:lvl w:ilvl="6" w:tplc="7D9A0A68">
      <w:numFmt w:val="bullet"/>
      <w:lvlText w:val="•"/>
      <w:lvlJc w:val="left"/>
      <w:pPr>
        <w:ind w:left="5780" w:hanging="425"/>
      </w:pPr>
      <w:rPr>
        <w:rFonts w:hint="default"/>
        <w:lang w:val="cs-CZ" w:eastAsia="cs-CZ" w:bidi="cs-CZ"/>
      </w:rPr>
    </w:lvl>
    <w:lvl w:ilvl="7" w:tplc="7610C4A4">
      <w:numFmt w:val="bullet"/>
      <w:lvlText w:val="•"/>
      <w:lvlJc w:val="left"/>
      <w:pPr>
        <w:ind w:left="6760" w:hanging="425"/>
      </w:pPr>
      <w:rPr>
        <w:rFonts w:hint="default"/>
        <w:lang w:val="cs-CZ" w:eastAsia="cs-CZ" w:bidi="cs-CZ"/>
      </w:rPr>
    </w:lvl>
    <w:lvl w:ilvl="8" w:tplc="75B654DC">
      <w:numFmt w:val="bullet"/>
      <w:lvlText w:val="•"/>
      <w:lvlJc w:val="left"/>
      <w:pPr>
        <w:ind w:left="7740" w:hanging="425"/>
      </w:pPr>
      <w:rPr>
        <w:rFonts w:hint="default"/>
        <w:lang w:val="cs-CZ" w:eastAsia="cs-CZ" w:bidi="cs-CZ"/>
      </w:rPr>
    </w:lvl>
  </w:abstractNum>
  <w:abstractNum w:abstractNumId="1" w15:restartNumberingAfterBreak="0">
    <w:nsid w:val="0BFA2BE5"/>
    <w:multiLevelType w:val="hybridMultilevel"/>
    <w:tmpl w:val="6EB81A6A"/>
    <w:lvl w:ilvl="0" w:tplc="C724369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EB80D6E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8C08B42A">
      <w:numFmt w:val="bullet"/>
      <w:lvlText w:val="-"/>
      <w:lvlJc w:val="left"/>
      <w:pPr>
        <w:ind w:left="867" w:hanging="207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48183E32">
      <w:numFmt w:val="bullet"/>
      <w:lvlText w:val="•"/>
      <w:lvlJc w:val="left"/>
      <w:pPr>
        <w:ind w:left="2824" w:hanging="207"/>
      </w:pPr>
      <w:rPr>
        <w:rFonts w:hint="default"/>
        <w:lang w:val="cs-CZ" w:eastAsia="cs-CZ" w:bidi="cs-CZ"/>
      </w:rPr>
    </w:lvl>
    <w:lvl w:ilvl="4" w:tplc="60E231A4">
      <w:numFmt w:val="bullet"/>
      <w:lvlText w:val="•"/>
      <w:lvlJc w:val="left"/>
      <w:pPr>
        <w:ind w:left="3806" w:hanging="207"/>
      </w:pPr>
      <w:rPr>
        <w:rFonts w:hint="default"/>
        <w:lang w:val="cs-CZ" w:eastAsia="cs-CZ" w:bidi="cs-CZ"/>
      </w:rPr>
    </w:lvl>
    <w:lvl w:ilvl="5" w:tplc="E43A12B8">
      <w:numFmt w:val="bullet"/>
      <w:lvlText w:val="•"/>
      <w:lvlJc w:val="left"/>
      <w:pPr>
        <w:ind w:left="4788" w:hanging="207"/>
      </w:pPr>
      <w:rPr>
        <w:rFonts w:hint="default"/>
        <w:lang w:val="cs-CZ" w:eastAsia="cs-CZ" w:bidi="cs-CZ"/>
      </w:rPr>
    </w:lvl>
    <w:lvl w:ilvl="6" w:tplc="7C4879F0">
      <w:numFmt w:val="bullet"/>
      <w:lvlText w:val="•"/>
      <w:lvlJc w:val="left"/>
      <w:pPr>
        <w:ind w:left="5771" w:hanging="207"/>
      </w:pPr>
      <w:rPr>
        <w:rFonts w:hint="default"/>
        <w:lang w:val="cs-CZ" w:eastAsia="cs-CZ" w:bidi="cs-CZ"/>
      </w:rPr>
    </w:lvl>
    <w:lvl w:ilvl="7" w:tplc="547C7DFA">
      <w:numFmt w:val="bullet"/>
      <w:lvlText w:val="•"/>
      <w:lvlJc w:val="left"/>
      <w:pPr>
        <w:ind w:left="6753" w:hanging="207"/>
      </w:pPr>
      <w:rPr>
        <w:rFonts w:hint="default"/>
        <w:lang w:val="cs-CZ" w:eastAsia="cs-CZ" w:bidi="cs-CZ"/>
      </w:rPr>
    </w:lvl>
    <w:lvl w:ilvl="8" w:tplc="3F4E24CE">
      <w:numFmt w:val="bullet"/>
      <w:lvlText w:val="•"/>
      <w:lvlJc w:val="left"/>
      <w:pPr>
        <w:ind w:left="7735" w:hanging="207"/>
      </w:pPr>
      <w:rPr>
        <w:rFonts w:hint="default"/>
        <w:lang w:val="cs-CZ" w:eastAsia="cs-CZ" w:bidi="cs-CZ"/>
      </w:rPr>
    </w:lvl>
  </w:abstractNum>
  <w:abstractNum w:abstractNumId="2" w15:restartNumberingAfterBreak="0">
    <w:nsid w:val="2AF65657"/>
    <w:multiLevelType w:val="hybridMultilevel"/>
    <w:tmpl w:val="3E9A2DA0"/>
    <w:lvl w:ilvl="0" w:tplc="C702542A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F2AB592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03C101E">
      <w:numFmt w:val="bullet"/>
      <w:lvlText w:val="•"/>
      <w:lvlJc w:val="left"/>
      <w:pPr>
        <w:ind w:left="1860" w:hanging="358"/>
      </w:pPr>
      <w:rPr>
        <w:rFonts w:hint="default"/>
        <w:lang w:val="cs-CZ" w:eastAsia="cs-CZ" w:bidi="cs-CZ"/>
      </w:rPr>
    </w:lvl>
    <w:lvl w:ilvl="3" w:tplc="A3903760">
      <w:numFmt w:val="bullet"/>
      <w:lvlText w:val="•"/>
      <w:lvlJc w:val="left"/>
      <w:pPr>
        <w:ind w:left="2840" w:hanging="358"/>
      </w:pPr>
      <w:rPr>
        <w:rFonts w:hint="default"/>
        <w:lang w:val="cs-CZ" w:eastAsia="cs-CZ" w:bidi="cs-CZ"/>
      </w:rPr>
    </w:lvl>
    <w:lvl w:ilvl="4" w:tplc="C8284EE2">
      <w:numFmt w:val="bullet"/>
      <w:lvlText w:val="•"/>
      <w:lvlJc w:val="left"/>
      <w:pPr>
        <w:ind w:left="3820" w:hanging="358"/>
      </w:pPr>
      <w:rPr>
        <w:rFonts w:hint="default"/>
        <w:lang w:val="cs-CZ" w:eastAsia="cs-CZ" w:bidi="cs-CZ"/>
      </w:rPr>
    </w:lvl>
    <w:lvl w:ilvl="5" w:tplc="C9B4BB6E">
      <w:numFmt w:val="bullet"/>
      <w:lvlText w:val="•"/>
      <w:lvlJc w:val="left"/>
      <w:pPr>
        <w:ind w:left="4800" w:hanging="358"/>
      </w:pPr>
      <w:rPr>
        <w:rFonts w:hint="default"/>
        <w:lang w:val="cs-CZ" w:eastAsia="cs-CZ" w:bidi="cs-CZ"/>
      </w:rPr>
    </w:lvl>
    <w:lvl w:ilvl="6" w:tplc="E4FE9C4C">
      <w:numFmt w:val="bullet"/>
      <w:lvlText w:val="•"/>
      <w:lvlJc w:val="left"/>
      <w:pPr>
        <w:ind w:left="5780" w:hanging="358"/>
      </w:pPr>
      <w:rPr>
        <w:rFonts w:hint="default"/>
        <w:lang w:val="cs-CZ" w:eastAsia="cs-CZ" w:bidi="cs-CZ"/>
      </w:rPr>
    </w:lvl>
    <w:lvl w:ilvl="7" w:tplc="8200A62A">
      <w:numFmt w:val="bullet"/>
      <w:lvlText w:val="•"/>
      <w:lvlJc w:val="left"/>
      <w:pPr>
        <w:ind w:left="6760" w:hanging="358"/>
      </w:pPr>
      <w:rPr>
        <w:rFonts w:hint="default"/>
        <w:lang w:val="cs-CZ" w:eastAsia="cs-CZ" w:bidi="cs-CZ"/>
      </w:rPr>
    </w:lvl>
    <w:lvl w:ilvl="8" w:tplc="26E0C5EC">
      <w:numFmt w:val="bullet"/>
      <w:lvlText w:val="•"/>
      <w:lvlJc w:val="left"/>
      <w:pPr>
        <w:ind w:left="7740" w:hanging="358"/>
      </w:pPr>
      <w:rPr>
        <w:rFonts w:hint="default"/>
        <w:lang w:val="cs-CZ" w:eastAsia="cs-CZ" w:bidi="cs-CZ"/>
      </w:rPr>
    </w:lvl>
  </w:abstractNum>
  <w:abstractNum w:abstractNumId="3" w15:restartNumberingAfterBreak="0">
    <w:nsid w:val="35D730D1"/>
    <w:multiLevelType w:val="hybridMultilevel"/>
    <w:tmpl w:val="F35218F4"/>
    <w:lvl w:ilvl="0" w:tplc="947613FC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8A4995E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1734ABDA">
      <w:numFmt w:val="bullet"/>
      <w:lvlText w:val="•"/>
      <w:lvlJc w:val="left"/>
      <w:pPr>
        <w:ind w:left="2180" w:hanging="360"/>
      </w:pPr>
      <w:rPr>
        <w:rFonts w:hint="default"/>
        <w:lang w:val="cs-CZ" w:eastAsia="cs-CZ" w:bidi="cs-CZ"/>
      </w:rPr>
    </w:lvl>
    <w:lvl w:ilvl="3" w:tplc="7A7A12CC">
      <w:numFmt w:val="bullet"/>
      <w:lvlText w:val="•"/>
      <w:lvlJc w:val="left"/>
      <w:pPr>
        <w:ind w:left="3120" w:hanging="360"/>
      </w:pPr>
      <w:rPr>
        <w:rFonts w:hint="default"/>
        <w:lang w:val="cs-CZ" w:eastAsia="cs-CZ" w:bidi="cs-CZ"/>
      </w:rPr>
    </w:lvl>
    <w:lvl w:ilvl="4" w:tplc="7ACAF546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5" w:tplc="46242D18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4AB0AC0C">
      <w:numFmt w:val="bullet"/>
      <w:lvlText w:val="•"/>
      <w:lvlJc w:val="left"/>
      <w:pPr>
        <w:ind w:left="5940" w:hanging="360"/>
      </w:pPr>
      <w:rPr>
        <w:rFonts w:hint="default"/>
        <w:lang w:val="cs-CZ" w:eastAsia="cs-CZ" w:bidi="cs-CZ"/>
      </w:rPr>
    </w:lvl>
    <w:lvl w:ilvl="7" w:tplc="DA92C31C">
      <w:numFmt w:val="bullet"/>
      <w:lvlText w:val="•"/>
      <w:lvlJc w:val="left"/>
      <w:pPr>
        <w:ind w:left="6880" w:hanging="360"/>
      </w:pPr>
      <w:rPr>
        <w:rFonts w:hint="default"/>
        <w:lang w:val="cs-CZ" w:eastAsia="cs-CZ" w:bidi="cs-CZ"/>
      </w:rPr>
    </w:lvl>
    <w:lvl w:ilvl="8" w:tplc="8CB228D4">
      <w:numFmt w:val="bullet"/>
      <w:lvlText w:val="•"/>
      <w:lvlJc w:val="left"/>
      <w:pPr>
        <w:ind w:left="7820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A8B3834"/>
    <w:multiLevelType w:val="hybridMultilevel"/>
    <w:tmpl w:val="D3A61E38"/>
    <w:lvl w:ilvl="0" w:tplc="CB840158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BB4743E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04D82B58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4FA8485E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AD6CBEF8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B3B4B1B8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6B946E02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A95CCA2A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2226685C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4D947918"/>
    <w:multiLevelType w:val="hybridMultilevel"/>
    <w:tmpl w:val="E3E8DBAA"/>
    <w:lvl w:ilvl="0" w:tplc="AE184B7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E9681F0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00C2FDA">
      <w:numFmt w:val="bullet"/>
      <w:lvlText w:val="•"/>
      <w:lvlJc w:val="left"/>
      <w:pPr>
        <w:ind w:left="1233" w:hanging="360"/>
      </w:pPr>
      <w:rPr>
        <w:rFonts w:hint="default"/>
        <w:lang w:val="cs-CZ" w:eastAsia="cs-CZ" w:bidi="cs-CZ"/>
      </w:rPr>
    </w:lvl>
    <w:lvl w:ilvl="3" w:tplc="4DA08222">
      <w:numFmt w:val="bullet"/>
      <w:lvlText w:val="•"/>
      <w:lvlJc w:val="left"/>
      <w:pPr>
        <w:ind w:left="1226" w:hanging="360"/>
      </w:pPr>
      <w:rPr>
        <w:rFonts w:hint="default"/>
        <w:lang w:val="cs-CZ" w:eastAsia="cs-CZ" w:bidi="cs-CZ"/>
      </w:rPr>
    </w:lvl>
    <w:lvl w:ilvl="4" w:tplc="D1E4CB48">
      <w:numFmt w:val="bullet"/>
      <w:lvlText w:val="•"/>
      <w:lvlJc w:val="left"/>
      <w:pPr>
        <w:ind w:left="1220" w:hanging="360"/>
      </w:pPr>
      <w:rPr>
        <w:rFonts w:hint="default"/>
        <w:lang w:val="cs-CZ" w:eastAsia="cs-CZ" w:bidi="cs-CZ"/>
      </w:rPr>
    </w:lvl>
    <w:lvl w:ilvl="5" w:tplc="3716A900">
      <w:numFmt w:val="bullet"/>
      <w:lvlText w:val="•"/>
      <w:lvlJc w:val="left"/>
      <w:pPr>
        <w:ind w:left="1213" w:hanging="360"/>
      </w:pPr>
      <w:rPr>
        <w:rFonts w:hint="default"/>
        <w:lang w:val="cs-CZ" w:eastAsia="cs-CZ" w:bidi="cs-CZ"/>
      </w:rPr>
    </w:lvl>
    <w:lvl w:ilvl="6" w:tplc="F5EC0612">
      <w:numFmt w:val="bullet"/>
      <w:lvlText w:val="•"/>
      <w:lvlJc w:val="left"/>
      <w:pPr>
        <w:ind w:left="1207" w:hanging="360"/>
      </w:pPr>
      <w:rPr>
        <w:rFonts w:hint="default"/>
        <w:lang w:val="cs-CZ" w:eastAsia="cs-CZ" w:bidi="cs-CZ"/>
      </w:rPr>
    </w:lvl>
    <w:lvl w:ilvl="7" w:tplc="62F84C46">
      <w:numFmt w:val="bullet"/>
      <w:lvlText w:val="•"/>
      <w:lvlJc w:val="left"/>
      <w:pPr>
        <w:ind w:left="1200" w:hanging="360"/>
      </w:pPr>
      <w:rPr>
        <w:rFonts w:hint="default"/>
        <w:lang w:val="cs-CZ" w:eastAsia="cs-CZ" w:bidi="cs-CZ"/>
      </w:rPr>
    </w:lvl>
    <w:lvl w:ilvl="8" w:tplc="9F7AB260">
      <w:numFmt w:val="bullet"/>
      <w:lvlText w:val="•"/>
      <w:lvlJc w:val="left"/>
      <w:pPr>
        <w:ind w:left="1193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B8661B6"/>
    <w:multiLevelType w:val="hybridMultilevel"/>
    <w:tmpl w:val="9AE26218"/>
    <w:lvl w:ilvl="0" w:tplc="C2FCCDFC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D20EFB96">
      <w:numFmt w:val="bullet"/>
      <w:lvlText w:val="•"/>
      <w:lvlJc w:val="left"/>
      <w:pPr>
        <w:ind w:left="1222" w:hanging="116"/>
      </w:pPr>
      <w:rPr>
        <w:rFonts w:hint="default"/>
        <w:lang w:val="cs-CZ" w:eastAsia="cs-CZ" w:bidi="cs-CZ"/>
      </w:rPr>
    </w:lvl>
    <w:lvl w:ilvl="2" w:tplc="5FAA8500">
      <w:numFmt w:val="bullet"/>
      <w:lvlText w:val="•"/>
      <w:lvlJc w:val="left"/>
      <w:pPr>
        <w:ind w:left="2164" w:hanging="116"/>
      </w:pPr>
      <w:rPr>
        <w:rFonts w:hint="default"/>
        <w:lang w:val="cs-CZ" w:eastAsia="cs-CZ" w:bidi="cs-CZ"/>
      </w:rPr>
    </w:lvl>
    <w:lvl w:ilvl="3" w:tplc="F268090E">
      <w:numFmt w:val="bullet"/>
      <w:lvlText w:val="•"/>
      <w:lvlJc w:val="left"/>
      <w:pPr>
        <w:ind w:left="3106" w:hanging="116"/>
      </w:pPr>
      <w:rPr>
        <w:rFonts w:hint="default"/>
        <w:lang w:val="cs-CZ" w:eastAsia="cs-CZ" w:bidi="cs-CZ"/>
      </w:rPr>
    </w:lvl>
    <w:lvl w:ilvl="4" w:tplc="D32E0E86">
      <w:numFmt w:val="bullet"/>
      <w:lvlText w:val="•"/>
      <w:lvlJc w:val="left"/>
      <w:pPr>
        <w:ind w:left="4048" w:hanging="116"/>
      </w:pPr>
      <w:rPr>
        <w:rFonts w:hint="default"/>
        <w:lang w:val="cs-CZ" w:eastAsia="cs-CZ" w:bidi="cs-CZ"/>
      </w:rPr>
    </w:lvl>
    <w:lvl w:ilvl="5" w:tplc="824C2EAE">
      <w:numFmt w:val="bullet"/>
      <w:lvlText w:val="•"/>
      <w:lvlJc w:val="left"/>
      <w:pPr>
        <w:ind w:left="4990" w:hanging="116"/>
      </w:pPr>
      <w:rPr>
        <w:rFonts w:hint="default"/>
        <w:lang w:val="cs-CZ" w:eastAsia="cs-CZ" w:bidi="cs-CZ"/>
      </w:rPr>
    </w:lvl>
    <w:lvl w:ilvl="6" w:tplc="4F98F89C">
      <w:numFmt w:val="bullet"/>
      <w:lvlText w:val="•"/>
      <w:lvlJc w:val="left"/>
      <w:pPr>
        <w:ind w:left="5932" w:hanging="116"/>
      </w:pPr>
      <w:rPr>
        <w:rFonts w:hint="default"/>
        <w:lang w:val="cs-CZ" w:eastAsia="cs-CZ" w:bidi="cs-CZ"/>
      </w:rPr>
    </w:lvl>
    <w:lvl w:ilvl="7" w:tplc="1AD84D4E">
      <w:numFmt w:val="bullet"/>
      <w:lvlText w:val="•"/>
      <w:lvlJc w:val="left"/>
      <w:pPr>
        <w:ind w:left="6874" w:hanging="116"/>
      </w:pPr>
      <w:rPr>
        <w:rFonts w:hint="default"/>
        <w:lang w:val="cs-CZ" w:eastAsia="cs-CZ" w:bidi="cs-CZ"/>
      </w:rPr>
    </w:lvl>
    <w:lvl w:ilvl="8" w:tplc="1F02142A">
      <w:numFmt w:val="bullet"/>
      <w:lvlText w:val="•"/>
      <w:lvlJc w:val="left"/>
      <w:pPr>
        <w:ind w:left="7816" w:hanging="116"/>
      </w:pPr>
      <w:rPr>
        <w:rFonts w:hint="default"/>
        <w:lang w:val="cs-CZ" w:eastAsia="cs-CZ" w:bidi="cs-CZ"/>
      </w:rPr>
    </w:lvl>
  </w:abstractNum>
  <w:abstractNum w:abstractNumId="7" w15:restartNumberingAfterBreak="0">
    <w:nsid w:val="5E5A6B2B"/>
    <w:multiLevelType w:val="hybridMultilevel"/>
    <w:tmpl w:val="3442563C"/>
    <w:lvl w:ilvl="0" w:tplc="97B8D456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88A57CE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D0BC71CC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2CF07C6C">
      <w:numFmt w:val="bullet"/>
      <w:lvlText w:val="•"/>
      <w:lvlJc w:val="left"/>
      <w:pPr>
        <w:ind w:left="2927" w:hanging="272"/>
      </w:pPr>
      <w:rPr>
        <w:rFonts w:hint="default"/>
        <w:lang w:val="cs-CZ" w:eastAsia="cs-CZ" w:bidi="cs-CZ"/>
      </w:rPr>
    </w:lvl>
    <w:lvl w:ilvl="4" w:tplc="DDFA840C">
      <w:numFmt w:val="bullet"/>
      <w:lvlText w:val="•"/>
      <w:lvlJc w:val="left"/>
      <w:pPr>
        <w:ind w:left="3895" w:hanging="272"/>
      </w:pPr>
      <w:rPr>
        <w:rFonts w:hint="default"/>
        <w:lang w:val="cs-CZ" w:eastAsia="cs-CZ" w:bidi="cs-CZ"/>
      </w:rPr>
    </w:lvl>
    <w:lvl w:ilvl="5" w:tplc="5E02E098">
      <w:numFmt w:val="bullet"/>
      <w:lvlText w:val="•"/>
      <w:lvlJc w:val="left"/>
      <w:pPr>
        <w:ind w:left="4862" w:hanging="272"/>
      </w:pPr>
      <w:rPr>
        <w:rFonts w:hint="default"/>
        <w:lang w:val="cs-CZ" w:eastAsia="cs-CZ" w:bidi="cs-CZ"/>
      </w:rPr>
    </w:lvl>
    <w:lvl w:ilvl="6" w:tplc="BE788FC0">
      <w:numFmt w:val="bullet"/>
      <w:lvlText w:val="•"/>
      <w:lvlJc w:val="left"/>
      <w:pPr>
        <w:ind w:left="5830" w:hanging="272"/>
      </w:pPr>
      <w:rPr>
        <w:rFonts w:hint="default"/>
        <w:lang w:val="cs-CZ" w:eastAsia="cs-CZ" w:bidi="cs-CZ"/>
      </w:rPr>
    </w:lvl>
    <w:lvl w:ilvl="7" w:tplc="3266EE34">
      <w:numFmt w:val="bullet"/>
      <w:lvlText w:val="•"/>
      <w:lvlJc w:val="left"/>
      <w:pPr>
        <w:ind w:left="6797" w:hanging="272"/>
      </w:pPr>
      <w:rPr>
        <w:rFonts w:hint="default"/>
        <w:lang w:val="cs-CZ" w:eastAsia="cs-CZ" w:bidi="cs-CZ"/>
      </w:rPr>
    </w:lvl>
    <w:lvl w:ilvl="8" w:tplc="D5467F92">
      <w:numFmt w:val="bullet"/>
      <w:lvlText w:val="•"/>
      <w:lvlJc w:val="left"/>
      <w:pPr>
        <w:ind w:left="7765" w:hanging="272"/>
      </w:pPr>
      <w:rPr>
        <w:rFonts w:hint="default"/>
        <w:lang w:val="cs-CZ" w:eastAsia="cs-CZ" w:bidi="cs-CZ"/>
      </w:rPr>
    </w:lvl>
  </w:abstractNum>
  <w:abstractNum w:abstractNumId="8" w15:restartNumberingAfterBreak="0">
    <w:nsid w:val="62AC1D81"/>
    <w:multiLevelType w:val="hybridMultilevel"/>
    <w:tmpl w:val="30E8959E"/>
    <w:lvl w:ilvl="0" w:tplc="3A8218DA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6B27BF2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82E283C0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F55C5112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7A26927E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9850B8D8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BB4E2D4A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F6F838D6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E7AEB684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9" w15:restartNumberingAfterBreak="0">
    <w:nsid w:val="7D6B5533"/>
    <w:multiLevelType w:val="hybridMultilevel"/>
    <w:tmpl w:val="A78AE31A"/>
    <w:lvl w:ilvl="0" w:tplc="0A0856F8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08A2176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F78EABE8">
      <w:numFmt w:val="bullet"/>
      <w:lvlText w:val="•"/>
      <w:lvlJc w:val="left"/>
      <w:pPr>
        <w:ind w:left="6340" w:hanging="284"/>
      </w:pPr>
      <w:rPr>
        <w:rFonts w:hint="default"/>
        <w:lang w:val="cs-CZ" w:eastAsia="cs-CZ" w:bidi="cs-CZ"/>
      </w:rPr>
    </w:lvl>
    <w:lvl w:ilvl="3" w:tplc="54FCE340">
      <w:numFmt w:val="bullet"/>
      <w:lvlText w:val="•"/>
      <w:lvlJc w:val="left"/>
      <w:pPr>
        <w:ind w:left="6760" w:hanging="284"/>
      </w:pPr>
      <w:rPr>
        <w:rFonts w:hint="default"/>
        <w:lang w:val="cs-CZ" w:eastAsia="cs-CZ" w:bidi="cs-CZ"/>
      </w:rPr>
    </w:lvl>
    <w:lvl w:ilvl="4" w:tplc="8DEAE110">
      <w:numFmt w:val="bullet"/>
      <w:lvlText w:val="•"/>
      <w:lvlJc w:val="left"/>
      <w:pPr>
        <w:ind w:left="7180" w:hanging="284"/>
      </w:pPr>
      <w:rPr>
        <w:rFonts w:hint="default"/>
        <w:lang w:val="cs-CZ" w:eastAsia="cs-CZ" w:bidi="cs-CZ"/>
      </w:rPr>
    </w:lvl>
    <w:lvl w:ilvl="5" w:tplc="C8EED496">
      <w:numFmt w:val="bullet"/>
      <w:lvlText w:val="•"/>
      <w:lvlJc w:val="left"/>
      <w:pPr>
        <w:ind w:left="7600" w:hanging="284"/>
      </w:pPr>
      <w:rPr>
        <w:rFonts w:hint="default"/>
        <w:lang w:val="cs-CZ" w:eastAsia="cs-CZ" w:bidi="cs-CZ"/>
      </w:rPr>
    </w:lvl>
    <w:lvl w:ilvl="6" w:tplc="37925F50">
      <w:numFmt w:val="bullet"/>
      <w:lvlText w:val="•"/>
      <w:lvlJc w:val="left"/>
      <w:pPr>
        <w:ind w:left="8020" w:hanging="284"/>
      </w:pPr>
      <w:rPr>
        <w:rFonts w:hint="default"/>
        <w:lang w:val="cs-CZ" w:eastAsia="cs-CZ" w:bidi="cs-CZ"/>
      </w:rPr>
    </w:lvl>
    <w:lvl w:ilvl="7" w:tplc="117AF288">
      <w:numFmt w:val="bullet"/>
      <w:lvlText w:val="•"/>
      <w:lvlJc w:val="left"/>
      <w:pPr>
        <w:ind w:left="8440" w:hanging="284"/>
      </w:pPr>
      <w:rPr>
        <w:rFonts w:hint="default"/>
        <w:lang w:val="cs-CZ" w:eastAsia="cs-CZ" w:bidi="cs-CZ"/>
      </w:rPr>
    </w:lvl>
    <w:lvl w:ilvl="8" w:tplc="CAC21A40">
      <w:numFmt w:val="bullet"/>
      <w:lvlText w:val="•"/>
      <w:lvlJc w:val="left"/>
      <w:pPr>
        <w:ind w:left="8860" w:hanging="28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96634"/>
    <w:rsid w:val="003E2978"/>
    <w:rsid w:val="007F6E77"/>
    <w:rsid w:val="008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66866A"/>
  <w15:docId w15:val="{D2BC4FD5-D619-4A8C-A74B-EA36D2C3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4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671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44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4804</Words>
  <Characters>28348</Characters>
  <Application>Microsoft Office Word</Application>
  <DocSecurity>0</DocSecurity>
  <Lines>236</Lines>
  <Paragraphs>66</Paragraphs>
  <ScaleCrop>false</ScaleCrop>
  <Company>SFZP</Company>
  <LinksUpToDate>false</LinksUpToDate>
  <CharactersWithSpaces>33086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2021-09-07T11:39:00Z</dcterms:created>
  <dcterms:modified xsi:type="dcterms:W3CDTF">2021-09-07T11:39:00Z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