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rFonts w:asciiTheme="minorHAnsi" w:cstheme="minorBidi" w:eastAsiaTheme="minorHAnsi" w:hAnsiTheme="minorHAnsi"/>
          <w:b/>
          <w:bCs/>
          <w:color w:val="000000"/>
          <w:sz w:val="20"/>
          <w:szCs w:val="20"/>
          <w:highlight w:val="black"/>
        </w:rPr>
        <w:t>Lažany 135, 679 22 Lipůvka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  <w:t>Základní škola Tišnov, příspěvková organizace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>nám. 28. října 1708, 666 01 Tišnov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 : </w:t>
        <w:tab/>
        <w:tab/>
        <w:tab/>
        <w:t>PaedDr. Radmilou Zhořovou, ředitelkou školy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1.9.2017.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zajistit pro Smluvní školu výuku plavání žáků v rámci tělesné výchovy v rozsahu výukových jednotek  v jednom ročníku ( 20  x 45 minut nebo 10 x 90 minut 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výuce, v souladu s příslušnými právními předpisy a předpisy MŠMT ČR, které se vztahují k výuce plavání a při dodržování bezpečnostních předpisů, které mají zabránit vzniku škody na zdraví nebo majetku. PK odpovídá za zdraví a životy dětí a žáků v průběhu výukové jednotky od převzetí dětí a žáků,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a jí pověřených osob, týkajících se zejména vstupu do objektu výuky plavání, pravidla pro využití šaten, přístup na bazén, pohyb a chování na bazénu před, během a po výuce a odchod z bazénu.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Centrum  Kuřim, Sportovní 1082, 664 34 Kuřim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 2021/2022 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Tato smlouva se uzavírá na dobu určitou do 30.6.2022.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ab/>
      </w:r>
    </w:p>
    <w:p>
      <w:pPr>
        <w:pStyle w:val="Normal"/>
        <w:rPr/>
      </w:pPr>
      <w:r>
        <w:rPr/>
        <w:t xml:space="preserve">Provozní náklady : </w:t>
        <w:tab/>
        <w:t xml:space="preserve"> </w:t>
        <w:tab/>
        <w:t xml:space="preserve">10 x </w:t>
        <w:tab/>
        <w:t xml:space="preserve">1.480- </w:t>
        <w:tab/>
        <w:tab/>
        <w:tab/>
        <w:t>14.800,-</w:t>
      </w:r>
    </w:p>
    <w:p>
      <w:pPr>
        <w:pStyle w:val="Normal"/>
        <w:rPr/>
      </w:pPr>
      <w:r>
        <w:rPr/>
        <w:t>Mzdové náklady:</w:t>
        <w:tab/>
        <w:tab/>
        <w:t xml:space="preserve">10 x </w:t>
        <w:tab/>
        <w:t>1.500,-</w:t>
        <w:tab/>
        <w:tab/>
        <w:tab/>
        <w:t xml:space="preserve">15.000,-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  <w:t xml:space="preserve">29.800,- </w:t>
        <w:tab/>
        <w:tab/>
        <w:tab/>
        <w:tab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zákoníku,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</w:t>
        <w:tab/>
        <w:tab/>
        <w:tab/>
        <w:t>-------------------------------------------------------------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Plavecká škola </w:t>
        <w:tab/>
        <w:tab/>
        <w:tab/>
        <w:tab/>
        <w:tab/>
        <w:tab/>
        <w:tab/>
        <w:t xml:space="preserve">Smluvní škola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246380</wp:posOffset>
            </wp:positionH>
            <wp:positionV relativeFrom="paragraph">
              <wp:posOffset>-123825</wp:posOffset>
            </wp:positionV>
            <wp:extent cx="1794510" cy="1188720"/>
            <wp:effectExtent l="0" t="0" r="0" b="0"/>
            <wp:wrapNone/>
            <wp:docPr id="1" name="obrázek 4" descr="C:\Users\ToshibaPC\Document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C:\Users\ToshibaPC\Documents\razítk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/>
      </w:r>
    </w:p>
    <w:p>
      <w:pPr>
        <w:pStyle w:val="Normal"/>
        <w:rPr/>
      </w:pPr>
      <w:r>
        <w:rPr/>
        <w:t>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708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link w:val="Nzev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Internetový odkaz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LibreOffice/6.4.0.3$Windows_X86_64 LibreOffice_project/b0a288ab3d2d4774cb44b62f04d5d28733ac6df8</Application>
  <Pages>4</Pages>
  <Words>806</Words>
  <Characters>4671</Characters>
  <CharactersWithSpaces>5544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2021-08-19T10:40:00Z</dcterms:created>
  <dc:creator>ToshibaPC</dc:creator>
  <dc:description/>
  <dc:language>cs-CZ</dc:language>
  <cp:lastModifiedBy/>
  <cp:lastPrinted>2018-08-13T08:38:00Z</cp:lastPrinted>
  <dcterms:modified xsi:type="dcterms:W3CDTF">2021-09-07T12:06:17Z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