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FF" w:rsidRDefault="00EF3F38">
      <w:pPr>
        <w:spacing w:line="1" w:lineRule="exact"/>
      </w:pPr>
      <w:r>
        <w:rPr>
          <w:noProof/>
          <w:lang w:bidi="ar-SA"/>
        </w:rPr>
        <w:drawing>
          <wp:anchor distT="0" distB="0" distL="114300" distR="3162935" simplePos="0" relativeHeight="125829378" behindDoc="0" locked="0" layoutInCell="1" allowOverlap="1">
            <wp:simplePos x="0" y="0"/>
            <wp:positionH relativeFrom="page">
              <wp:posOffset>1096645</wp:posOffset>
            </wp:positionH>
            <wp:positionV relativeFrom="paragraph">
              <wp:posOffset>12700</wp:posOffset>
            </wp:positionV>
            <wp:extent cx="890270" cy="60960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97790</wp:posOffset>
                </wp:positionV>
                <wp:extent cx="1932305" cy="4419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Titulekobrzku0"/>
                              <w:jc w:val="both"/>
                            </w:pPr>
                            <w:r>
                              <w:t>EVROPSKÁ UNIE</w:t>
                            </w:r>
                          </w:p>
                          <w:p w:rsidR="005053FF" w:rsidRDefault="00EF3F38">
                            <w:pPr>
                              <w:pStyle w:val="Titulekobrzku0"/>
                              <w:jc w:val="both"/>
                            </w:pPr>
                            <w:r>
                              <w:t>Evropský fond pro regionální rozvoj</w:t>
                            </w:r>
                          </w:p>
                          <w:p w:rsidR="005053FF" w:rsidRDefault="00EF3F38">
                            <w:pPr>
                              <w:pStyle w:val="Titulekobrzku0"/>
                              <w:jc w:val="both"/>
                            </w:pPr>
                            <w:r>
                              <w:t>Integrovaný regionální operační program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0.5pt;margin-top:7.7000000000000002pt;width:152.15000000000001pt;height:34.8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EVROPSKÁ UNIE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Evropský fond pro regionální rozvoj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Integrovaný regionální operační 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9375" distB="69850" distL="3241675" distR="114300" simplePos="0" relativeHeight="125829379" behindDoc="0" locked="0" layoutInCell="1" allowOverlap="1">
            <wp:simplePos x="0" y="0"/>
            <wp:positionH relativeFrom="page">
              <wp:posOffset>4224020</wp:posOffset>
            </wp:positionH>
            <wp:positionV relativeFrom="paragraph">
              <wp:posOffset>92075</wp:posOffset>
            </wp:positionV>
            <wp:extent cx="810895" cy="46355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08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3FF" w:rsidRDefault="00EF3F38">
      <w:pPr>
        <w:pStyle w:val="Zkladntext50"/>
      </w:pPr>
      <w:r>
        <w:t>MINISTERSTVO PRO MÍSTNÍ ROZVOJ ČR</w:t>
      </w:r>
    </w:p>
    <w:p w:rsidR="005053FF" w:rsidRDefault="00EF3F38">
      <w:pPr>
        <w:pStyle w:val="Nadpis20"/>
        <w:keepNext/>
        <w:keepLines/>
      </w:pPr>
      <w:bookmarkStart w:id="0" w:name="bookmark7"/>
      <w:r>
        <w:t>Kupní smlouva</w:t>
      </w:r>
      <w:bookmarkEnd w:id="0"/>
    </w:p>
    <w:p w:rsidR="005053FF" w:rsidRDefault="00EF3F38">
      <w:pPr>
        <w:pStyle w:val="Zkladntext1"/>
        <w:spacing w:after="540"/>
        <w:jc w:val="center"/>
      </w:pPr>
      <w:r>
        <w:t>uzavřená podle § 2079 a násl. zákona č. 89/2012, občanský zákoník (dále jen „občanský</w:t>
      </w:r>
      <w:r>
        <w:br/>
        <w:t xml:space="preserve">zákoník“) ve znění </w:t>
      </w:r>
      <w:r>
        <w:t>pozdějších předpisů mezi níže uvedenými smluvními stranami</w:t>
      </w:r>
    </w:p>
    <w:p w:rsidR="005053FF" w:rsidRDefault="00EF3F38">
      <w:pPr>
        <w:pStyle w:val="Nadpis40"/>
        <w:keepNext/>
        <w:keepLines/>
        <w:jc w:val="left"/>
      </w:pPr>
      <w:bookmarkStart w:id="1" w:name="bookmark9"/>
      <w:r>
        <w:t>Muzeum umění Olomouc, státní příspěvková organizace</w:t>
      </w:r>
      <w:bookmarkEnd w:id="1"/>
    </w:p>
    <w:p w:rsidR="005053FF" w:rsidRDefault="00EF3F38">
      <w:pPr>
        <w:pStyle w:val="Zkladntext1"/>
        <w:tabs>
          <w:tab w:val="left" w:pos="2083"/>
          <w:tab w:val="left" w:pos="3968"/>
        </w:tabs>
      </w:pPr>
      <w:r>
        <w:t>sídlo:</w:t>
      </w:r>
      <w:r>
        <w:tab/>
        <w:t>Denisova 47, 771</w:t>
      </w:r>
      <w:r>
        <w:tab/>
        <w:t>11 Olomouc</w:t>
      </w:r>
    </w:p>
    <w:p w:rsidR="005053FF" w:rsidRDefault="00EF3F38">
      <w:pPr>
        <w:pStyle w:val="Zkladntext1"/>
        <w:tabs>
          <w:tab w:val="left" w:pos="2083"/>
        </w:tabs>
      </w:pPr>
      <w:r>
        <w:t>IČO:</w:t>
      </w:r>
      <w:r>
        <w:tab/>
        <w:t>75079950</w:t>
      </w:r>
    </w:p>
    <w:p w:rsidR="005053FF" w:rsidRDefault="00EF3F38">
      <w:pPr>
        <w:pStyle w:val="Zkladntext1"/>
        <w:tabs>
          <w:tab w:val="left" w:pos="2083"/>
        </w:tabs>
      </w:pPr>
      <w:r>
        <w:t>DIČ:</w:t>
      </w:r>
      <w:r>
        <w:tab/>
        <w:t>CZ 75079950</w:t>
      </w:r>
    </w:p>
    <w:p w:rsidR="005053FF" w:rsidRDefault="00EF3F38">
      <w:pPr>
        <w:pStyle w:val="Zkladntext1"/>
      </w:pPr>
      <w:r>
        <w:t>zastoupená:</w:t>
      </w:r>
    </w:p>
    <w:p w:rsidR="005053FF" w:rsidRDefault="00EF3F38">
      <w:pPr>
        <w:pStyle w:val="Zkladntext1"/>
      </w:pPr>
      <w:r>
        <w:t>ve věcech smluvních: Mgr. Ondřej Zatloukal - ředitel</w:t>
      </w:r>
    </w:p>
    <w:p w:rsidR="005053FF" w:rsidRDefault="00EF3F38">
      <w:pPr>
        <w:pStyle w:val="Zkladntext1"/>
      </w:pPr>
      <w:r>
        <w:t>ve věcech tech</w:t>
      </w:r>
      <w:r>
        <w:t>nických:</w:t>
      </w:r>
    </w:p>
    <w:p w:rsidR="005053FF" w:rsidRDefault="00EF3F38">
      <w:pPr>
        <w:pStyle w:val="Zkladntext1"/>
        <w:spacing w:after="380"/>
      </w:pPr>
      <w:r>
        <w:rPr>
          <w:i/>
          <w:iCs/>
        </w:rPr>
        <w:t>(jako „kupující“)</w:t>
      </w:r>
    </w:p>
    <w:p w:rsidR="005053FF" w:rsidRDefault="00EF3F38">
      <w:pPr>
        <w:pStyle w:val="Zkladntext1"/>
        <w:spacing w:after="260"/>
      </w:pPr>
      <w:r>
        <w:rPr>
          <w:b/>
          <w:bCs/>
        </w:rPr>
        <w:t>a</w:t>
      </w:r>
    </w:p>
    <w:p w:rsidR="005053FF" w:rsidRDefault="00EF3F38">
      <w:pPr>
        <w:pStyle w:val="Nadpis40"/>
        <w:keepNext/>
        <w:keepLines/>
        <w:jc w:val="left"/>
      </w:pPr>
      <w:bookmarkStart w:id="2" w:name="bookmark11"/>
      <w:r>
        <w:t>COPY GENERAL TECHNOLOGY, s. r. o.</w:t>
      </w:r>
      <w:bookmarkEnd w:id="2"/>
    </w:p>
    <w:p w:rsidR="005053FF" w:rsidRDefault="00EF3F38">
      <w:pPr>
        <w:pStyle w:val="Zkladntext1"/>
        <w:tabs>
          <w:tab w:val="left" w:pos="2083"/>
        </w:tabs>
      </w:pPr>
      <w:r>
        <w:t>sídlo:</w:t>
      </w:r>
      <w:r>
        <w:tab/>
        <w:t>Křížová 2598/4, Smíchov, 150 00 Praha 5</w:t>
      </w:r>
    </w:p>
    <w:p w:rsidR="005053FF" w:rsidRDefault="00EF3F38">
      <w:pPr>
        <w:pStyle w:val="Zkladntext1"/>
        <w:tabs>
          <w:tab w:val="left" w:pos="2083"/>
        </w:tabs>
      </w:pPr>
      <w:r>
        <w:t>IČO:</w:t>
      </w:r>
      <w:r>
        <w:tab/>
        <w:t>03846440</w:t>
      </w:r>
    </w:p>
    <w:p w:rsidR="005053FF" w:rsidRDefault="00EF3F38">
      <w:pPr>
        <w:pStyle w:val="Zkladntext1"/>
        <w:tabs>
          <w:tab w:val="left" w:pos="2083"/>
        </w:tabs>
      </w:pPr>
      <w:r>
        <w:t>DIČ:</w:t>
      </w:r>
      <w:r>
        <w:tab/>
        <w:t>CZ03846440</w:t>
      </w:r>
    </w:p>
    <w:p w:rsidR="005053FF" w:rsidRDefault="00EF3F38">
      <w:pPr>
        <w:pStyle w:val="Zkladntext1"/>
        <w:tabs>
          <w:tab w:val="left" w:pos="2083"/>
        </w:tabs>
      </w:pPr>
      <w:r>
        <w:t>bankovní spojení:</w:t>
      </w:r>
      <w:r>
        <w:tab/>
      </w:r>
      <w:proofErr w:type="spellStart"/>
      <w:r w:rsidR="00452A3F">
        <w:t>xxx</w:t>
      </w:r>
      <w:proofErr w:type="spellEnd"/>
    </w:p>
    <w:p w:rsidR="005053FF" w:rsidRDefault="00EF3F38">
      <w:pPr>
        <w:pStyle w:val="Zkladntext1"/>
        <w:ind w:left="2140"/>
      </w:pPr>
      <w:r>
        <w:t xml:space="preserve">číslo účtu: </w:t>
      </w:r>
      <w:r w:rsidR="00452A3F">
        <w:t>xxx</w:t>
      </w:r>
      <w:bookmarkStart w:id="3" w:name="_GoBack"/>
      <w:bookmarkEnd w:id="3"/>
    </w:p>
    <w:p w:rsidR="005053FF" w:rsidRDefault="00EF3F38">
      <w:pPr>
        <w:pStyle w:val="Zkladntext1"/>
        <w:tabs>
          <w:tab w:val="left" w:pos="2083"/>
        </w:tabs>
      </w:pPr>
      <w:r>
        <w:t>zastoupená:</w:t>
      </w:r>
      <w:r>
        <w:tab/>
        <w:t xml:space="preserve">Jakub </w:t>
      </w:r>
      <w:proofErr w:type="spellStart"/>
      <w:r>
        <w:t>Frišman</w:t>
      </w:r>
      <w:proofErr w:type="spellEnd"/>
      <w:r>
        <w:t xml:space="preserve"> - jednatel</w:t>
      </w:r>
    </w:p>
    <w:p w:rsidR="005053FF" w:rsidRDefault="00EF3F38">
      <w:pPr>
        <w:pStyle w:val="Zkladntext1"/>
      </w:pPr>
      <w:r>
        <w:t xml:space="preserve">ve věcech smluvních: </w:t>
      </w:r>
      <w:r>
        <w:t xml:space="preserve">Jakub </w:t>
      </w:r>
      <w:proofErr w:type="spellStart"/>
      <w:r>
        <w:t>Frišman</w:t>
      </w:r>
      <w:proofErr w:type="spellEnd"/>
      <w:r>
        <w:t xml:space="preserve"> - jednatel</w:t>
      </w:r>
    </w:p>
    <w:p w:rsidR="005053FF" w:rsidRDefault="00EF3F38">
      <w:pPr>
        <w:pStyle w:val="Zkladntext1"/>
        <w:spacing w:after="260"/>
      </w:pPr>
      <w:r>
        <w:rPr>
          <w:i/>
          <w:iCs/>
        </w:rPr>
        <w:t>(jako „prodávající“)</w:t>
      </w:r>
    </w:p>
    <w:p w:rsidR="005053FF" w:rsidRDefault="005053FF">
      <w:pPr>
        <w:pStyle w:val="Nadpis40"/>
        <w:keepNext/>
        <w:keepLines/>
        <w:numPr>
          <w:ilvl w:val="0"/>
          <w:numId w:val="1"/>
        </w:numPr>
      </w:pPr>
    </w:p>
    <w:p w:rsidR="005053FF" w:rsidRDefault="00EF3F38">
      <w:pPr>
        <w:pStyle w:val="Nadpis40"/>
        <w:keepNext/>
        <w:keepLines/>
      </w:pPr>
      <w:r>
        <w:t>Předmět smlouvy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403"/>
        </w:tabs>
        <w:ind w:left="440" w:hanging="440"/>
        <w:jc w:val="both"/>
      </w:pPr>
      <w:r>
        <w:t>Předmětem této smlouvy je závazek prodávajícího dodat kupujícímu 1 ks samostatně stojícího kompletu bezkontaktního skeneru uměleckých děl s využitím zejména pro obrazy dle specifikací uvedených</w:t>
      </w:r>
      <w:r>
        <w:t xml:space="preserve"> v příloze č. 1 této smlouvy. Součástí předmětu smlouvy je i veškerý potřebný software pro provoz zařízení, přičemž součástí kupní ceny je i platba za časově neomezené potřebné licence k tomuto software.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403"/>
        </w:tabs>
        <w:ind w:left="440" w:hanging="440"/>
        <w:jc w:val="both"/>
      </w:pPr>
      <w:r>
        <w:t>Součástí předmětu smlouvy je dodávka na místo plnění</w:t>
      </w:r>
      <w:r>
        <w:t>, dodávka podružného materiálu nutného pro zprovoznění zařízení, návody a příslušné technické listy nutné k provozování zařízení, instalace (vč. zapojení do digitalizační linky kupujícího), kalibrace a proškolení obsluhy (v rozsahu min. 1 pracovního dne).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403"/>
        </w:tabs>
        <w:ind w:left="440" w:hanging="440"/>
        <w:jc w:val="both"/>
      </w:pPr>
      <w:r>
        <w:t>Prodávající není oprávněn dodatečně určit vlastnosti předmětu smlouvy, pokud je neurčí kupující.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403"/>
          <w:tab w:val="left" w:pos="2083"/>
        </w:tabs>
        <w:jc w:val="both"/>
      </w:pPr>
      <w:r>
        <w:t>Ustanovení §</w:t>
      </w:r>
      <w:r>
        <w:tab/>
        <w:t xml:space="preserve">577 z. </w:t>
      </w:r>
      <w:proofErr w:type="gramStart"/>
      <w:r>
        <w:t>č.</w:t>
      </w:r>
      <w:proofErr w:type="gramEnd"/>
      <w:r>
        <w:t xml:space="preserve"> 89/2012 Sb. občanského zákoníku se nepoužije. Určení</w:t>
      </w:r>
    </w:p>
    <w:p w:rsidR="005053FF" w:rsidRDefault="00EF3F38">
      <w:pPr>
        <w:pStyle w:val="Zkladntext1"/>
        <w:ind w:left="440"/>
        <w:jc w:val="both"/>
      </w:pPr>
      <w:r>
        <w:t>množstevního, časového, územního nebo jiného rozsahu v této smlouvě je pevně určeno</w:t>
      </w:r>
      <w:r>
        <w:t xml:space="preserve"> v této smlouvě a soud není oprávněn do tohoto jakkoliv zasahovat.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403"/>
        </w:tabs>
        <w:spacing w:after="320"/>
        <w:ind w:left="440" w:hanging="440"/>
        <w:jc w:val="both"/>
      </w:pPr>
      <w:r>
        <w:t>Prodávající bere na vědomí, že předmět smlouvy je spolufinancován prostřednictvím Integrovaného regionálního operačního programu v rámci 76. výzvy a že v případě porušení podmínek poskytnut</w:t>
      </w:r>
      <w:r>
        <w:t>é dotace vznikne kupujícímu významná škoda.</w:t>
      </w:r>
    </w:p>
    <w:p w:rsidR="005053FF" w:rsidRDefault="00EF3F38">
      <w:pPr>
        <w:pStyle w:val="Zkladntext1"/>
        <w:numPr>
          <w:ilvl w:val="0"/>
          <w:numId w:val="2"/>
        </w:numPr>
        <w:tabs>
          <w:tab w:val="left" w:pos="328"/>
        </w:tabs>
        <w:spacing w:after="540"/>
        <w:ind w:left="440" w:hanging="440"/>
        <w:jc w:val="both"/>
      </w:pPr>
      <w:r>
        <w:t xml:space="preserve">Prodávající prohlašuje, že není obchodní společností, ve které veřejný funkcionář uvedený v § 2 </w:t>
      </w:r>
      <w:r>
        <w:lastRenderedPageBreak/>
        <w:t>odst. 1 písm. c) zákona č. 159/2006 Sb., o střetu zájmů, ve znění pozdějších předpisů (člen vlády nebo vedoucí jinéh</w:t>
      </w:r>
      <w:r>
        <w:t>o ústředního správního úřadu, v jehož čele není člen vlády), nebo jím ovládaná osoba vlastní podíl představující alespoň 25% účast společníka v obchodní společnosti. Prodávající bere na vědomí, že pokud je uvedené prohlášení nepravdivé, bude smlouva považo</w:t>
      </w:r>
      <w:r>
        <w:t>vána za neplatnou.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4" w:name="bookmark16"/>
      <w:r>
        <w:t>Místo a doba plnění</w:t>
      </w:r>
      <w:bookmarkEnd w:id="4"/>
    </w:p>
    <w:p w:rsidR="005053FF" w:rsidRDefault="00EF3F38">
      <w:pPr>
        <w:pStyle w:val="Zkladntext1"/>
        <w:numPr>
          <w:ilvl w:val="0"/>
          <w:numId w:val="3"/>
        </w:numPr>
        <w:tabs>
          <w:tab w:val="left" w:pos="328"/>
        </w:tabs>
        <w:jc w:val="both"/>
      </w:pPr>
      <w:r>
        <w:t>Místem plnění je sídlo kupujícího.</w:t>
      </w:r>
    </w:p>
    <w:p w:rsidR="005053FF" w:rsidRDefault="00EF3F38">
      <w:pPr>
        <w:pStyle w:val="Zkladntext1"/>
        <w:numPr>
          <w:ilvl w:val="0"/>
          <w:numId w:val="3"/>
        </w:numPr>
        <w:tabs>
          <w:tab w:val="left" w:pos="328"/>
        </w:tabs>
        <w:spacing w:after="540"/>
        <w:ind w:left="360" w:hanging="360"/>
        <w:jc w:val="both"/>
      </w:pPr>
      <w:r>
        <w:t>Prodávající se zavazuje dodat kupujícímu předmět smlouvy dle čl. I. odst. 1 této smlouvy do 30 dnů od nabytí účinnosti smlouvy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5" w:name="bookmark18"/>
      <w:r>
        <w:t>Dodání předmětu smlouvy</w:t>
      </w:r>
      <w:bookmarkEnd w:id="5"/>
    </w:p>
    <w:p w:rsidR="005053FF" w:rsidRDefault="00EF3F38">
      <w:pPr>
        <w:pStyle w:val="Zkladntext1"/>
        <w:numPr>
          <w:ilvl w:val="0"/>
          <w:numId w:val="4"/>
        </w:numPr>
        <w:tabs>
          <w:tab w:val="left" w:pos="328"/>
        </w:tabs>
        <w:ind w:left="300" w:hanging="300"/>
        <w:jc w:val="both"/>
      </w:pPr>
      <w:r>
        <w:t xml:space="preserve">Předmět smlouvy pokládají </w:t>
      </w:r>
      <w:r>
        <w:t>smluvní strany za dodaný, jestliže je bez jakýchkoliv vad (i nebránících užívání) a dojde k jeho převzetí od zástupce prodávajícího, je předvedena jeho funkčnost a veškeré jeho vlastnosti. V případě, že předmět smlouvy je prodávajícím zasílán prostřednictv</w:t>
      </w:r>
      <w:r>
        <w:t>ím zasílatele, dojde k tomuto převzetí až okamžikem převzetí kupujícím od zasílatele v místě plnění. Součástí dodávky je i dodání součástí i příslušenství nutných k užívání předmětu smlouvy vč. všech dokladů k tomuto užívání.</w:t>
      </w:r>
    </w:p>
    <w:p w:rsidR="005053FF" w:rsidRDefault="00EF3F38">
      <w:pPr>
        <w:pStyle w:val="Zkladntext1"/>
        <w:numPr>
          <w:ilvl w:val="0"/>
          <w:numId w:val="4"/>
        </w:numPr>
        <w:tabs>
          <w:tab w:val="left" w:pos="328"/>
        </w:tabs>
        <w:spacing w:after="260"/>
        <w:ind w:left="300" w:hanging="300"/>
        <w:jc w:val="both"/>
      </w:pPr>
      <w:r>
        <w:t>Dokladem o splnění dodávky pře</w:t>
      </w:r>
      <w:r>
        <w:t>dmětu smlouvy podle této smlouvy je písemný předávací protokol podepsaný kupujícím.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6" w:name="bookmark20"/>
      <w:r>
        <w:t>Kupní cena</w:t>
      </w:r>
      <w:bookmarkEnd w:id="6"/>
    </w:p>
    <w:p w:rsidR="005053FF" w:rsidRDefault="00EF3F38">
      <w:pPr>
        <w:pStyle w:val="Zkladntext1"/>
        <w:numPr>
          <w:ilvl w:val="0"/>
          <w:numId w:val="5"/>
        </w:numPr>
        <w:tabs>
          <w:tab w:val="left" w:pos="328"/>
        </w:tabs>
        <w:ind w:left="360" w:hanging="360"/>
        <w:jc w:val="both"/>
      </w:pPr>
      <w:r>
        <w:t xml:space="preserve">Kupující se zavazuje zaplatit za předmět smlouvy cenu ve výši 1 802 900,-- Kč (slovy: </w:t>
      </w:r>
      <w:proofErr w:type="spellStart"/>
      <w:r>
        <w:t>Jedenmilionosmsetdvatisícedevětset</w:t>
      </w:r>
      <w:proofErr w:type="spellEnd"/>
      <w:r>
        <w:t xml:space="preserve"> korun českých) včetně DPH v sazbě 21 %,</w:t>
      </w:r>
      <w:r>
        <w:t xml:space="preserve"> DPH činí 312 900,- Kč.</w:t>
      </w:r>
    </w:p>
    <w:p w:rsidR="005053FF" w:rsidRDefault="00EF3F38">
      <w:pPr>
        <w:pStyle w:val="Zkladntext1"/>
        <w:numPr>
          <w:ilvl w:val="0"/>
          <w:numId w:val="5"/>
        </w:numPr>
        <w:tabs>
          <w:tab w:val="left" w:pos="328"/>
        </w:tabs>
        <w:spacing w:after="540"/>
        <w:ind w:left="360" w:hanging="360"/>
        <w:jc w:val="both"/>
      </w:pPr>
      <w:r>
        <w:t>Cena uvedená v bodu 1 tohoto článku je nejvýše přípustná, zahrnuje veškeré náklady prodávajícího, včetně nákladů na dopravu, předvedení funkčnosti a vlastností. Žádné dodatečné poplatky nebudou účtovány. Změna kupní ceny je možná po</w:t>
      </w:r>
      <w:r>
        <w:t>uze v případě změny sazby DPH</w:t>
      </w:r>
    </w:p>
    <w:p w:rsidR="005053FF" w:rsidRDefault="005053FF">
      <w:pPr>
        <w:pStyle w:val="Nadpis40"/>
        <w:keepNext/>
        <w:keepLines/>
        <w:numPr>
          <w:ilvl w:val="0"/>
          <w:numId w:val="1"/>
        </w:numPr>
      </w:pPr>
    </w:p>
    <w:p w:rsidR="005053FF" w:rsidRDefault="00EF3F38">
      <w:pPr>
        <w:pStyle w:val="Nadpis40"/>
        <w:keepNext/>
        <w:keepLines/>
      </w:pPr>
      <w:r>
        <w:t>Platební podmínky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28"/>
        </w:tabs>
        <w:ind w:left="360" w:hanging="360"/>
        <w:jc w:val="both"/>
      </w:pPr>
      <w:r>
        <w:t>Platba za předmět koupě bude provedena bezhotovostním převodem na základě faktury vystavené po řádném dodání předmětu smlouvy dle čl. III. Splatnost faktury je 30 dnů od jejího doručení kupujícímu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28"/>
        </w:tabs>
        <w:ind w:left="360" w:hanging="360"/>
        <w:jc w:val="both"/>
      </w:pPr>
      <w:r>
        <w:t xml:space="preserve">Faktura </w:t>
      </w:r>
      <w:r>
        <w:t>bude obsahovat specifikaci předmětu smlouvy. Faktura bude obsahovat náležitosti stanovené v zákonu č. 235/2004 Sb. o dani z přidané hodnoty, v platném znění. Součástí faktury bude jako příloha předávací protokol podepsaný kupujícím.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28"/>
        </w:tabs>
        <w:jc w:val="both"/>
      </w:pPr>
      <w:r>
        <w:t>Faktura musí být označe</w:t>
      </w:r>
      <w:r>
        <w:t>na číslem projektu CZ 06 3 33/0 0/0 0/17_099/0007891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28"/>
        </w:tabs>
        <w:ind w:left="360" w:hanging="360"/>
        <w:jc w:val="both"/>
      </w:pPr>
      <w:r>
        <w:t>V případě, že faktura nebude obsahovat dohodnuté či stanovené náležitosti, má kupující právo vrátit ji prodávajícímu ve lhůtě splatnosti k doplnění či opravě. Nová lhůta splatnosti počíná běžet ode dne o</w:t>
      </w:r>
      <w:r>
        <w:t>pětovného doručení bezvadné faktury kupujícímu, přičemž kupující není po tuto dobu v prodlení s úhradou ceny.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36"/>
        </w:tabs>
        <w:jc w:val="both"/>
      </w:pPr>
      <w:r>
        <w:t>. Kupující neposkytuje na dodání předmětu koupě zálohy.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36"/>
        </w:tabs>
        <w:ind w:left="360" w:hanging="360"/>
        <w:jc w:val="both"/>
      </w:pPr>
      <w:r>
        <w:t xml:space="preserve">. Prodávající prohlašuje, že není nespolehlivým plátcem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235/2004 Sb. Prodávající </w:t>
      </w:r>
      <w:r>
        <w:t xml:space="preserve">je povinen sdělit kupujícímu po uzavření smlouvy, že se stal nespolehlivým plátcem do 2 pracovních dnů, v případě porušení této povinnosti odpovídá kupujícímu za škodu, které mu v </w:t>
      </w:r>
      <w:r>
        <w:lastRenderedPageBreak/>
        <w:t>této souvislosti vznikne.</w:t>
      </w:r>
    </w:p>
    <w:p w:rsidR="005053FF" w:rsidRDefault="00EF3F38">
      <w:pPr>
        <w:pStyle w:val="Zkladntext1"/>
        <w:numPr>
          <w:ilvl w:val="0"/>
          <w:numId w:val="6"/>
        </w:numPr>
        <w:tabs>
          <w:tab w:val="left" w:pos="336"/>
        </w:tabs>
        <w:spacing w:after="260"/>
        <w:ind w:left="360" w:hanging="360"/>
        <w:jc w:val="both"/>
      </w:pPr>
      <w:r>
        <w:t xml:space="preserve">. Zhotovitel prohlašuje, že bankovní účet uvedený </w:t>
      </w:r>
      <w:r>
        <w:t>v záhlaví této smlouvy je bankovním účtem zveřejněným ve smyslu zákona o DPH. V případě změny účtu zhotovitele je zhotovitel povinen doložit vlastnictví k novému účtu, a to kopií příslušné smlouvy nebo potvrzením peněžního ústavu; nový účet však musí být z</w:t>
      </w:r>
      <w:r>
        <w:t>veřejněným účtem ve smyslu předchozí věty.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7" w:name="bookmark25"/>
      <w:r>
        <w:t>Prohlášení prodávajícího</w:t>
      </w:r>
      <w:bookmarkEnd w:id="7"/>
    </w:p>
    <w:p w:rsidR="005053FF" w:rsidRDefault="00EF3F38">
      <w:pPr>
        <w:pStyle w:val="Zkladntext1"/>
        <w:numPr>
          <w:ilvl w:val="0"/>
          <w:numId w:val="7"/>
        </w:numPr>
        <w:tabs>
          <w:tab w:val="left" w:pos="336"/>
        </w:tabs>
        <w:ind w:left="360" w:hanging="360"/>
        <w:jc w:val="both"/>
      </w:pPr>
      <w:r>
        <w:t>Prodávající prohlašuje, že předmět smlouvy nemá žádné vady faktické ani právní, neváznou na něm zástavy ani žádná jiná práva třetích osob.</w:t>
      </w:r>
    </w:p>
    <w:p w:rsidR="005053FF" w:rsidRDefault="00EF3F38">
      <w:pPr>
        <w:pStyle w:val="Zkladntext1"/>
        <w:numPr>
          <w:ilvl w:val="0"/>
          <w:numId w:val="7"/>
        </w:numPr>
        <w:tabs>
          <w:tab w:val="left" w:pos="336"/>
        </w:tabs>
        <w:spacing w:after="540"/>
        <w:ind w:left="360" w:hanging="360"/>
        <w:jc w:val="both"/>
      </w:pPr>
      <w:r>
        <w:t>Prodávající prohlašuje, že je oprávněn vlastnick</w:t>
      </w:r>
      <w:r>
        <w:t>é právo k předmětu smlouvy převést na základě řádného titulu umožňujícího vznik vlastnického práva kupujícího a zánik veškerých případných práv třetích osob k předmětu smlouvy.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8" w:name="bookmark27"/>
      <w:r>
        <w:t>Odpovědnost za vady</w:t>
      </w:r>
      <w:bookmarkEnd w:id="8"/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 xml:space="preserve">Kupující je oprávněn reklamovat jak skryté vady, tak </w:t>
      </w:r>
      <w:r>
        <w:t>zjevné vady zboží, které se vyskytly při předávání zboží kupujícímu. Smluvní strany se dohodly, že za vadu se považuje i změna barvy skenování oproti běžnému standardu po dobu 5 let ode dne splnění předmětu smlouvy.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 xml:space="preserve">Prodávající odpovídá kupujícímu za vady </w:t>
      </w:r>
      <w:r>
        <w:t>předmětu smlouvy v záruční době, která činí 5 let ode dne předání celého předmětu smlouvy tak, že předmět koupě bude mít smluvenou jakost, není-li smluvena tak jakost vhodnou pro účel obvyklý.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>Smluvní strany se dohodly, že záruka se vztahuje na veškeré vad</w:t>
      </w:r>
      <w:r>
        <w:t>y předmětu koupě, a to i vady vzniklé běžným opotřebením, užíváním.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>Do záruční doby se nezapočítává doba, po kterou není možno předmět koupě řádně užívat v důsledku reklamované vady.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 xml:space="preserve">Kupující je oprávněn reklamovat vadu i mailem na adresu </w:t>
      </w:r>
      <w:hyperlink r:id="rId10" w:history="1">
        <w:r>
          <w:t>servis@designjet.cz</w:t>
        </w:r>
      </w:hyperlink>
      <w:r>
        <w:t xml:space="preserve"> Prodávající je povinen zajistit hot-line pro potřeby reklamace či nutnosti servisu, a to min. v pracovní dny od 9 do 16 hod.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 xml:space="preserve">Prodávající je povinen v záruční době zajišťovat pravidelné prohlídky předmětu smlouvy </w:t>
      </w:r>
      <w:r>
        <w:t>vč. zjištění jeho vad a jejich odstranění, a to v termínech dle doporučení výrobce, přehled těchto termínu je uveden v příloze této smlouvy.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ind w:left="360" w:hanging="360"/>
        <w:jc w:val="both"/>
      </w:pPr>
      <w:r>
        <w:t>Prodávající je povinen 1 x ročně po dobu pěti let od splnění předmětu smlouvy provést kontrolu dodaných skenerů v s</w:t>
      </w:r>
      <w:r>
        <w:t>ídle kupujícího za účelem zjištění, zda se projevila vada barvy dle čl. VII. odst. 1 této smlouvy a zároveň provést příslušnou kalibraci těchto skenerů. Termín provedení této kontroly je povinen sdělit písemně kupujícímu minimálně 7 dnů předem, pokud jej n</w:t>
      </w:r>
      <w:r>
        <w:t>esdělí do 30.11 každého roku, je kupující oprávněn tento termín stanovit sám a prodávající je povinen jej respektovat. Výsledky kontroly je prodávající povinen písemně sdělit kupujícímu do 3 dnů ode dne provedení kontroly a současně je povinen provést odst</w:t>
      </w:r>
      <w:r>
        <w:t>ranění této vady v termínech uvedených v této smlouvy (dnem doručení oznámení o vadě dle čl. VII. odst. 8 smlouvy je den provedení kontroly dle tohoto čl. VII. odst. 7 této smlouvy).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jc w:val="both"/>
      </w:pPr>
      <w:r>
        <w:t>Prodávající je povinen reklamovanou vadu zahájit odstraňovat do 2 pracovn</w:t>
      </w:r>
      <w:r>
        <w:t xml:space="preserve">ích dnů ode dne doručení oznámení o vadě prodávajícímu a je povinen ji odstranit do 15 pracovních dnů ode dne oznámení, nedohodnou-li se smluvní strany jinak. V případě, že bude v prodlení s tímto odstraněním vady, je kupující oprávněn vadu odstranit sám, </w:t>
      </w:r>
      <w:r>
        <w:t>nebo prostřednictvím třetí osoby a takto vzniklé náklady prodávajícímu vyúčtovat. Smluvní strany se dohodly, že součástí těchto nákladů bude mj. cena za odstranění vady, kterou kupující uhradí třetí osobě.</w:t>
      </w:r>
    </w:p>
    <w:p w:rsidR="005053FF" w:rsidRDefault="00EF3F38">
      <w:pPr>
        <w:pStyle w:val="Zkladntext1"/>
        <w:numPr>
          <w:ilvl w:val="0"/>
          <w:numId w:val="8"/>
        </w:numPr>
        <w:tabs>
          <w:tab w:val="left" w:pos="336"/>
        </w:tabs>
        <w:spacing w:after="540"/>
        <w:ind w:left="380" w:hanging="380"/>
        <w:jc w:val="both"/>
      </w:pPr>
      <w:r>
        <w:t>Smluvní strany se dohodly, že ustanovení tohoto čl</w:t>
      </w:r>
      <w:r>
        <w:t>ánku se vztahují i na vady zjištěné během předání předmětu smlouvy.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9" w:name="bookmark29"/>
      <w:r>
        <w:t>Sankce a odstoupení od smlouvy</w:t>
      </w:r>
      <w:bookmarkEnd w:id="9"/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V případě prodlení prodávajícího s dodáním předmětu smlouvy je kupující oprávněn požadovat po prodávajícím smluvní pokutu ve výši 0,05 % z kupní ceny bez DP</w:t>
      </w:r>
      <w:r>
        <w:t>H za každý den prodlení.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V případě prodlení kupujícího s úhradou předmětu smlouvy je prodávající oprávněn požadovat po kupujícím úrok z prodlení ve výši 0,05 % z dlužné částky za každý den prodlení.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V případě prodlení prodávajícího s odstraněním vady, nebo</w:t>
      </w:r>
      <w:r>
        <w:t xml:space="preserve"> provedením prohlídek dle čl. VII. odst. 7 této smlouvy je kupující oprávněn požadovat po prodávajícím smluvní pokutu ve výši 1.000,- Kč za každý den prodlení s odstraněním vady a každou vadu zvlášť.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Podpisem této smlouvy obě strany stvrzují, že ke dni pod</w:t>
      </w:r>
      <w:r>
        <w:t>pisu smlouvy nebylo mezi stranami sjednáno ústně žádné utvrzení dluhu. Toto utvrzení dluhu je možné sjednat pouze písemně dohodou obou stran.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Podpisem této smlouvy obě strany stvrzují, že výše uvedené smluvní pokuty nejsou nepřiměřeně vysoké.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Vedle práva n</w:t>
      </w:r>
      <w:r>
        <w:t>a smluvní pokutu vzniká stranám právo i na náhradu škody, která převyšuje škodu krytou smluvními pokutami v plném rozsahu.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380" w:hanging="380"/>
        <w:jc w:val="both"/>
      </w:pPr>
      <w:r>
        <w:t>Za podstatné porušení smlouvy, které zakládá právo kupujícího odstoupit od smlouvy (i částečně), se považuje zejména:</w:t>
      </w:r>
    </w:p>
    <w:p w:rsidR="005053FF" w:rsidRDefault="00EF3F38">
      <w:pPr>
        <w:pStyle w:val="Zkladntext1"/>
        <w:numPr>
          <w:ilvl w:val="0"/>
          <w:numId w:val="10"/>
        </w:numPr>
        <w:tabs>
          <w:tab w:val="left" w:pos="1083"/>
        </w:tabs>
        <w:ind w:left="1080" w:hanging="280"/>
        <w:jc w:val="both"/>
      </w:pPr>
      <w:r>
        <w:t xml:space="preserve">předmět této </w:t>
      </w:r>
      <w:r>
        <w:t>smlouvy není dodán v takovém provedení, jak je uvedeno v této smlouvě, nebo technické parametry neodpovídají uživatelskému manuálu výrobku</w:t>
      </w:r>
    </w:p>
    <w:p w:rsidR="005053FF" w:rsidRDefault="00EF3F38">
      <w:pPr>
        <w:pStyle w:val="Zkladntext1"/>
        <w:numPr>
          <w:ilvl w:val="0"/>
          <w:numId w:val="10"/>
        </w:numPr>
        <w:tabs>
          <w:tab w:val="left" w:pos="1083"/>
        </w:tabs>
        <w:ind w:left="1080" w:hanging="280"/>
        <w:jc w:val="both"/>
      </w:pPr>
      <w:r>
        <w:t>při podstatném porušení této smlouvy, např. prodlení s dodáním předmětu smlouvy delší než 15 dnů, nebo prodlení s ods</w:t>
      </w:r>
      <w:r>
        <w:t>traněním nepodstatné vady delší než 10 dnů (nepodstatnou vadou se rozumí vada, která umožňuje použití předmětu smlouvy ke svému účelu bez jakýchkoli omezení),</w:t>
      </w:r>
    </w:p>
    <w:p w:rsidR="005053FF" w:rsidRDefault="00EF3F38">
      <w:pPr>
        <w:pStyle w:val="Zkladntext1"/>
        <w:numPr>
          <w:ilvl w:val="0"/>
          <w:numId w:val="10"/>
        </w:numPr>
        <w:tabs>
          <w:tab w:val="left" w:pos="1083"/>
        </w:tabs>
        <w:ind w:left="1080" w:hanging="280"/>
        <w:jc w:val="both"/>
      </w:pPr>
      <w:r>
        <w:t>v záruční době se vyskytne neopravitelná vada nebo se vyskytne opakující se opravitelná vada (vad</w:t>
      </w:r>
      <w:r>
        <w:t>a se objevila nejméně dvakrát) a prodávající ve lhůtě pro odstranění vady neposkytne kupujícímu náhradní plnění.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ind w:left="440" w:hanging="440"/>
        <w:jc w:val="both"/>
      </w:pPr>
      <w:r>
        <w:t>Prodávající je oprávněn odstoupit od smlouvy v případě prodlení kupujícího s úhradou kupní ceny po dobu delší než 2 měsíce.</w:t>
      </w:r>
    </w:p>
    <w:p w:rsidR="005053FF" w:rsidRDefault="00EF3F38">
      <w:pPr>
        <w:pStyle w:val="Zkladntext1"/>
        <w:numPr>
          <w:ilvl w:val="0"/>
          <w:numId w:val="9"/>
        </w:numPr>
        <w:tabs>
          <w:tab w:val="left" w:pos="336"/>
        </w:tabs>
        <w:spacing w:after="260"/>
        <w:ind w:left="440" w:hanging="440"/>
        <w:jc w:val="both"/>
      </w:pPr>
      <w:r>
        <w:t>Odstoupení od smlou</w:t>
      </w:r>
      <w:r>
        <w:t>vy musí být provedeno písemně a je účinné dnem doručení druhé smluvní straně.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10" w:name="bookmark31"/>
      <w:r>
        <w:t>Ostatní ujednání</w:t>
      </w:r>
      <w:bookmarkEnd w:id="10"/>
    </w:p>
    <w:p w:rsidR="005053FF" w:rsidRDefault="00EF3F38">
      <w:pPr>
        <w:pStyle w:val="Zkladntext1"/>
        <w:numPr>
          <w:ilvl w:val="0"/>
          <w:numId w:val="11"/>
        </w:numPr>
        <w:tabs>
          <w:tab w:val="left" w:pos="202"/>
        </w:tabs>
        <w:spacing w:after="400"/>
        <w:ind w:left="300" w:hanging="300"/>
        <w:jc w:val="both"/>
      </w:pPr>
      <w:r>
        <w:t>. Prodávající je povinen uchovávat veškerou dokumentaci související s realizací této smlouvy vč. účetních dokladů minimálně do konce roku 2031. Pokud je v český</w:t>
      </w:r>
      <w:r>
        <w:t>ch právních předpisech stanovena lhůta delší, je prodávající povinen dokumentaci vč. účetních dokladů uchovávat po dobu lhůty stanovené těmito právními předpisy.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75"/>
        </w:tabs>
        <w:ind w:left="300" w:hanging="300"/>
        <w:jc w:val="both"/>
      </w:pPr>
      <w:r>
        <w:t>Prodávající je povinen minimálně do konce roku 2031 poskytovat kupujícímu, zaměstnancům nebo z</w:t>
      </w:r>
      <w:r>
        <w:t>mocněncům pověřených orgánů (Centrum pro regionální rozvoj, Ministerstvo pro místní rozvoj ČR, Ministerstvo financí ČR, Evropské komise, Evropského účetního dvora, Nejvyššího kontrolního úřadu, příslušného orgánu finanční správy a dalších oprávněných orgán</w:t>
      </w:r>
      <w:r>
        <w:t>ů státní správy) požadované informace a dokumentaci související s realizací projektu a je povinen vytvořit výše uvedeným osobám podmínky k provedení kontroly vztahující se k realizaci projektu a poskytnout jim při provádění kontroly součinnost.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75"/>
        </w:tabs>
        <w:ind w:left="300" w:hanging="300"/>
        <w:jc w:val="both"/>
      </w:pPr>
      <w:r>
        <w:t>Změny smlou</w:t>
      </w:r>
      <w:r>
        <w:t xml:space="preserve">vy mohou být prováděny pouze písemnou formou, a to dohodou stran Jestliže tato změna nebude provedena písemně, považuje se tato změna za neúčinnou. Ustanovení předchozí věty se neuplatní na změnu kontaktních údajů, která </w:t>
      </w:r>
      <w:proofErr w:type="gramStart"/>
      <w:r>
        <w:t>je</w:t>
      </w:r>
      <w:proofErr w:type="gramEnd"/>
      <w:r>
        <w:t xml:space="preserve"> účinná dnem jejího písemného ozn</w:t>
      </w:r>
      <w:r>
        <w:t xml:space="preserve">ámení druhé smluvní straně bez nutnosti uzavírání dodatku ke smlouvě Písemnost není dána, není-li písemnost jedné strany potvrzena písemně druhou stranou. Neplatnosti nedodržení této </w:t>
      </w:r>
      <w:r>
        <w:lastRenderedPageBreak/>
        <w:t>písemnosti se může kterákoliv strana domáhat i poté, co bylo z této smlou</w:t>
      </w:r>
      <w:r>
        <w:t>vy již plněno. V rozsahu této neplatnosti smlouvy jde o bezdůvodné obohacení.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75"/>
        </w:tabs>
        <w:ind w:left="300" w:hanging="300"/>
        <w:jc w:val="both"/>
      </w:pPr>
      <w:r>
        <w:t>Veškeré úkony stran v souvislosti se smluvním vztahem vyplývajícím z této smlouvy musí být provedeny písemně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17"/>
        </w:tabs>
        <w:spacing w:line="254" w:lineRule="auto"/>
        <w:ind w:left="300" w:hanging="300"/>
        <w:jc w:val="both"/>
      </w:pPr>
      <w:r>
        <w:t xml:space="preserve">Při výkladu ujednání smluvního vztahu dle této smlouvy se nepřihlíží </w:t>
      </w:r>
      <w:r>
        <w:t>k obecným obchodním zvyklostem oboru prodávajícího a k obecným obchodním zvyklostem, pokud s nimi prodávající kupujícího písemně neseznámil nejpozději v okamžik podpisu této smlouvy.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22"/>
        </w:tabs>
        <w:ind w:left="300" w:hanging="300"/>
        <w:jc w:val="both"/>
      </w:pPr>
      <w:r>
        <w:t xml:space="preserve">Okamžikem nabytí účinnosti smlouvy zanikají jakékoliv úkony kterékoliv </w:t>
      </w:r>
      <w:r>
        <w:t>strany, které se od této smlouvy obsahově odlišují a které by zakládaly kterékoliv straně nárok na náhradu škody, nabytím účinnosti této smlouvy se tyto úkony ruší bez nároku na náhradu škody v souvislosti s tímto zrušením bez ohledu na to, zda o této škod</w:t>
      </w:r>
      <w:r>
        <w:t>ě v okamžiku podpisu smlouvy strana věděla či nikoli.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75"/>
        </w:tabs>
        <w:jc w:val="both"/>
      </w:pPr>
      <w:r>
        <w:t>Postoupení této smlouvy je vyloučeno.</w:t>
      </w:r>
    </w:p>
    <w:p w:rsidR="005053FF" w:rsidRDefault="00EF3F38">
      <w:pPr>
        <w:pStyle w:val="Zkladntext1"/>
        <w:numPr>
          <w:ilvl w:val="0"/>
          <w:numId w:val="11"/>
        </w:numPr>
        <w:tabs>
          <w:tab w:val="left" w:pos="212"/>
        </w:tabs>
        <w:spacing w:after="540"/>
        <w:ind w:left="300" w:hanging="300"/>
        <w:jc w:val="both"/>
      </w:pPr>
      <w:r>
        <w:t xml:space="preserve">Smluvní strany okamžikem podpisu této smlouvy na sebe převzaly dle § 1765 </w:t>
      </w:r>
      <w:proofErr w:type="gramStart"/>
      <w:r>
        <w:t xml:space="preserve">Sb.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nebezpečí změny okolností. Obě strany před podpisem smlouvy zvážily p</w:t>
      </w:r>
      <w:r>
        <w:t>lně hospodářskou, ekonomickou i faktickou situaci a jsou si plně vědomy okolností učinění závazku a jejího přijetí. Smlouvu tak nelze měnit rozhodnutím soudu.</w:t>
      </w:r>
    </w:p>
    <w:p w:rsidR="005053FF" w:rsidRDefault="005053FF">
      <w:pPr>
        <w:pStyle w:val="Nadpis40"/>
        <w:keepNext/>
        <w:keepLines/>
        <w:numPr>
          <w:ilvl w:val="0"/>
          <w:numId w:val="1"/>
        </w:numPr>
      </w:pPr>
    </w:p>
    <w:p w:rsidR="005053FF" w:rsidRDefault="00EF3F38">
      <w:pPr>
        <w:pStyle w:val="Nadpis40"/>
        <w:keepNext/>
        <w:keepLines/>
      </w:pPr>
      <w:r>
        <w:t>Zveřejnění smlouvy v Registru smluv</w:t>
      </w:r>
    </w:p>
    <w:p w:rsidR="005053FF" w:rsidRDefault="00EF3F38">
      <w:pPr>
        <w:pStyle w:val="Zkladntext1"/>
        <w:numPr>
          <w:ilvl w:val="0"/>
          <w:numId w:val="12"/>
        </w:numPr>
        <w:tabs>
          <w:tab w:val="left" w:pos="275"/>
        </w:tabs>
        <w:ind w:left="300" w:hanging="300"/>
        <w:jc w:val="both"/>
      </w:pPr>
      <w:r>
        <w:t xml:space="preserve">Smluvní strany potvrzují, že tato smlouva se </w:t>
      </w:r>
      <w:proofErr w:type="gramStart"/>
      <w:r>
        <w:t xml:space="preserve">řídí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</w:t>
      </w:r>
      <w:r>
        <w:t>015 Sb., o registru smluv a podléhá zveřejnění v registru smluv</w:t>
      </w:r>
    </w:p>
    <w:p w:rsidR="005053FF" w:rsidRDefault="00EF3F38">
      <w:pPr>
        <w:pStyle w:val="Zkladntext1"/>
        <w:numPr>
          <w:ilvl w:val="0"/>
          <w:numId w:val="12"/>
        </w:numPr>
        <w:tabs>
          <w:tab w:val="left" w:pos="275"/>
        </w:tabs>
        <w:jc w:val="both"/>
      </w:pPr>
      <w:r>
        <w:t>Smluvní strany souhlasí se zveřejněním celé této smlouvy v registru smluv</w:t>
      </w:r>
    </w:p>
    <w:p w:rsidR="005053FF" w:rsidRDefault="00EF3F38">
      <w:pPr>
        <w:pStyle w:val="Zkladntext1"/>
        <w:numPr>
          <w:ilvl w:val="0"/>
          <w:numId w:val="12"/>
        </w:numPr>
        <w:tabs>
          <w:tab w:val="left" w:pos="275"/>
        </w:tabs>
        <w:ind w:left="300" w:hanging="300"/>
        <w:jc w:val="both"/>
      </w:pPr>
      <w:r>
        <w:t>Smluvní strany se dohodly, že smlouvu ke zveřejnění zašle do registru smluv kupující, avšak ke zveřejnění této smlouvy</w:t>
      </w:r>
      <w:r>
        <w:t xml:space="preserve"> je oprávněna kterákoliv ze stran, proto pokud nedojde ke zveřejnění této smlouvy do tří měsíců ode dne jejího podpisu, a smlouva tak pozbude účinnosti, nemají vůči sobě strany nárok na náhradu škody.</w:t>
      </w:r>
    </w:p>
    <w:p w:rsidR="005053FF" w:rsidRDefault="00EF3F38">
      <w:pPr>
        <w:pStyle w:val="Zkladntext1"/>
        <w:numPr>
          <w:ilvl w:val="0"/>
          <w:numId w:val="12"/>
        </w:numPr>
        <w:tabs>
          <w:tab w:val="left" w:pos="275"/>
        </w:tabs>
        <w:ind w:left="300" w:hanging="300"/>
        <w:jc w:val="both"/>
      </w:pPr>
      <w:r>
        <w:t>Smluvní strany se dohodly na těchto následcích spojenýc</w:t>
      </w:r>
      <w:r>
        <w:t xml:space="preserve">h s povinností zveřejnit smlouvu v registru smluv a zrušením smlouvy </w:t>
      </w:r>
      <w:proofErr w:type="gramStart"/>
      <w:r>
        <w:t xml:space="preserve">dle § 7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v případě její </w:t>
      </w:r>
      <w:proofErr w:type="spellStart"/>
      <w:r>
        <w:t>neregistrace</w:t>
      </w:r>
      <w:proofErr w:type="spellEnd"/>
      <w:r>
        <w:t xml:space="preserve"> do tří měsíců ode dne jejího uzavření:</w:t>
      </w:r>
    </w:p>
    <w:p w:rsidR="005053FF" w:rsidRDefault="00EF3F38">
      <w:pPr>
        <w:pStyle w:val="Zkladntext1"/>
        <w:numPr>
          <w:ilvl w:val="0"/>
          <w:numId w:val="13"/>
        </w:numPr>
        <w:tabs>
          <w:tab w:val="left" w:pos="1093"/>
        </w:tabs>
        <w:ind w:left="1080" w:hanging="280"/>
        <w:jc w:val="both"/>
      </w:pPr>
      <w:r>
        <w:t xml:space="preserve">žádná ze stran nemá nárok na náhradu škody v případě zrušení smlouvy </w:t>
      </w:r>
      <w:proofErr w:type="gramStart"/>
      <w:r>
        <w:t xml:space="preserve">dle § 7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</w:t>
      </w:r>
      <w:proofErr w:type="spellStart"/>
      <w:r>
        <w:t>Sb</w:t>
      </w:r>
      <w:proofErr w:type="spellEnd"/>
    </w:p>
    <w:p w:rsidR="005053FF" w:rsidRDefault="00EF3F38">
      <w:pPr>
        <w:pStyle w:val="Zkladntext1"/>
        <w:numPr>
          <w:ilvl w:val="0"/>
          <w:numId w:val="13"/>
        </w:numPr>
        <w:tabs>
          <w:tab w:val="left" w:pos="1093"/>
        </w:tabs>
        <w:ind w:left="1080" w:hanging="280"/>
        <w:jc w:val="both"/>
      </w:pPr>
      <w:r>
        <w:t xml:space="preserve">žádná ze stran není oprávněna začít plnit dle této smlouvy přede dnem jejího zveřejnění v registru smluv V případě, že kterákoliv strana přede dnem jejího zveřejnění plnila, byť z části, a tato smlouva byla zrušena dle § 7 </w:t>
      </w:r>
      <w:proofErr w:type="gramStart"/>
      <w:r>
        <w:t xml:space="preserve">odst. 1 </w:t>
      </w:r>
      <w:proofErr w:type="spellStart"/>
      <w:r>
        <w:t>z.č</w:t>
      </w:r>
      <w:proofErr w:type="spellEnd"/>
      <w:r>
        <w:t>.</w:t>
      </w:r>
      <w:proofErr w:type="gramEnd"/>
      <w:r>
        <w:br w:type="page"/>
      </w:r>
    </w:p>
    <w:p w:rsidR="005053FF" w:rsidRDefault="00EF3F38">
      <w:pPr>
        <w:pStyle w:val="Zkladntext1"/>
        <w:ind w:left="1080"/>
        <w:jc w:val="both"/>
      </w:pPr>
      <w:r>
        <w:lastRenderedPageBreak/>
        <w:t>340/2015 Sb., nemá</w:t>
      </w:r>
      <w:r>
        <w:t xml:space="preserve"> strana nárok na vrácení </w:t>
      </w:r>
      <w:proofErr w:type="gramStart"/>
      <w:r>
        <w:t>plnění v jakákoliv formě (ani</w:t>
      </w:r>
      <w:proofErr w:type="gramEnd"/>
      <w:r>
        <w:t xml:space="preserve"> bezdůvodného obohacení).</w:t>
      </w:r>
    </w:p>
    <w:p w:rsidR="005053FF" w:rsidRDefault="00EF3F38">
      <w:pPr>
        <w:pStyle w:val="Zkladntext1"/>
        <w:numPr>
          <w:ilvl w:val="0"/>
          <w:numId w:val="13"/>
        </w:numPr>
        <w:tabs>
          <w:tab w:val="left" w:pos="1093"/>
        </w:tabs>
        <w:ind w:left="1080" w:hanging="280"/>
        <w:jc w:val="both"/>
      </w:pPr>
      <w:r>
        <w:t xml:space="preserve">v případě, že tato smlouva bude zrušena dle § 7 </w:t>
      </w:r>
      <w:proofErr w:type="gramStart"/>
      <w:r>
        <w:t xml:space="preserve">odst. 1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(nezveřejnění smlouvy do tří měsíců ode dne jejího uzavření), veškerá práva a povinnosti z této smlouv</w:t>
      </w:r>
      <w:r>
        <w:t xml:space="preserve">y zanikají. V případě, že kterákoliv strana ze smlouvy plnila, byť z části, nemá strana nárok na vrácení </w:t>
      </w:r>
      <w:proofErr w:type="gramStart"/>
      <w:r>
        <w:t>plnění v jakákoliv formě (ani</w:t>
      </w:r>
      <w:proofErr w:type="gramEnd"/>
      <w:r>
        <w:t xml:space="preserve"> bezdůvodného obohacení).</w:t>
      </w:r>
    </w:p>
    <w:p w:rsidR="005053FF" w:rsidRDefault="00EF3F38">
      <w:pPr>
        <w:pStyle w:val="Zkladntext1"/>
        <w:numPr>
          <w:ilvl w:val="0"/>
          <w:numId w:val="13"/>
        </w:numPr>
        <w:tabs>
          <w:tab w:val="left" w:pos="1093"/>
        </w:tabs>
        <w:spacing w:after="500"/>
        <w:ind w:left="1080" w:hanging="280"/>
        <w:jc w:val="both"/>
      </w:pPr>
      <w:r>
        <w:t xml:space="preserve">prodávající bere na vědomí, že v důsledku tohoto zrušení smlouvy kupující musí provést na </w:t>
      </w:r>
      <w:r>
        <w:t xml:space="preserve">předmět smlouvy nové zadávací řízení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134/2016 Sb. a prodávajícímu nevzniká nárok na uzavření nové smlouvy na tento předmět smlouvy, pokud jeho nová nabídka v novém zadávacím řízení nebude vybrána jako nejvýhodnější a nesplní další povinností dle </w:t>
      </w:r>
      <w:proofErr w:type="spellStart"/>
      <w:r>
        <w:t>z</w:t>
      </w:r>
      <w:r>
        <w:t>.č</w:t>
      </w:r>
      <w:proofErr w:type="spellEnd"/>
      <w:r>
        <w:t>. 134/2016 Sb. a zadávacích podmínek pro uzavření smlouvy.</w:t>
      </w:r>
    </w:p>
    <w:p w:rsidR="005053FF" w:rsidRDefault="005053FF">
      <w:pPr>
        <w:pStyle w:val="Zkladntext1"/>
        <w:numPr>
          <w:ilvl w:val="0"/>
          <w:numId w:val="1"/>
        </w:numPr>
        <w:jc w:val="center"/>
      </w:pPr>
    </w:p>
    <w:p w:rsidR="005053FF" w:rsidRDefault="00EF3F38">
      <w:pPr>
        <w:pStyle w:val="Nadpis40"/>
        <w:keepNext/>
        <w:keepLines/>
      </w:pPr>
      <w:bookmarkStart w:id="11" w:name="bookmark36"/>
      <w:r>
        <w:t>Závěrečná ustanovení</w:t>
      </w:r>
      <w:bookmarkEnd w:id="11"/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jc w:val="both"/>
      </w:pPr>
      <w:r>
        <w:t>Přílohou této smlouvy jsou minimální technické parametry dodávaných skenerů.</w:t>
      </w:r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jc w:val="both"/>
      </w:pPr>
      <w:r>
        <w:t>Tato smlouva je vyhotovena v jednom elektronicky podepsaném vyhotovení.</w:t>
      </w:r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ind w:left="380" w:hanging="380"/>
        <w:jc w:val="both"/>
      </w:pPr>
      <w:r>
        <w:t>Strany se dohodly, že ve</w:t>
      </w:r>
      <w:r>
        <w:t>škeré své vztahy vyplývající z této smlouvy podřizují občanskému zákoníku a občanskému soudnímu řádu, přičemž příslušným soudem je soud dle sídla kupujícího.</w:t>
      </w:r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ind w:left="380" w:hanging="380"/>
        <w:jc w:val="both"/>
      </w:pPr>
      <w:r>
        <w:t>Tato smlouva nabývá platnosti dnem jejího podpisu oprávněnými zástupci obou smluvních stran a účin</w:t>
      </w:r>
      <w:r>
        <w:t>nosti dnem jejího uveřejnění v registru smluv.</w:t>
      </w:r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ind w:left="380" w:hanging="380"/>
        <w:jc w:val="both"/>
      </w:pPr>
      <w:r>
        <w:t xml:space="preserve">Smluvní strany svými podpisy na této smlouvě stvrzují, že posoudily obsah této smlouvy, neshledal ji rozporným a tuto podepisují v </w:t>
      </w:r>
      <w:proofErr w:type="gramStart"/>
      <w:r>
        <w:t xml:space="preserve">souladu s § 4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a že s celým obsahem smlouvy souhlasí.</w:t>
      </w:r>
    </w:p>
    <w:p w:rsidR="005053FF" w:rsidRDefault="00EF3F38">
      <w:pPr>
        <w:pStyle w:val="Zkladntext1"/>
        <w:numPr>
          <w:ilvl w:val="0"/>
          <w:numId w:val="14"/>
        </w:numPr>
        <w:tabs>
          <w:tab w:val="left" w:pos="331"/>
        </w:tabs>
        <w:ind w:left="380" w:hanging="380"/>
        <w:jc w:val="both"/>
      </w:pPr>
      <w:r>
        <w:t xml:space="preserve">Smluvní </w:t>
      </w:r>
      <w:r>
        <w:t>stany svými podpisy na této smlouvě stvrzují, že tato byla podepsána dle jejich svobodné a vážné vůle, prosté omylu, nikoli v tísni a za nápadně nevýhodných podmínek.</w:t>
      </w:r>
    </w:p>
    <w:p w:rsidR="005053FF" w:rsidRDefault="00EF3F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80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266700</wp:posOffset>
                </wp:positionV>
                <wp:extent cx="1831975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1"/>
                              <w:tabs>
                                <w:tab w:val="left" w:leader="dot" w:pos="2832"/>
                              </w:tabs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71.600000000000009pt;margin-top:21.pt;width:144.25pt;height:14.9pt;z-index:-125829373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82" behindDoc="0" locked="0" layoutInCell="1" allowOverlap="1">
                <wp:simplePos x="0" y="0"/>
                <wp:positionH relativeFrom="page">
                  <wp:posOffset>4505960</wp:posOffset>
                </wp:positionH>
                <wp:positionV relativeFrom="paragraph">
                  <wp:posOffset>266700</wp:posOffset>
                </wp:positionV>
                <wp:extent cx="1085215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1"/>
                            </w:pPr>
                            <w:r>
                              <w:t>V Olomouci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54.80000000000001pt;margin-top:21.pt;width:85.450000000000003pt;height:14.9pt;z-index:-125829371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Olomouci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3FF" w:rsidRDefault="00EF3F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84" behindDoc="0" locked="0" layoutInCell="1" allowOverlap="1">
                <wp:simplePos x="0" y="0"/>
                <wp:positionH relativeFrom="page">
                  <wp:posOffset>1405890</wp:posOffset>
                </wp:positionH>
                <wp:positionV relativeFrom="paragraph">
                  <wp:posOffset>508000</wp:posOffset>
                </wp:positionV>
                <wp:extent cx="103949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1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110.7pt;margin-top:40.pt;width:81.850000000000009pt;height:15.35pt;z-index:-125829369;mso-wrap-distance-left:0;mso-wrap-distance-top:40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prodávajícího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86" behindDoc="0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508000</wp:posOffset>
                </wp:positionV>
                <wp:extent cx="853440" cy="1949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1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90.30000000000001pt;margin-top:40.pt;width:67.200000000000003pt;height:15.35pt;z-index:-125829367;mso-wrap-distance-left:0;mso-wrap-distance-top:40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3FF" w:rsidRDefault="00EF3F3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7975" distB="112395" distL="0" distR="0" simplePos="0" relativeHeight="125829388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307975</wp:posOffset>
                </wp:positionV>
                <wp:extent cx="960120" cy="7010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Nadpis10"/>
                              <w:keepNext/>
                              <w:keepLines/>
                              <w:spacing w:line="240" w:lineRule="auto"/>
                            </w:pPr>
                            <w:bookmarkStart w:id="12" w:name="bookmark0"/>
                            <w:r>
                              <w:t>Jakub</w:t>
                            </w:r>
                            <w:bookmarkEnd w:id="12"/>
                          </w:p>
                          <w:p w:rsidR="005053FF" w:rsidRDefault="00EF3F38">
                            <w:pPr>
                              <w:pStyle w:val="Nadpis10"/>
                              <w:keepNext/>
                              <w:keepLines/>
                              <w:spacing w:line="226" w:lineRule="auto"/>
                            </w:pPr>
                            <w:proofErr w:type="spellStart"/>
                            <w:r>
                              <w:t>Frišman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76.150000000000006pt;margin-top:24.25pt;width:75.600000000000009pt;height:55.200000000000003pt;z-index:-125829365;mso-wrap-distance-left:0;mso-wrap-distance-top:24.25pt;mso-wrap-distance-right:0;mso-wrap-distance-bottom:8.849999999999999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Jakub</w:t>
                      </w:r>
                      <w:bookmarkEnd w:id="0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Frišman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2110" distB="130810" distL="0" distR="0" simplePos="0" relativeHeight="125829390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372110</wp:posOffset>
                </wp:positionV>
                <wp:extent cx="926465" cy="6184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40"/>
                            </w:pPr>
                            <w:proofErr w:type="spellStart"/>
                            <w:r>
                              <w:t>Digitally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signed</w:t>
                            </w:r>
                            <w:proofErr w:type="spellEnd"/>
                            <w:r>
                              <w:t xml:space="preserve"> by Jakub </w:t>
                            </w:r>
                            <w:proofErr w:type="spellStart"/>
                            <w:r>
                              <w:t>Frišman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Date</w:t>
                            </w:r>
                            <w:proofErr w:type="spellEnd"/>
                            <w:r>
                              <w:t>: 2021.08.31 13:28:03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152.25pt;margin-top:29.300000000000001pt;width:72.950000000000003pt;height:48.700000000000003pt;z-index:-125829363;mso-wrap-distance-left:0;mso-wrap-distance-top:29.300000000000001pt;mso-wrap-distance-right:0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Digitally signed by Jakub Frišman Date: 2021.08.31 13:28:03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0" distR="0" simplePos="0" relativeHeight="125829392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304800</wp:posOffset>
                </wp:positionV>
                <wp:extent cx="868680" cy="8166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816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Nadpis30"/>
                              <w:keepNext/>
                              <w:keepLines/>
                            </w:pPr>
                            <w:bookmarkStart w:id="13" w:name="bookmark3"/>
                            <w:r>
                              <w:t>Mgr.</w:t>
                            </w:r>
                            <w:bookmarkEnd w:id="13"/>
                          </w:p>
                          <w:p w:rsidR="005053FF" w:rsidRDefault="00EF3F38">
                            <w:pPr>
                              <w:pStyle w:val="Nadpis30"/>
                              <w:keepNext/>
                              <w:keepLines/>
                            </w:pPr>
                            <w:r>
                              <w:t>Ondřej</w:t>
                            </w:r>
                          </w:p>
                          <w:p w:rsidR="005053FF" w:rsidRDefault="00EF3F38">
                            <w:pPr>
                              <w:pStyle w:val="Nadpis30"/>
                              <w:keepNext/>
                              <w:keepLines/>
                            </w:pPr>
                            <w:r>
                              <w:t>Zatloukal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68.94999999999999pt;margin-top:24.pt;width:68.400000000000006pt;height:64.299999999999997pt;z-index:-125829361;mso-wrap-distance-left:0;mso-wrap-distance-top:24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</w:t>
                      </w:r>
                      <w:bookmarkEnd w:id="3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</w:t>
                      </w:r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Zatloukal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4170" distB="3175" distL="0" distR="0" simplePos="0" relativeHeight="125829394" behindDoc="0" locked="0" layoutInCell="1" allowOverlap="1">
                <wp:simplePos x="0" y="0"/>
                <wp:positionH relativeFrom="page">
                  <wp:posOffset>5682615</wp:posOffset>
                </wp:positionH>
                <wp:positionV relativeFrom="paragraph">
                  <wp:posOffset>344170</wp:posOffset>
                </wp:positionV>
                <wp:extent cx="990600" cy="77406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3FF" w:rsidRDefault="00EF3F38">
                            <w:pPr>
                              <w:pStyle w:val="Zkladntext30"/>
                            </w:pPr>
                            <w:r>
                              <w:t>Digitálně podepsal Mgr. Ondřej Zatloukal Datum: 2021.09.06 12:46:57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47.44999999999999pt;margin-top:27.100000000000001pt;width:78.pt;height:60.950000000000003pt;z-index:-125829359;mso-wrap-distance-left:0;mso-wrap-distance-top:27.10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Ondřej Zatloukal Datum: 2021.09.06 12:46:57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5053FF" w:rsidRDefault="00EF3F38">
      <w:pPr>
        <w:pStyle w:val="Nadpis40"/>
        <w:keepNext/>
        <w:keepLines/>
        <w:spacing w:after="260"/>
        <w:jc w:val="left"/>
        <w:rPr>
          <w:sz w:val="22"/>
          <w:szCs w:val="22"/>
        </w:rPr>
      </w:pPr>
      <w:bookmarkStart w:id="14" w:name="bookmark38"/>
      <w:r>
        <w:rPr>
          <w:rFonts w:ascii="Calibri" w:eastAsia="Calibri" w:hAnsi="Calibri" w:cs="Calibri"/>
          <w:sz w:val="22"/>
          <w:szCs w:val="22"/>
        </w:rPr>
        <w:lastRenderedPageBreak/>
        <w:t>Příloha č. 1: Technická specifikace</w:t>
      </w:r>
      <w:bookmarkEnd w:id="14"/>
    </w:p>
    <w:p w:rsidR="005053FF" w:rsidRDefault="00EF3F38">
      <w:pPr>
        <w:pStyle w:val="Zkladntext20"/>
      </w:pPr>
      <w:r>
        <w:t>Objednatel stanovuje minimální tech</w:t>
      </w:r>
      <w:r>
        <w:t>nické parametry požadované dodávky. V případě, že je u minimálně požadovaných parametrů uvedeno Ano, má se za to, že daná funkce je v dodávce obsažena a je zároveň součástí dodávky a kupní ceny.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5438"/>
        <w:gridCol w:w="2213"/>
      </w:tblGrid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66FF33"/>
            <w:vAlign w:val="bottom"/>
          </w:tcPr>
          <w:p w:rsidR="005053FF" w:rsidRDefault="00EF3F38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Bezkontaktní skener uměleckých děl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66FF33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Nabízené hodnoty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bezkontaktní samostatně stojící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spacing w:line="23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Druh snímaného objektu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spacing w:line="23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min. využití pro obrazy (olejomalby a akryly, akvarely, pastely), grafiky, mince, medaile apod.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Minimální rozměr skenovaného díla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850 x 2000 x 200 mm (v x d x h)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spacing w:line="271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914x2000x200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vxdx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snímání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Ano, skener musí snímat plastické vlastnosti materiálů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Požadavky na osvětlení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běžné podmínky bez nutnosti zvláštního osvětlování nebo zatemnění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snímací prvek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CCD senzor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minimální výška roviny zaostření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min. 100 mm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Skenování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bezkontaktní bez jakéhokoli kontaktu jakékoli části skeneru či jeho příslušenství s exponovanou částí uměleckého díla (tzn. Malbou, kresbou apod.)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zdroj světla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UV a IR, min. životnost 40 000 hodin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rozlišení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min. 600 dpi (optické)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600 x 600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dpi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ostření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Automatické nebo motorizované zaostření, ovládané softwarově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výstupní formáty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tiff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jpeg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jpeg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2000, PNG, PDF, vícestránkový PDF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vstup skenování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barva 48 bitů, šedá 16 bitů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kvalita skenování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 souladu s normou FADGI a ISO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19264-1 (zadavatel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umoňuje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nabídnout řešení, které kvalitativně odpovídá těmto normám, což bude doloženo v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nabídce. )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Ano - ISO 19264-1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kontrola obrazu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spacing w:line="23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zobrazení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skenu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monitoru min. velikosti 24" - součást dodávky (v případě, že není součástí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samotného skeneru)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kalibrace bílé barvy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automatická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  <w:tr w:rsidR="005053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řízení ICC profilu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FF" w:rsidRDefault="00EF3F38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</w:tr>
    </w:tbl>
    <w:p w:rsidR="00EF3F38" w:rsidRDefault="00EF3F38"/>
    <w:sectPr w:rsidR="00EF3F38">
      <w:footerReference w:type="default" r:id="rId11"/>
      <w:footerReference w:type="first" r:id="rId12"/>
      <w:pgSz w:w="11900" w:h="16840"/>
      <w:pgMar w:top="1063" w:right="1049" w:bottom="1417" w:left="113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38" w:rsidRDefault="00EF3F38">
      <w:r>
        <w:separator/>
      </w:r>
    </w:p>
  </w:endnote>
  <w:endnote w:type="continuationSeparator" w:id="0">
    <w:p w:rsidR="00EF3F38" w:rsidRDefault="00EF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FF" w:rsidRDefault="00EF3F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9956165</wp:posOffset>
              </wp:positionV>
              <wp:extent cx="67310" cy="1003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53FF" w:rsidRDefault="00EF3F3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2E61" w:rsidRPr="00942E61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297.05pt;margin-top:783.95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0IlAEAACIDAAAOAAAAZHJzL2Uyb0RvYy54bWysUm1LwzAQ/i74H0K+u3YbqJR1oshEEBXU&#10;H5ClyRpociGXrd2/95J1U/Sb+CW9tz733HO3uBlsx3YqoAFX8+mk5Ew5CY1xm5p/vK8urjnDKFwj&#10;OnCq5nuF/GZ5frbofaVm0ELXqMAIxGHV+5q3MfqqKFC2ygqcgFeOkhqCFZHcsCmaIHpCt10xK8vL&#10;oofQ+ABSIVL0/pDky4yvtZLxRWtUkXU1J24xvyG/6/QWy4WoNkH41siRhvgDCyuMo6YnqHsRBdsG&#10;8wvKGhkAQceJBFuA1kaqPANNMy1/TPPWCq/yLCQO+pNM+H+w8nn3Gphpaj6bc+aEpR3ltox8Eqf3&#10;WFHNm6eqONzBQEs+xpGCaeZBB5u+NA2jPMm8P0mrhsgkBS+v5lNKSMpMy3I+z8oXX//6gPFBgWXJ&#10;qHmgxWU9xe4JI/Gg0mNJauVgZbouxRPBA5FkxWE9jKzX0OyJdE+7rbmj4+Ose3QkXTqDoxGOxno0&#10;Ejj6222kBrlvQj1Ajc1oEZnOeDRp09/9XPV12stPAAAA//8DAFBLAwQUAAYACAAAACEA5pGrbeAA&#10;AAANAQAADwAAAGRycy9kb3ducmV2LnhtbEyPy07DMBBF90j8gzVI7KhTaJM0xKlQJTbsKAiJnRtP&#10;4wg/IttNk79numqXM/fozpl6O1nDRgyx907AcpEBQ9d61btOwPfX+1MJLCbplDTeoYAZI2yb+7ta&#10;Vsqf3SeO+9QxKnGxkgJ0SkPFeWw1WhkXfkBH2dEHKxONoeMqyDOVW8OfsyznVvaOLmg54E5j+7c/&#10;WQHF9ONxiLjD3+PYBt3PpfmYhXh8mN5egSWc0hWGiz6pQ0NOB39yKjIjYL1ZLQmlYJ0XG2CE5Nmq&#10;AHa4rMqXAnhT89svmn8AAAD//wMAUEsBAi0AFAAGAAgAAAAhALaDOJL+AAAA4QEAABMAAAAAAAAA&#10;AAAAAAAAAAAAAFtDb250ZW50X1R5cGVzXS54bWxQSwECLQAUAAYACAAAACEAOP0h/9YAAACUAQAA&#10;CwAAAAAAAAAAAAAAAAAvAQAAX3JlbHMvLnJlbHNQSwECLQAUAAYACAAAACEAxFttCJQBAAAiAwAA&#10;DgAAAAAAAAAAAAAAAAAuAgAAZHJzL2Uyb0RvYy54bWxQSwECLQAUAAYACAAAACEA5pGrbeAAAAAN&#10;AQAADwAAAAAAAAAAAAAAAADuAwAAZHJzL2Rvd25yZXYueG1sUEsFBgAAAAAEAAQA8wAAAPsEAAAA&#10;AA==&#10;" filled="f" stroked="f">
              <v:textbox style="mso-fit-shape-to-text:t" inset="0,0,0,0">
                <w:txbxContent>
                  <w:p w:rsidR="005053FF" w:rsidRDefault="00EF3F38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2E61" w:rsidRPr="00942E61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FF" w:rsidRDefault="005053F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38" w:rsidRDefault="00EF3F38"/>
  </w:footnote>
  <w:footnote w:type="continuationSeparator" w:id="0">
    <w:p w:rsidR="00EF3F38" w:rsidRDefault="00EF3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F8"/>
    <w:multiLevelType w:val="multilevel"/>
    <w:tmpl w:val="475E78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2141B"/>
    <w:multiLevelType w:val="multilevel"/>
    <w:tmpl w:val="1CC4F3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C0633"/>
    <w:multiLevelType w:val="multilevel"/>
    <w:tmpl w:val="E398D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C3604"/>
    <w:multiLevelType w:val="multilevel"/>
    <w:tmpl w:val="0AB893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602CA"/>
    <w:multiLevelType w:val="multilevel"/>
    <w:tmpl w:val="7308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3561B"/>
    <w:multiLevelType w:val="multilevel"/>
    <w:tmpl w:val="38F454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67AF4"/>
    <w:multiLevelType w:val="multilevel"/>
    <w:tmpl w:val="6A3281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C0F5E"/>
    <w:multiLevelType w:val="multilevel"/>
    <w:tmpl w:val="91607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B70D1"/>
    <w:multiLevelType w:val="multilevel"/>
    <w:tmpl w:val="A516A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47AB5"/>
    <w:multiLevelType w:val="multilevel"/>
    <w:tmpl w:val="79448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7F397B"/>
    <w:multiLevelType w:val="multilevel"/>
    <w:tmpl w:val="C7521F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0B34D7"/>
    <w:multiLevelType w:val="multilevel"/>
    <w:tmpl w:val="A580A9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F3C18"/>
    <w:multiLevelType w:val="multilevel"/>
    <w:tmpl w:val="5B8C8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79A2"/>
    <w:multiLevelType w:val="multilevel"/>
    <w:tmpl w:val="FCC82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53FF"/>
    <w:rsid w:val="00452A3F"/>
    <w:rsid w:val="005053FF"/>
    <w:rsid w:val="00942E61"/>
    <w:rsid w:val="00E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line="233" w:lineRule="auto"/>
      <w:outlineLvl w:val="0"/>
    </w:pPr>
    <w:rPr>
      <w:rFonts w:ascii="Segoe UI" w:eastAsia="Segoe UI" w:hAnsi="Segoe UI" w:cs="Segoe UI"/>
      <w:sz w:val="42"/>
      <w:szCs w:val="42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18"/>
      <w:szCs w:val="18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540" w:line="257" w:lineRule="auto"/>
      <w:ind w:left="200" w:firstLine="8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line="233" w:lineRule="auto"/>
      <w:outlineLvl w:val="0"/>
    </w:pPr>
    <w:rPr>
      <w:rFonts w:ascii="Segoe UI" w:eastAsia="Segoe UI" w:hAnsi="Segoe UI" w:cs="Segoe UI"/>
      <w:sz w:val="42"/>
      <w:szCs w:val="42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18"/>
      <w:szCs w:val="18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540" w:line="257" w:lineRule="auto"/>
      <w:ind w:left="200" w:firstLine="8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vis@designj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2550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</dc:creator>
  <cp:keywords/>
  <cp:lastModifiedBy>Blahová Jana</cp:lastModifiedBy>
  <cp:revision>2</cp:revision>
  <dcterms:created xsi:type="dcterms:W3CDTF">2021-09-06T11:29:00Z</dcterms:created>
  <dcterms:modified xsi:type="dcterms:W3CDTF">2021-09-06T11:41:00Z</dcterms:modified>
</cp:coreProperties>
</file>