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59" w:rsidRDefault="00FD4806">
      <w:pPr>
        <w:pStyle w:val="Nzev"/>
        <w:spacing w:before="80"/>
        <w:ind w:left="3283" w:right="3148"/>
      </w:pPr>
      <w:r>
        <w:rPr>
          <w:color w:val="808080"/>
        </w:rPr>
        <w:t>Smlouva č. 1190400149 o poskytnutí podpory</w:t>
      </w:r>
    </w:p>
    <w:p w:rsidR="00653759" w:rsidRDefault="00FD4806">
      <w:pPr>
        <w:pStyle w:val="Nzev"/>
      </w:pPr>
      <w:r>
        <w:rPr>
          <w:color w:val="808080"/>
        </w:rPr>
        <w:t>ze Státního fondu životního prostředí České republiky</w:t>
      </w:r>
    </w:p>
    <w:p w:rsidR="00653759" w:rsidRDefault="00653759">
      <w:pPr>
        <w:pStyle w:val="Zkladntext"/>
        <w:spacing w:before="11"/>
        <w:ind w:left="0"/>
        <w:jc w:val="left"/>
        <w:rPr>
          <w:sz w:val="59"/>
        </w:rPr>
      </w:pPr>
    </w:p>
    <w:p w:rsidR="00653759" w:rsidRDefault="00FD4806">
      <w:pPr>
        <w:pStyle w:val="Zkladntext"/>
        <w:ind w:left="242"/>
        <w:jc w:val="left"/>
      </w:pPr>
      <w:r>
        <w:t>Smluvní strany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653759" w:rsidRDefault="00FD48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653759" w:rsidRDefault="00FD48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653759" w:rsidRDefault="00FD4806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653759" w:rsidRDefault="00FD4806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653759" w:rsidRDefault="00FD480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653759" w:rsidRDefault="00FD4806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653759" w:rsidRDefault="00653759">
      <w:pPr>
        <w:pStyle w:val="Zkladntext"/>
        <w:spacing w:before="11"/>
        <w:ind w:left="0"/>
        <w:jc w:val="left"/>
        <w:rPr>
          <w:sz w:val="19"/>
        </w:rPr>
      </w:pPr>
    </w:p>
    <w:p w:rsidR="00653759" w:rsidRDefault="00FD4806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653759" w:rsidRDefault="00653759">
      <w:pPr>
        <w:pStyle w:val="Zkladntext"/>
        <w:ind w:left="0"/>
        <w:jc w:val="left"/>
      </w:pPr>
    </w:p>
    <w:p w:rsidR="00653759" w:rsidRDefault="00FD4806">
      <w:pPr>
        <w:pStyle w:val="Nadpis1"/>
        <w:ind w:right="0"/>
        <w:jc w:val="left"/>
      </w:pPr>
      <w:r>
        <w:t>město Český Brod</w:t>
      </w:r>
    </w:p>
    <w:p w:rsidR="00653759" w:rsidRDefault="00FD4806">
      <w:pPr>
        <w:pStyle w:val="Zkladntext"/>
        <w:tabs>
          <w:tab w:val="left" w:pos="3122"/>
        </w:tabs>
        <w:spacing w:before="1"/>
        <w:ind w:left="242" w:right="91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Český Brod, náměstí Husovo 70, 282 01 Český</w:t>
      </w:r>
      <w:r>
        <w:rPr>
          <w:spacing w:val="-27"/>
        </w:rPr>
        <w:t xml:space="preserve"> </w:t>
      </w:r>
      <w:r>
        <w:t>Brod IČO:</w:t>
      </w:r>
      <w:r>
        <w:tab/>
        <w:t>00235334</w:t>
      </w:r>
    </w:p>
    <w:p w:rsidR="00653759" w:rsidRDefault="00FD480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zastoupené:</w:t>
      </w:r>
      <w:r>
        <w:tab/>
        <w:t>Bc. Jakubem N e k o l n ý m,</w:t>
      </w:r>
      <w:r>
        <w:rPr>
          <w:spacing w:val="-4"/>
        </w:rPr>
        <w:t xml:space="preserve"> </w:t>
      </w:r>
      <w:r>
        <w:t>starostou</w:t>
      </w:r>
    </w:p>
    <w:p w:rsidR="00653759" w:rsidRDefault="00FD48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33655C" w:rsidRPr="0033655C">
        <w:rPr>
          <w:highlight w:val="yellow"/>
        </w:rPr>
        <w:t>xxxx</w:t>
      </w:r>
    </w:p>
    <w:p w:rsidR="0033655C" w:rsidRDefault="00FD4806">
      <w:pPr>
        <w:pStyle w:val="Zkladntext"/>
        <w:tabs>
          <w:tab w:val="left" w:pos="3122"/>
        </w:tabs>
        <w:ind w:left="242" w:right="5076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3655C" w:rsidRPr="0033655C">
        <w:rPr>
          <w:w w:val="95"/>
          <w:highlight w:val="yellow"/>
        </w:rPr>
        <w:t>xxxx</w:t>
      </w:r>
      <w:bookmarkStart w:id="0" w:name="_GoBack"/>
      <w:bookmarkEnd w:id="0"/>
    </w:p>
    <w:p w:rsidR="00653759" w:rsidRDefault="00FD4806">
      <w:pPr>
        <w:pStyle w:val="Zkladntext"/>
        <w:tabs>
          <w:tab w:val="left" w:pos="3122"/>
        </w:tabs>
        <w:ind w:left="242" w:right="507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34"/>
        </w:rPr>
      </w:pPr>
    </w:p>
    <w:p w:rsidR="00653759" w:rsidRDefault="00FD4806">
      <w:pPr>
        <w:pStyle w:val="Zkladntext"/>
        <w:ind w:left="242"/>
        <w:jc w:val="left"/>
      </w:pPr>
      <w:r>
        <w:t>se dohodly takto: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187"/>
        <w:ind w:left="3276"/>
      </w:pPr>
      <w:r>
        <w:t>I.</w:t>
      </w:r>
    </w:p>
    <w:p w:rsidR="00653759" w:rsidRDefault="00FD4806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653759" w:rsidRDefault="00653759">
      <w:pPr>
        <w:pStyle w:val="Zkladntext"/>
        <w:spacing w:before="12"/>
        <w:ind w:left="0"/>
        <w:jc w:val="left"/>
        <w:rPr>
          <w:b/>
          <w:sz w:val="19"/>
        </w:rPr>
      </w:pPr>
    </w:p>
    <w:p w:rsidR="00653759" w:rsidRDefault="00FD4806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53759" w:rsidRDefault="00FD4806">
      <w:pPr>
        <w:pStyle w:val="Zkladntext"/>
        <w:ind w:right="111"/>
      </w:pPr>
      <w:r>
        <w:t>„Smlouva“) se uzavírá na základě Rozhodnutí ministra životního prostředí č. 1190400149 o poskytnutí finančních prostředků ze Státního fondu životního prostředí ČR ze dne 09. 04. 2020 a Směrnice Ministerstva životního prostředí č. 4/2015 o poskytování finan</w:t>
      </w:r>
      <w:r>
        <w:t>čních prostředků ze Státního fondu životního prostředí České republiky prostřednictvím Národního programu Životní prostředí (dále jen</w:t>
      </w:r>
    </w:p>
    <w:p w:rsidR="00653759" w:rsidRDefault="00FD4806">
      <w:pPr>
        <w:pStyle w:val="Zkladntext"/>
        <w:spacing w:before="2"/>
      </w:pPr>
      <w:r>
        <w:t>„Směrnice MŽP“), platné ke dni podání žádosti.</w:t>
      </w:r>
    </w:p>
    <w:p w:rsidR="00653759" w:rsidRDefault="00FD4806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</w:t>
      </w:r>
      <w:r>
        <w:rPr>
          <w:sz w:val="20"/>
        </w:rPr>
        <w:t>říloh)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653759" w:rsidRDefault="00653759">
      <w:pPr>
        <w:jc w:val="both"/>
        <w:rPr>
          <w:sz w:val="20"/>
        </w:rPr>
        <w:sectPr w:rsidR="00653759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653759" w:rsidRDefault="00FD4806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653759" w:rsidRDefault="00FD4806">
      <w:pPr>
        <w:pStyle w:val="Nadpis1"/>
        <w:spacing w:before="120"/>
        <w:ind w:left="825" w:right="0"/>
        <w:jc w:val="left"/>
      </w:pPr>
      <w:r>
        <w:t>„Nové vodní zdroje NV1 a NV2 a jejich napojení na veřejný vodovod města Český Brod“</w:t>
      </w:r>
    </w:p>
    <w:p w:rsidR="00653759" w:rsidRDefault="00FD4806">
      <w:pPr>
        <w:pStyle w:val="Zkladntext"/>
        <w:spacing w:before="121"/>
        <w:jc w:val="left"/>
      </w:pPr>
      <w:r>
        <w:t>(dále jen „projekt“ nebo „akce“) realizovaná v letech 2021 až 2023. Akce je investiční.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187" w:line="265" w:lineRule="exact"/>
        <w:ind w:left="3283" w:right="2799"/>
      </w:pPr>
      <w:r>
        <w:t>II.</w:t>
      </w:r>
    </w:p>
    <w:p w:rsidR="00653759" w:rsidRDefault="00FD4806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653759" w:rsidRDefault="00653759">
      <w:pPr>
        <w:pStyle w:val="Zkladntext"/>
        <w:spacing w:before="1"/>
        <w:ind w:left="0"/>
        <w:jc w:val="left"/>
        <w:rPr>
          <w:b/>
        </w:rPr>
      </w:pP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49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742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755,19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čtyřicet devět milionů sedm set čtyřicet dva tisíc sedm set padesát pět korun českých a devatenáct haléřů).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78 027 851,29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</w:t>
      </w:r>
      <w:r>
        <w:rPr>
          <w:sz w:val="20"/>
        </w:rPr>
        <w:t>t odpovídající postupu realizace akce), uhradí příjemce podpory částku tohoto překročení z vlastních zdrojů.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653759" w:rsidRDefault="00FD4806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653759" w:rsidRDefault="00653759">
      <w:pPr>
        <w:pStyle w:val="Zkladntext"/>
        <w:spacing w:before="1"/>
        <w:ind w:left="0"/>
        <w:jc w:val="left"/>
      </w:pPr>
    </w:p>
    <w:p w:rsidR="00653759" w:rsidRDefault="00FD4806">
      <w:pPr>
        <w:pStyle w:val="Nadpis1"/>
        <w:ind w:left="3275"/>
      </w:pPr>
      <w:r>
        <w:t>III.</w:t>
      </w:r>
    </w:p>
    <w:p w:rsidR="00653759" w:rsidRDefault="00FD4806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</w:t>
      </w:r>
      <w:r>
        <w:rPr>
          <w:b/>
          <w:sz w:val="20"/>
        </w:rPr>
        <w:t>y</w:t>
      </w:r>
    </w:p>
    <w:p w:rsidR="00653759" w:rsidRDefault="00653759">
      <w:pPr>
        <w:pStyle w:val="Zkladntext"/>
        <w:ind w:left="0"/>
        <w:jc w:val="left"/>
        <w:rPr>
          <w:b/>
        </w:rPr>
      </w:pP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 xml:space="preserve">Fond bude poskytovat finanční prostředky průběžně </w:t>
      </w:r>
      <w:r>
        <w:rPr>
          <w:sz w:val="20"/>
        </w:rPr>
        <w:t>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653759" w:rsidRDefault="00653759">
      <w:pPr>
        <w:pStyle w:val="Zkladntext"/>
        <w:spacing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653759">
        <w:trPr>
          <w:trHeight w:val="385"/>
        </w:trPr>
        <w:tc>
          <w:tcPr>
            <w:tcW w:w="4779" w:type="dxa"/>
          </w:tcPr>
          <w:p w:rsidR="00653759" w:rsidRDefault="00FD4806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653759" w:rsidRDefault="00FD4806">
            <w:pPr>
              <w:pStyle w:val="TableParagraph"/>
              <w:spacing w:before="120" w:line="246" w:lineRule="exact"/>
              <w:ind w:left="1644" w:right="16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653759">
        <w:trPr>
          <w:trHeight w:val="385"/>
        </w:trPr>
        <w:tc>
          <w:tcPr>
            <w:tcW w:w="4779" w:type="dxa"/>
          </w:tcPr>
          <w:p w:rsidR="00653759" w:rsidRDefault="00FD4806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653759" w:rsidRDefault="00FD4806">
            <w:pPr>
              <w:pStyle w:val="TableParagraph"/>
              <w:spacing w:before="120" w:line="246" w:lineRule="exact"/>
              <w:ind w:left="1645" w:right="1642"/>
              <w:jc w:val="center"/>
              <w:rPr>
                <w:sz w:val="20"/>
              </w:rPr>
            </w:pPr>
            <w:r>
              <w:rPr>
                <w:sz w:val="20"/>
              </w:rPr>
              <w:t>10 070 290,44</w:t>
            </w:r>
          </w:p>
        </w:tc>
      </w:tr>
      <w:tr w:rsidR="00653759">
        <w:trPr>
          <w:trHeight w:val="386"/>
        </w:trPr>
        <w:tc>
          <w:tcPr>
            <w:tcW w:w="4779" w:type="dxa"/>
          </w:tcPr>
          <w:p w:rsidR="00653759" w:rsidRDefault="00FD4806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653759" w:rsidRDefault="00FD4806">
            <w:pPr>
              <w:pStyle w:val="TableParagraph"/>
              <w:spacing w:before="120" w:line="246" w:lineRule="exact"/>
              <w:ind w:left="1645" w:right="1642"/>
              <w:jc w:val="center"/>
              <w:rPr>
                <w:sz w:val="20"/>
              </w:rPr>
            </w:pPr>
            <w:r>
              <w:rPr>
                <w:sz w:val="20"/>
              </w:rPr>
              <w:t>20 140 580,87</w:t>
            </w:r>
          </w:p>
        </w:tc>
      </w:tr>
      <w:tr w:rsidR="00653759">
        <w:trPr>
          <w:trHeight w:val="385"/>
        </w:trPr>
        <w:tc>
          <w:tcPr>
            <w:tcW w:w="4779" w:type="dxa"/>
          </w:tcPr>
          <w:p w:rsidR="00653759" w:rsidRDefault="00FD4806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0" w:type="dxa"/>
          </w:tcPr>
          <w:p w:rsidR="00653759" w:rsidRDefault="00FD4806">
            <w:pPr>
              <w:pStyle w:val="TableParagraph"/>
              <w:spacing w:before="120" w:line="246" w:lineRule="exact"/>
              <w:ind w:left="1645" w:right="1642"/>
              <w:jc w:val="center"/>
              <w:rPr>
                <w:sz w:val="20"/>
              </w:rPr>
            </w:pPr>
            <w:r>
              <w:rPr>
                <w:sz w:val="20"/>
              </w:rPr>
              <w:t>19 531 883,88</w:t>
            </w:r>
          </w:p>
        </w:tc>
      </w:tr>
    </w:tbl>
    <w:p w:rsidR="00653759" w:rsidRDefault="00653759">
      <w:pPr>
        <w:pStyle w:val="Zkladntext"/>
        <w:spacing w:before="11"/>
        <w:ind w:left="0"/>
        <w:jc w:val="left"/>
        <w:rPr>
          <w:sz w:val="19"/>
        </w:rPr>
      </w:pP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left"/>
        <w:rPr>
          <w:sz w:val="20"/>
        </w:rPr>
      </w:pPr>
      <w:r>
        <w:rPr>
          <w:sz w:val="20"/>
        </w:rPr>
        <w:t>Fond neposkytne finanční prostředky dříve, než příjemce podpory Fondu</w:t>
      </w:r>
      <w:r>
        <w:rPr>
          <w:spacing w:val="10"/>
          <w:sz w:val="20"/>
        </w:rPr>
        <w:t xml:space="preserve"> </w:t>
      </w:r>
      <w:r>
        <w:rPr>
          <w:sz w:val="20"/>
        </w:rPr>
        <w:t>prostřednictvím Agendového</w:t>
      </w:r>
    </w:p>
    <w:p w:rsidR="00653759" w:rsidRDefault="00653759">
      <w:pPr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Zkladntext"/>
        <w:spacing w:before="73"/>
        <w:ind w:right="114"/>
      </w:pPr>
      <w:r>
        <w:lastRenderedPageBreak/>
        <w:t>informačního systému Státního fondu životního prostředí České republiky (dále jen „AIS SFŽP“) předloží s každou žádostí o uvolnění finančních prostředků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</w:t>
      </w:r>
      <w:r>
        <w:rPr>
          <w:sz w:val="20"/>
        </w:rPr>
        <w:t>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</w:t>
      </w:r>
      <w:r>
        <w:rPr>
          <w:sz w:val="20"/>
        </w:rPr>
        <w:t xml:space="preserve">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</w:t>
      </w:r>
      <w:r>
        <w:rPr>
          <w:sz w:val="20"/>
        </w:rPr>
        <w:t>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5"/>
          <w:sz w:val="20"/>
        </w:rPr>
        <w:t xml:space="preserve"> </w:t>
      </w:r>
      <w:r>
        <w:rPr>
          <w:sz w:val="20"/>
        </w:rPr>
        <w:t>akce.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žádostí</w:t>
      </w:r>
    </w:p>
    <w:p w:rsidR="00653759" w:rsidRDefault="00FD4806">
      <w:pPr>
        <w:pStyle w:val="Zkladntext"/>
        <w:spacing w:before="1"/>
      </w:pPr>
      <w:r>
        <w:t xml:space="preserve">o uvolnění finančních prostředků doručených Fondu </w:t>
      </w:r>
      <w:r>
        <w:t>příjemcem podpory prostřednictvím AIS SFŽP.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653759" w:rsidRDefault="00FD4806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</w:t>
      </w:r>
      <w:r>
        <w:rPr>
          <w:sz w:val="20"/>
        </w:rPr>
        <w:t>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4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předpisy z hlediska věcné, fo</w:t>
      </w:r>
      <w:r>
        <w:rPr>
          <w:sz w:val="20"/>
        </w:rPr>
        <w:t>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653759" w:rsidRDefault="00FD4806">
      <w:pPr>
        <w:pStyle w:val="Odstavecseseznamem"/>
        <w:numPr>
          <w:ilvl w:val="1"/>
          <w:numId w:val="6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</w:t>
      </w:r>
      <w:r>
        <w:rPr>
          <w:sz w:val="20"/>
        </w:rPr>
        <w:t>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dobropis faktury, je povinen tyto doklady včetně zdůvodnění a kopie </w:t>
      </w:r>
      <w:r>
        <w:rPr>
          <w:sz w:val="20"/>
        </w:rPr>
        <w:t>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right="109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</w:t>
      </w:r>
      <w:r>
        <w:rPr>
          <w:sz w:val="20"/>
        </w:rPr>
        <w:t>nou smlouvu/dohodu o započtení vzájemných plnění stejného druhu (pohledávek a závazků) vzniklých na základě smluvního vztahu mezi příjemcem faktury a fakturujícím zhotovitelem, podepsanou příjemcem podpory i zhotovitelem. Tato oboustranná vzájemná dohoda m</w:t>
      </w:r>
      <w:r>
        <w:rPr>
          <w:sz w:val="20"/>
        </w:rPr>
        <w:t>usí být uzavřena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občanským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080" w:left="1460" w:header="0" w:footer="882" w:gutter="0"/>
          <w:cols w:space="708"/>
        </w:sectPr>
      </w:pPr>
    </w:p>
    <w:p w:rsidR="00653759" w:rsidRDefault="00FD4806">
      <w:pPr>
        <w:pStyle w:val="Zkladntext"/>
        <w:spacing w:before="73"/>
        <w:ind w:right="110"/>
      </w:pPr>
      <w:r>
        <w:lastRenderedPageBreak/>
        <w:t>zákoníkem. V dohodě musí být uvedeny smluvní strany, identifikace projektu a faktur/y (v případě odlišného variabilního symbolu oproti číslu faktury je vhodné uvést i variabilní symbol), vzájemně započte</w:t>
      </w:r>
      <w:r>
        <w:t>né částky a měny, datum podpisu smluvních stran a podpisy obou smluvních stran.</w:t>
      </w:r>
    </w:p>
    <w:p w:rsidR="00653759" w:rsidRDefault="00FD4806">
      <w:pPr>
        <w:pStyle w:val="Odstavecseseznamem"/>
        <w:numPr>
          <w:ilvl w:val="0"/>
          <w:numId w:val="6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186"/>
        <w:ind w:left="3279"/>
      </w:pPr>
      <w:r>
        <w:t>IV.</w:t>
      </w:r>
    </w:p>
    <w:p w:rsidR="00653759" w:rsidRDefault="00FD4806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 xml:space="preserve">Základní závazky a další povinnosti </w:t>
      </w:r>
      <w:r>
        <w:rPr>
          <w:b/>
          <w:sz w:val="20"/>
        </w:rPr>
        <w:t>příjemce podpory</w:t>
      </w:r>
    </w:p>
    <w:p w:rsidR="00653759" w:rsidRDefault="00653759">
      <w:pPr>
        <w:pStyle w:val="Zkladntext"/>
        <w:spacing w:before="1"/>
        <w:ind w:left="0"/>
        <w:jc w:val="left"/>
        <w:rPr>
          <w:b/>
        </w:rPr>
      </w:pPr>
    </w:p>
    <w:p w:rsidR="00653759" w:rsidRDefault="00FD4806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734"/>
        </w:tabs>
        <w:spacing w:before="122" w:line="237" w:lineRule="auto"/>
        <w:ind w:right="11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„Nové</w:t>
      </w:r>
      <w:r>
        <w:rPr>
          <w:spacing w:val="-10"/>
          <w:sz w:val="20"/>
        </w:rPr>
        <w:t xml:space="preserve"> </w:t>
      </w:r>
      <w:r>
        <w:rPr>
          <w:sz w:val="20"/>
        </w:rPr>
        <w:t>vodní</w:t>
      </w:r>
      <w:r>
        <w:rPr>
          <w:spacing w:val="-9"/>
          <w:sz w:val="20"/>
        </w:rPr>
        <w:t xml:space="preserve"> </w:t>
      </w:r>
      <w:r>
        <w:rPr>
          <w:sz w:val="20"/>
        </w:rPr>
        <w:t>zdroje</w:t>
      </w:r>
      <w:r>
        <w:rPr>
          <w:spacing w:val="-11"/>
          <w:sz w:val="20"/>
        </w:rPr>
        <w:t xml:space="preserve"> </w:t>
      </w:r>
      <w:r>
        <w:rPr>
          <w:sz w:val="20"/>
        </w:rPr>
        <w:t>NV1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NV2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napojení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</w:t>
      </w:r>
      <w:r>
        <w:rPr>
          <w:spacing w:val="-10"/>
          <w:sz w:val="20"/>
        </w:rPr>
        <w:t xml:space="preserve"> </w:t>
      </w:r>
      <w:r>
        <w:rPr>
          <w:sz w:val="20"/>
        </w:rPr>
        <w:t>vodovod</w:t>
      </w:r>
      <w:r>
        <w:rPr>
          <w:spacing w:val="-9"/>
          <w:sz w:val="20"/>
        </w:rPr>
        <w:t xml:space="preserve"> </w:t>
      </w:r>
      <w:r>
        <w:rPr>
          <w:sz w:val="20"/>
        </w:rPr>
        <w:t>města</w:t>
      </w:r>
      <w:r>
        <w:rPr>
          <w:spacing w:val="-7"/>
          <w:sz w:val="20"/>
        </w:rPr>
        <w:t xml:space="preserve"> </w:t>
      </w:r>
      <w:r>
        <w:rPr>
          <w:sz w:val="20"/>
        </w:rPr>
        <w:t>Český</w:t>
      </w:r>
      <w:r>
        <w:rPr>
          <w:spacing w:val="-9"/>
          <w:sz w:val="20"/>
        </w:rPr>
        <w:t xml:space="preserve"> </w:t>
      </w:r>
      <w:r>
        <w:rPr>
          <w:sz w:val="20"/>
        </w:rPr>
        <w:t>Brod“ tím, že akce bude provedena v souladu se žádostí o podporu a jejími přílohami a touto</w:t>
      </w:r>
      <w:r>
        <w:rPr>
          <w:spacing w:val="-28"/>
          <w:sz w:val="20"/>
        </w:rPr>
        <w:t xml:space="preserve"> </w:t>
      </w:r>
      <w:r>
        <w:rPr>
          <w:sz w:val="20"/>
        </w:rPr>
        <w:t>Smlouvou,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758"/>
        </w:tabs>
        <w:spacing w:before="122"/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vodovodu o délce 3,49 km a vystrojení 2 vrtů pitné</w:t>
      </w:r>
      <w:r>
        <w:rPr>
          <w:spacing w:val="-14"/>
          <w:sz w:val="20"/>
        </w:rPr>
        <w:t xml:space="preserve"> </w:t>
      </w:r>
      <w:r>
        <w:rPr>
          <w:sz w:val="20"/>
        </w:rPr>
        <w:t>vody,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66"/>
        </w:tabs>
        <w:ind w:left="810" w:right="109" w:hanging="286"/>
        <w:jc w:val="both"/>
        <w:rPr>
          <w:rFonts w:ascii="Arial" w:hAnsi="Arial"/>
          <w:sz w:val="23"/>
        </w:rPr>
      </w:pPr>
      <w:r>
        <w:tab/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(ZVA)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písmene</w:t>
      </w:r>
      <w:r>
        <w:rPr>
          <w:spacing w:val="-10"/>
          <w:sz w:val="20"/>
        </w:rPr>
        <w:t xml:space="preserve"> </w:t>
      </w:r>
      <w:r>
        <w:rPr>
          <w:sz w:val="20"/>
        </w:rPr>
        <w:t>q)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zásobováno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992</w:t>
      </w:r>
      <w:r>
        <w:rPr>
          <w:spacing w:val="-9"/>
          <w:sz w:val="20"/>
        </w:rPr>
        <w:t xml:space="preserve"> </w:t>
      </w:r>
      <w:r>
        <w:rPr>
          <w:sz w:val="20"/>
        </w:rPr>
        <w:t>obyvatel pitnou vodou ve zlepšené kvalitě, bude dodáváno  286 164  m³/rok pi</w:t>
      </w:r>
      <w:r>
        <w:rPr>
          <w:sz w:val="20"/>
        </w:rPr>
        <w:t>tné  vody  ve zlepšené kvalitě v ukazateli</w:t>
      </w:r>
      <w:r>
        <w:rPr>
          <w:spacing w:val="-1"/>
          <w:sz w:val="20"/>
        </w:rPr>
        <w:t xml:space="preserve"> </w:t>
      </w:r>
      <w:r>
        <w:rPr>
          <w:sz w:val="20"/>
        </w:rPr>
        <w:t>uran,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po  dokončení  projektu  bude  dodávaná  pitná  voda  splňovat  hygienické  požadavky  v souladu  s platnou legislativou ČR,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06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výjimkou pozemků, k</w:t>
      </w:r>
      <w:r>
        <w:rPr>
          <w:sz w:val="20"/>
        </w:rPr>
        <w:t>terými je pouze vedena liniová stavba). Příjemce podpory je povinen zabezpečit, že předmět podpory nebude převeden bez souhlasu Fondu na jinou osobu nejméně po dobu 10 let od ukončení akce. V případě, že Fond převod předmětu podpory odsouhlasí, příjemce po</w:t>
      </w:r>
      <w:r>
        <w:rPr>
          <w:sz w:val="20"/>
        </w:rPr>
        <w:t>dpory zabezpečí, že účel, pro který je poskytnuta podpora podle této Smlouvy, bude řádně plněn po stanovenou dobu. Po tutéž dobu příjemce podpory zabezpečí řádný provoz předmětu</w:t>
      </w:r>
      <w:r>
        <w:rPr>
          <w:spacing w:val="-20"/>
          <w:sz w:val="20"/>
        </w:rPr>
        <w:t xml:space="preserve"> </w:t>
      </w:r>
      <w:r>
        <w:rPr>
          <w:sz w:val="20"/>
        </w:rPr>
        <w:t>podpory,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 xml:space="preserve">zabezpečí,  že  právní  zatížení  předmětu  podpory  po  dobu  udržitelnosti,  zejména  zastavení     ve prospěch jiné osoby (vyjma takových věcných břemen, u kterých výkon práv z nich odvozený neohrozí realizaci akce ani plnění jejího účelu po stanovenou </w:t>
      </w:r>
      <w:r>
        <w:rPr>
          <w:sz w:val="20"/>
        </w:rPr>
        <w:t>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2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bude  veškeré  výda</w:t>
      </w:r>
      <w:r>
        <w:rPr>
          <w:sz w:val="20"/>
        </w:rPr>
        <w:t>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</w:t>
      </w:r>
      <w:r>
        <w:rPr>
          <w:sz w:val="20"/>
        </w:rPr>
        <w:t>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7"/>
        <w:jc w:val="both"/>
        <w:rPr>
          <w:sz w:val="20"/>
        </w:rPr>
      </w:pPr>
      <w:r>
        <w:rPr>
          <w:sz w:val="20"/>
        </w:rPr>
        <w:lastRenderedPageBreak/>
        <w:t>umožní provádět kontrolu provedení akce na místě realizace, včetně kontroly souvisejících dokumentů osobá</w:t>
      </w:r>
      <w:r>
        <w:rPr>
          <w:sz w:val="20"/>
        </w:rPr>
        <w:t>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08"/>
        <w:jc w:val="both"/>
        <w:rPr>
          <w:sz w:val="20"/>
        </w:rPr>
      </w:pPr>
      <w:r>
        <w:rPr>
          <w:sz w:val="20"/>
        </w:rPr>
        <w:t xml:space="preserve">bude Fondu  dokládat  úhrady  faktur,  a  to  tak,  že  v  případě,  že  příjemce </w:t>
      </w:r>
      <w:r>
        <w:rPr>
          <w:sz w:val="20"/>
        </w:rPr>
        <w:t xml:space="preserve">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4"/>
          <w:sz w:val="20"/>
        </w:rPr>
        <w:t xml:space="preserve"> </w:t>
      </w:r>
      <w:r>
        <w:rPr>
          <w:sz w:val="20"/>
        </w:rPr>
        <w:t>Fondu,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53759" w:rsidRDefault="00FD4806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09" w:hanging="286"/>
        <w:rPr>
          <w:sz w:val="20"/>
        </w:rPr>
      </w:pPr>
      <w:r>
        <w:rPr>
          <w:sz w:val="20"/>
        </w:rPr>
        <w:t>předpokládaný term</w:t>
      </w:r>
      <w:r>
        <w:rPr>
          <w:sz w:val="20"/>
        </w:rPr>
        <w:t>ín ukončení stavebních a montážních prací do konce 6/2023,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653759" w:rsidRDefault="00FD4806">
      <w:pPr>
        <w:pStyle w:val="Odstavecseseznamem"/>
        <w:numPr>
          <w:ilvl w:val="2"/>
          <w:numId w:val="5"/>
        </w:numPr>
        <w:tabs>
          <w:tab w:val="left" w:pos="1094"/>
        </w:tabs>
        <w:spacing w:before="119"/>
        <w:ind w:right="111" w:hanging="286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9/2023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odkladu informuje, za termín ukončení akce se považuje datum vydání kolaudačního souhlasu, oznámení o  užívání  podle  příslušných  ustanovení  zákona  č.  183/2006  Sb., </w:t>
      </w:r>
      <w:r>
        <w:rPr>
          <w:sz w:val="20"/>
        </w:rPr>
        <w:t xml:space="preserve"> o  územním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</w:t>
      </w:r>
      <w:r>
        <w:rPr>
          <w:sz w:val="20"/>
        </w:rPr>
        <w:t>ební povolení). Bude-li vydán jak kolaudační souhlas, tak oznámení o užívání, považuje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3/2024 podklady k ZVA podle článku 12 písm. d)</w:t>
      </w:r>
      <w:r>
        <w:rPr>
          <w:spacing w:val="-14"/>
          <w:sz w:val="20"/>
        </w:rPr>
        <w:t xml:space="preserve"> </w:t>
      </w:r>
      <w:r>
        <w:rPr>
          <w:sz w:val="20"/>
        </w:rPr>
        <w:t>Výzvy.</w:t>
      </w:r>
    </w:p>
    <w:p w:rsidR="00653759" w:rsidRDefault="00653759">
      <w:pPr>
        <w:pStyle w:val="Zkladntext"/>
        <w:ind w:left="0"/>
        <w:jc w:val="left"/>
      </w:pPr>
    </w:p>
    <w:p w:rsidR="00653759" w:rsidRDefault="00FD4806">
      <w:pPr>
        <w:pStyle w:val="Zkladntext"/>
        <w:spacing w:before="1"/>
        <w:ind w:left="808" w:right="112"/>
      </w:pPr>
      <w:r>
        <w:t>K ZVA může Fond vy</w:t>
      </w:r>
      <w:r>
        <w:t>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 odkladu  (případně  ve  lhůtě  stanovené  Fondem)   splnit.   Fond  není  povinen  vydat   protokol   o ZVA dříve, než obdrží veškeré požadované podklady a informace, na základě kterých bude moci jednoznačně rozhodnout o plnění podmínek této Sml</w:t>
      </w:r>
      <w:r>
        <w:t>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653759" w:rsidRDefault="00FD4806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poskytnuté finanční</w:t>
      </w:r>
      <w:r>
        <w:rPr>
          <w:sz w:val="20"/>
        </w:rPr>
        <w:t xml:space="preserve">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</w:t>
      </w:r>
      <w:r>
        <w:rPr>
          <w:sz w:val="20"/>
        </w:rPr>
        <w:t>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</w:t>
      </w:r>
      <w:r>
        <w:rPr>
          <w:sz w:val="20"/>
        </w:rPr>
        <w:t>nančního úřadu uplatněna, příjemce podpory je povinen částku</w:t>
      </w:r>
      <w:r>
        <w:rPr>
          <w:spacing w:val="-32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</w:t>
      </w:r>
      <w:r>
        <w:rPr>
          <w:sz w:val="20"/>
        </w:rPr>
        <w:t>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 31. ledna následujícího  kalendářního  roku; k obsahu ročního  finančního</w:t>
      </w:r>
      <w:r>
        <w:rPr>
          <w:spacing w:val="32"/>
          <w:sz w:val="20"/>
        </w:rPr>
        <w:t xml:space="preserve"> </w:t>
      </w:r>
      <w:r>
        <w:rPr>
          <w:sz w:val="20"/>
        </w:rPr>
        <w:t>vypořádání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080" w:left="1460" w:header="0" w:footer="882" w:gutter="0"/>
          <w:cols w:space="708"/>
        </w:sectPr>
      </w:pPr>
    </w:p>
    <w:p w:rsidR="00653759" w:rsidRDefault="00FD4806">
      <w:pPr>
        <w:pStyle w:val="Zkladntext"/>
        <w:spacing w:before="73"/>
        <w:ind w:left="808"/>
      </w:pPr>
      <w:r>
        <w:lastRenderedPageBreak/>
        <w:t>může Fond vydat příjemci podpory závazné pokyny</w:t>
      </w:r>
      <w:r>
        <w:t>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</w:t>
      </w:r>
      <w:r>
        <w:rPr>
          <w:sz w:val="20"/>
        </w:rPr>
        <w:t>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653759" w:rsidRDefault="00FD4806">
      <w:pPr>
        <w:pStyle w:val="Zkladntext"/>
        <w:spacing w:before="2"/>
        <w:ind w:left="808"/>
      </w:pPr>
      <w:r>
        <w:t>– odkaz na Zadávání veřejných zakázek pro OPŽP 2014 - 2020, a to i v průběhu realizace akce,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republiky,</w:t>
      </w:r>
    </w:p>
    <w:p w:rsidR="00653759" w:rsidRDefault="00FD4806">
      <w:pPr>
        <w:pStyle w:val="Odstavecseseznamem"/>
        <w:numPr>
          <w:ilvl w:val="1"/>
          <w:numId w:val="5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</w:t>
      </w:r>
      <w:r>
        <w:rPr>
          <w:sz w:val="20"/>
        </w:rPr>
        <w:t>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186"/>
        <w:ind w:left="3274"/>
      </w:pPr>
      <w:r>
        <w:t>V.</w:t>
      </w:r>
    </w:p>
    <w:p w:rsidR="00653759" w:rsidRDefault="00FD4806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653759" w:rsidRDefault="00653759">
      <w:pPr>
        <w:pStyle w:val="Zkladntext"/>
        <w:spacing w:before="1"/>
        <w:ind w:left="0"/>
        <w:jc w:val="left"/>
        <w:rPr>
          <w:b/>
        </w:rPr>
      </w:pP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 toto  porušení  postiženo  odvodem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4"/>
        <w:jc w:val="both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poskytnuté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653759" w:rsidRDefault="00FD4806">
      <w:pPr>
        <w:pStyle w:val="Zkladntext"/>
        <w:spacing w:before="1"/>
        <w:ind w:right="116"/>
      </w:pPr>
      <w:r>
        <w:t>5 pracovních dnů nebude postiženo a nebude tak považováno za porušení podmínek poskytnutí 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</w:t>
      </w:r>
      <w:r>
        <w:rPr>
          <w:sz w:val="20"/>
        </w:rPr>
        <w:t xml:space="preserve">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způsobem  dodrženy   podmínky  Metodiky  z hlediska plnění podmínek přílo</w:t>
      </w:r>
      <w:r>
        <w:rPr>
          <w:sz w:val="20"/>
        </w:rPr>
        <w:t>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653759" w:rsidRDefault="00FD4806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653759" w:rsidRDefault="00653759">
      <w:pPr>
        <w:pStyle w:val="Zkladntext"/>
        <w:spacing w:before="12"/>
        <w:ind w:left="0"/>
        <w:jc w:val="left"/>
        <w:rPr>
          <w:sz w:val="19"/>
        </w:rPr>
      </w:pPr>
    </w:p>
    <w:p w:rsidR="00653759" w:rsidRDefault="00FD4806">
      <w:pPr>
        <w:pStyle w:val="Nadpis1"/>
        <w:ind w:left="3277"/>
      </w:pPr>
      <w:r>
        <w:t>VI.</w:t>
      </w:r>
    </w:p>
    <w:p w:rsidR="00653759" w:rsidRDefault="00FD4806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653759" w:rsidRDefault="00653759">
      <w:pPr>
        <w:pStyle w:val="Zkladntext"/>
        <w:spacing w:before="1"/>
        <w:ind w:left="0"/>
        <w:jc w:val="left"/>
        <w:rPr>
          <w:b/>
        </w:rPr>
      </w:pP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</w:t>
      </w:r>
      <w:r>
        <w:rPr>
          <w:sz w:val="20"/>
        </w:rPr>
        <w:t>ci, které se daná korespondence bude</w:t>
      </w:r>
      <w:r>
        <w:rPr>
          <w:spacing w:val="-35"/>
          <w:sz w:val="20"/>
        </w:rPr>
        <w:t xml:space="preserve"> </w:t>
      </w:r>
      <w:r>
        <w:rPr>
          <w:sz w:val="20"/>
        </w:rPr>
        <w:t>týkat.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Vz</w:t>
      </w:r>
      <w:r>
        <w:rPr>
          <w:sz w:val="20"/>
        </w:rPr>
        <w:t>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653759" w:rsidRDefault="00653759">
      <w:pPr>
        <w:spacing w:line="237" w:lineRule="auto"/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653759" w:rsidRDefault="00FD4806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</w:t>
      </w:r>
      <w:r>
        <w:rPr>
          <w:sz w:val="20"/>
        </w:rPr>
        <w:t>lářích a podepsána vlastnoručně; každý exemplář má platnost originálu. Každá smluvní strana obdrží jeden exemplář.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spacing w:before="11"/>
        <w:ind w:left="0"/>
        <w:jc w:val="left"/>
        <w:rPr>
          <w:sz w:val="27"/>
        </w:rPr>
      </w:pPr>
    </w:p>
    <w:p w:rsidR="00653759" w:rsidRDefault="00FD4806">
      <w:pPr>
        <w:pStyle w:val="Zkladntext"/>
        <w:ind w:left="242"/>
        <w:jc w:val="left"/>
      </w:pPr>
      <w:r>
        <w:t>V:</w:t>
      </w:r>
    </w:p>
    <w:p w:rsidR="00653759" w:rsidRDefault="00653759">
      <w:pPr>
        <w:pStyle w:val="Zkladntext"/>
        <w:spacing w:before="1"/>
        <w:ind w:left="0"/>
        <w:jc w:val="left"/>
      </w:pPr>
    </w:p>
    <w:p w:rsidR="00653759" w:rsidRDefault="00FD4806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spacing w:before="13"/>
        <w:ind w:left="0"/>
        <w:jc w:val="left"/>
        <w:rPr>
          <w:sz w:val="21"/>
        </w:rPr>
      </w:pPr>
    </w:p>
    <w:p w:rsidR="00653759" w:rsidRDefault="00FD4806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653759" w:rsidRDefault="00FD4806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spacing w:before="2"/>
        <w:ind w:left="0"/>
        <w:jc w:val="left"/>
        <w:rPr>
          <w:sz w:val="32"/>
        </w:rPr>
      </w:pPr>
    </w:p>
    <w:p w:rsidR="00653759" w:rsidRDefault="00FD4806">
      <w:pPr>
        <w:pStyle w:val="Zkladntext"/>
        <w:ind w:left="242"/>
        <w:jc w:val="left"/>
      </w:pPr>
      <w:r>
        <w:t>Příloha č. 1 – Specifické podmínky provozování pro oddílný model provozování</w:t>
      </w:r>
    </w:p>
    <w:p w:rsidR="00653759" w:rsidRDefault="00653759">
      <w:pPr>
        <w:pStyle w:val="Zkladntext"/>
        <w:spacing w:before="12"/>
        <w:ind w:left="0"/>
        <w:jc w:val="left"/>
        <w:rPr>
          <w:sz w:val="37"/>
        </w:rPr>
      </w:pPr>
    </w:p>
    <w:p w:rsidR="00653759" w:rsidRDefault="00FD4806">
      <w:pPr>
        <w:pStyle w:val="Zkladntext"/>
        <w:spacing w:before="1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653759" w:rsidRDefault="00653759">
      <w:p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Zkladntext"/>
        <w:spacing w:before="73"/>
        <w:ind w:left="242"/>
        <w:jc w:val="left"/>
      </w:pPr>
      <w:r>
        <w:lastRenderedPageBreak/>
        <w:t>Příloha č. 1 - Smlouva o poskytnutí</w:t>
      </w:r>
      <w:r>
        <w:t xml:space="preserve"> podpory ze Státního fondu životního prostředí České republiky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spacing w:before="2"/>
        <w:ind w:left="0"/>
        <w:jc w:val="left"/>
        <w:rPr>
          <w:sz w:val="24"/>
        </w:rPr>
      </w:pPr>
    </w:p>
    <w:p w:rsidR="00653759" w:rsidRDefault="00FD4806">
      <w:pPr>
        <w:pStyle w:val="Nadpis1"/>
        <w:ind w:right="0"/>
        <w:jc w:val="left"/>
      </w:pPr>
      <w:r>
        <w:t>Specifické podmínky provozování pro oddílný model provozování</w:t>
      </w:r>
    </w:p>
    <w:p w:rsidR="00653759" w:rsidRDefault="00653759">
      <w:pPr>
        <w:pStyle w:val="Zkladntext"/>
        <w:spacing w:before="1"/>
        <w:ind w:left="0"/>
        <w:jc w:val="left"/>
        <w:rPr>
          <w:b/>
          <w:sz w:val="29"/>
        </w:rPr>
      </w:pP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05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</w:t>
      </w:r>
      <w:r>
        <w:rPr>
          <w:sz w:val="20"/>
        </w:rPr>
        <w:t xml:space="preserve"> posledního kolaudačního souhlasu k projektu provozována  v rámci oddílného modelu, tzn., že ji bude provozovat subjekt, který je  odlišný od příjemce podpory  a který příjemce podpory neovládá ze 100 %. (k modelům provozování infrastruktury a podmínkám st</w:t>
      </w:r>
      <w:r>
        <w:rPr>
          <w:sz w:val="20"/>
        </w:rPr>
        <w:t>anoveným pro oddílný model viz dokument „Metodika pro žadatele rozvádějící podmínky přílohy č. 6</w:t>
      </w:r>
      <w:r>
        <w:rPr>
          <w:spacing w:val="-13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4"/>
          <w:sz w:val="20"/>
        </w:rPr>
        <w:t xml:space="preserve"> </w:t>
      </w:r>
      <w:r>
        <w:rPr>
          <w:sz w:val="20"/>
        </w:rPr>
        <w:t>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2020“</w:t>
      </w:r>
      <w:r>
        <w:rPr>
          <w:spacing w:val="-13"/>
          <w:sz w:val="20"/>
        </w:rPr>
        <w:t xml:space="preserve"> </w:t>
      </w:r>
      <w:r>
        <w:rPr>
          <w:sz w:val="20"/>
        </w:rPr>
        <w:t>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13"/>
          <w:sz w:val="20"/>
        </w:rPr>
        <w:t xml:space="preserve"> </w:t>
      </w:r>
      <w:r>
        <w:rPr>
          <w:sz w:val="20"/>
        </w:rPr>
        <w:t>která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4"/>
          <w:sz w:val="20"/>
        </w:rPr>
        <w:t xml:space="preserve"> </w:t>
      </w:r>
      <w:r>
        <w:rPr>
          <w:sz w:val="20"/>
        </w:rPr>
        <w:t>PrŽaP).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účely stanovení podmínek týkajících se provozování vodohospodářské </w:t>
      </w:r>
      <w:r>
        <w:rPr>
          <w:sz w:val="20"/>
        </w:rPr>
        <w:t>infrastruktury se vodohospodářskou infrastrukturou rozumí veškerá infrastruktura, která je předmětem provozní smlouvy, na základě které bude provozována infrastruktura spolufinancovaná touto</w:t>
      </w:r>
      <w:r>
        <w:rPr>
          <w:spacing w:val="-6"/>
          <w:sz w:val="20"/>
        </w:rPr>
        <w:t xml:space="preserve"> </w:t>
      </w:r>
      <w:r>
        <w:rPr>
          <w:sz w:val="20"/>
        </w:rPr>
        <w:t>podporou.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  <w:tab w:val="left" w:pos="2547"/>
          <w:tab w:val="left" w:pos="4128"/>
          <w:tab w:val="left" w:pos="5704"/>
          <w:tab w:val="left" w:pos="7117"/>
          <w:tab w:val="left" w:pos="8904"/>
        </w:tabs>
        <w:spacing w:before="123" w:line="264" w:lineRule="auto"/>
        <w:ind w:right="108" w:hanging="435"/>
        <w:jc w:val="both"/>
        <w:rPr>
          <w:sz w:val="20"/>
        </w:rPr>
      </w:pPr>
      <w:r>
        <w:rPr>
          <w:sz w:val="20"/>
        </w:rPr>
        <w:t xml:space="preserve">Příjemce podpory předloží Fondu k posouzení podklady k </w:t>
      </w:r>
      <w:r>
        <w:rPr>
          <w:sz w:val="20"/>
        </w:rPr>
        <w:t>výběrovému řízení (rovněž v případě 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provozní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6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 a jeho dokumentaci včetně návrhu provozní smlouvy odpovídající požadavkům Metodiky (účinné ke dni předložení návrhu pr</w:t>
      </w:r>
      <w:r>
        <w:rPr>
          <w:sz w:val="20"/>
        </w:rPr>
        <w:t>ovozní smlouvy, a to v dostatečném předstihu před zahájením výběrového řízení na provozovatele vodohospodářské infrastruktury za účelem umožnění jejich kontroly. Příjemce podpory následně v řádném výběrovém řízení provedeném v souladu s aplikovatelnými úči</w:t>
      </w:r>
      <w:r>
        <w:rPr>
          <w:sz w:val="20"/>
        </w:rPr>
        <w:t>nnými právními předpisy vybere nového provozovatele a uzavře novou smlouvu o provozování a bez zbytečného</w:t>
      </w:r>
      <w:r>
        <w:rPr>
          <w:sz w:val="20"/>
        </w:rPr>
        <w:tab/>
        <w:t>odkladu</w:t>
      </w:r>
      <w:r>
        <w:rPr>
          <w:sz w:val="20"/>
        </w:rPr>
        <w:tab/>
        <w:t>předloží</w:t>
      </w:r>
      <w:r>
        <w:rPr>
          <w:sz w:val="20"/>
        </w:rPr>
        <w:tab/>
        <w:t>platně</w:t>
      </w:r>
      <w:r>
        <w:rPr>
          <w:sz w:val="20"/>
        </w:rPr>
        <w:tab/>
        <w:t>uzavřenou</w:t>
      </w:r>
      <w:r>
        <w:rPr>
          <w:sz w:val="20"/>
        </w:rPr>
        <w:tab/>
      </w:r>
      <w:r>
        <w:rPr>
          <w:spacing w:val="-3"/>
          <w:sz w:val="20"/>
        </w:rPr>
        <w:t xml:space="preserve">smlouvu </w:t>
      </w:r>
      <w:r>
        <w:rPr>
          <w:sz w:val="20"/>
        </w:rPr>
        <w:t>o provozování a dokumentaci výběrového řízení</w:t>
      </w:r>
      <w:r>
        <w:rPr>
          <w:spacing w:val="-6"/>
          <w:sz w:val="20"/>
        </w:rPr>
        <w:t xml:space="preserve"> </w:t>
      </w:r>
      <w:r>
        <w:rPr>
          <w:sz w:val="20"/>
        </w:rPr>
        <w:t>Fondu.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3" w:hanging="428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nejlepší mezinárodní praxe v oboru a soulad provozu vodohospodářské infrastruktury s požadavky Přílohy č. 6 Programového dokumentu OPŽP 2014 – 2020 a</w:t>
      </w:r>
      <w:r>
        <w:rPr>
          <w:spacing w:val="2"/>
          <w:sz w:val="20"/>
        </w:rPr>
        <w:t xml:space="preserve"> </w:t>
      </w:r>
      <w:r>
        <w:rPr>
          <w:sz w:val="20"/>
        </w:rPr>
        <w:t>Metodiky.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8" w:hanging="428"/>
        <w:jc w:val="both"/>
        <w:rPr>
          <w:sz w:val="20"/>
        </w:rPr>
      </w:pPr>
      <w:r>
        <w:rPr>
          <w:sz w:val="20"/>
        </w:rPr>
        <w:t>Příjemce podpory zajist</w:t>
      </w:r>
      <w:r>
        <w:rPr>
          <w:sz w:val="20"/>
        </w:rPr>
        <w:t>í, že bude po dobu nejméně 10 let od prvního dne následujícího kalendářního roku po nabytí právní moci posledního kolaudačního souhlasu k projektu zabezpečena finanční udržitelnost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653759" w:rsidRDefault="00FD4806">
      <w:pPr>
        <w:pStyle w:val="Odstavecseseznamem"/>
        <w:numPr>
          <w:ilvl w:val="1"/>
          <w:numId w:val="2"/>
        </w:numPr>
        <w:tabs>
          <w:tab w:val="left" w:pos="885"/>
        </w:tabs>
        <w:ind w:right="111" w:hanging="281"/>
        <w:jc w:val="both"/>
        <w:rPr>
          <w:sz w:val="20"/>
        </w:rPr>
      </w:pPr>
      <w:r>
        <w:rPr>
          <w:sz w:val="20"/>
        </w:rPr>
        <w:t>Pokud příjemce podpory neuplatňuje služební provozní smlouvu (dle</w:t>
      </w:r>
      <w:r>
        <w:rPr>
          <w:sz w:val="20"/>
        </w:rPr>
        <w:t xml:space="preserve"> definice v Metodice), musí</w:t>
      </w:r>
      <w:r>
        <w:rPr>
          <w:spacing w:val="-33"/>
          <w:sz w:val="20"/>
        </w:rPr>
        <w:t xml:space="preserve"> </w:t>
      </w:r>
      <w:r>
        <w:rPr>
          <w:sz w:val="20"/>
        </w:rPr>
        <w:t>být zejména zajištěna tvorba nájemného ve složce dodávek pitné vody a/nebo odvádění a čištění odpadních  vod  a  tvorba  prostředků  na  obnovu  vodovodů  a/nebo  kanalizací  konzistentně     s návrhem Plánu financování obnovy v</w:t>
      </w:r>
      <w:r>
        <w:rPr>
          <w:sz w:val="20"/>
        </w:rPr>
        <w:t>odovodů nebo kanalizací schváleným Fondem. Tato výše nájemného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zakotvená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finančním</w:t>
      </w:r>
      <w:r>
        <w:rPr>
          <w:spacing w:val="-7"/>
          <w:sz w:val="20"/>
        </w:rPr>
        <w:t xml:space="preserve"> </w:t>
      </w:r>
      <w:r>
        <w:rPr>
          <w:sz w:val="20"/>
        </w:rPr>
        <w:t>modelu,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tvoří</w:t>
      </w:r>
      <w:r>
        <w:rPr>
          <w:spacing w:val="-5"/>
          <w:sz w:val="20"/>
        </w:rPr>
        <w:t xml:space="preserve"> </w:t>
      </w:r>
      <w:r>
        <w:rPr>
          <w:sz w:val="20"/>
        </w:rPr>
        <w:t>povinnou</w:t>
      </w:r>
      <w:r>
        <w:rPr>
          <w:spacing w:val="-6"/>
          <w:sz w:val="20"/>
        </w:rPr>
        <w:t xml:space="preserve"> </w:t>
      </w:r>
      <w:r>
        <w:rPr>
          <w:sz w:val="20"/>
        </w:rPr>
        <w:t>součást</w:t>
      </w:r>
      <w:r>
        <w:rPr>
          <w:spacing w:val="-6"/>
          <w:sz w:val="20"/>
        </w:rPr>
        <w:t xml:space="preserve"> </w:t>
      </w:r>
      <w:r>
        <w:rPr>
          <w:sz w:val="20"/>
        </w:rPr>
        <w:t>provozní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(dále jen “finanční</w:t>
      </w:r>
      <w:r>
        <w:rPr>
          <w:spacing w:val="1"/>
          <w:sz w:val="20"/>
        </w:rPr>
        <w:t xml:space="preserve"> </w:t>
      </w:r>
      <w:r>
        <w:rPr>
          <w:sz w:val="20"/>
        </w:rPr>
        <w:t>model“);</w:t>
      </w:r>
    </w:p>
    <w:p w:rsidR="00653759" w:rsidRDefault="00FD4806">
      <w:pPr>
        <w:pStyle w:val="Odstavecseseznamem"/>
        <w:numPr>
          <w:ilvl w:val="1"/>
          <w:numId w:val="2"/>
        </w:numPr>
        <w:tabs>
          <w:tab w:val="left" w:pos="919"/>
        </w:tabs>
        <w:ind w:right="111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</w:t>
      </w:r>
      <w:r>
        <w:rPr>
          <w:sz w:val="20"/>
        </w:rPr>
        <w:t>, musí být zejména  zajištěna  tvorba  prostředků  na  obnovu  vodovodů  a/nebo   kanalizací  konzistentně   s návrhem Plánu financování obnovy vodovodů nebo kanalizací 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1" w:hanging="428"/>
        <w:jc w:val="both"/>
        <w:rPr>
          <w:sz w:val="20"/>
        </w:rPr>
      </w:pPr>
      <w:r>
        <w:rPr>
          <w:sz w:val="20"/>
        </w:rPr>
        <w:t>Změna</w:t>
      </w:r>
      <w:r>
        <w:rPr>
          <w:spacing w:val="-15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5"/>
          <w:sz w:val="20"/>
        </w:rPr>
        <w:t xml:space="preserve"> </w:t>
      </w:r>
      <w:r>
        <w:rPr>
          <w:sz w:val="20"/>
        </w:rPr>
        <w:t>výše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obnovu</w:t>
      </w:r>
      <w:r>
        <w:rPr>
          <w:spacing w:val="-14"/>
          <w:sz w:val="20"/>
        </w:rPr>
        <w:t xml:space="preserve"> </w:t>
      </w:r>
      <w:r>
        <w:rPr>
          <w:sz w:val="20"/>
        </w:rPr>
        <w:t>vodovodů</w:t>
      </w:r>
      <w:r>
        <w:rPr>
          <w:spacing w:val="-14"/>
          <w:sz w:val="20"/>
        </w:rPr>
        <w:t xml:space="preserve"> </w:t>
      </w:r>
      <w:r>
        <w:rPr>
          <w:sz w:val="20"/>
        </w:rPr>
        <w:t>a/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odstavce výše je přípustná pouze z</w:t>
      </w:r>
      <w:r>
        <w:rPr>
          <w:spacing w:val="-2"/>
          <w:sz w:val="20"/>
        </w:rPr>
        <w:t xml:space="preserve"> </w:t>
      </w:r>
      <w:r>
        <w:rPr>
          <w:sz w:val="20"/>
        </w:rPr>
        <w:t>důvodu:</w:t>
      </w:r>
    </w:p>
    <w:p w:rsidR="00653759" w:rsidRDefault="00FD4806">
      <w:pPr>
        <w:pStyle w:val="Odstavecseseznamem"/>
        <w:numPr>
          <w:ilvl w:val="1"/>
          <w:numId w:val="2"/>
        </w:numPr>
        <w:tabs>
          <w:tab w:val="left" w:pos="897"/>
        </w:tabs>
        <w:spacing w:before="120"/>
        <w:ind w:left="669"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Odstavecseseznamem"/>
        <w:numPr>
          <w:ilvl w:val="1"/>
          <w:numId w:val="2"/>
        </w:numPr>
        <w:tabs>
          <w:tab w:val="left" w:pos="981"/>
        </w:tabs>
        <w:spacing w:before="73"/>
        <w:ind w:left="669" w:right="114" w:firstLine="0"/>
        <w:jc w:val="both"/>
        <w:rPr>
          <w:sz w:val="20"/>
        </w:rPr>
      </w:pPr>
      <w:r>
        <w:rPr>
          <w:sz w:val="20"/>
        </w:rPr>
        <w:lastRenderedPageBreak/>
        <w:t>dosažení výše nájemného, resp. prostředků na obnovu vodovodů a/nebo kanalizací, která prokazatelně vytváří zdroje pro správu, obnovu a případné rozšíření vodovodů a/nebo kanalizací minimálně ve výši „plných odpisů“. V obou případech je nezbytné, aby Fond n</w:t>
      </w:r>
      <w:r>
        <w:rPr>
          <w:sz w:val="20"/>
        </w:rPr>
        <w:t>avrženou odchylku odsouhlasil.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22"/>
        <w:ind w:right="118" w:hanging="428"/>
        <w:jc w:val="both"/>
        <w:rPr>
          <w:sz w:val="20"/>
        </w:rPr>
      </w:pPr>
      <w:r>
        <w:rPr>
          <w:sz w:val="20"/>
        </w:rPr>
        <w:t>Nájemné (nebo v případě služebních provozních smluv i čistý příjem) z provozování vodohospodářské infrastruktury bude použito v souladu s principy péče řádného</w:t>
      </w:r>
      <w:r>
        <w:rPr>
          <w:spacing w:val="-3"/>
          <w:sz w:val="20"/>
        </w:rPr>
        <w:t xml:space="preserve"> </w:t>
      </w:r>
      <w:r>
        <w:rPr>
          <w:sz w:val="20"/>
        </w:rPr>
        <w:t>hospodáře.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18"/>
        <w:ind w:right="109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 budou aplikovány zároveň na „související provozní smlouvy“ ve smyslu Metodiky s tím, že v případě ukončení</w:t>
      </w:r>
      <w:r>
        <w:rPr>
          <w:spacing w:val="-16"/>
          <w:sz w:val="20"/>
        </w:rPr>
        <w:t xml:space="preserve"> </w:t>
      </w:r>
      <w:r>
        <w:rPr>
          <w:sz w:val="20"/>
        </w:rPr>
        <w:t>platnosti</w:t>
      </w:r>
      <w:r>
        <w:rPr>
          <w:spacing w:val="-1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5"/>
          <w:sz w:val="20"/>
        </w:rPr>
        <w:t xml:space="preserve"> </w:t>
      </w:r>
      <w:r>
        <w:rPr>
          <w:sz w:val="20"/>
        </w:rPr>
        <w:t>provozní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vlastník</w:t>
      </w:r>
      <w:r>
        <w:rPr>
          <w:spacing w:val="-16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5"/>
          <w:sz w:val="20"/>
        </w:rPr>
        <w:t xml:space="preserve"> </w:t>
      </w:r>
      <w:r>
        <w:rPr>
          <w:sz w:val="20"/>
        </w:rPr>
        <w:t>která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6"/>
          <w:sz w:val="20"/>
        </w:rPr>
        <w:t xml:space="preserve"> </w:t>
      </w:r>
      <w:r>
        <w:rPr>
          <w:sz w:val="20"/>
        </w:rPr>
        <w:t>související provozní smlouvy, oprávněn změnit provozní</w:t>
      </w:r>
      <w:r>
        <w:rPr>
          <w:spacing w:val="-5"/>
          <w:sz w:val="20"/>
        </w:rPr>
        <w:t xml:space="preserve"> </w:t>
      </w:r>
      <w:r>
        <w:rPr>
          <w:sz w:val="20"/>
        </w:rPr>
        <w:t>model.</w:t>
      </w:r>
    </w:p>
    <w:p w:rsidR="00653759" w:rsidRDefault="00FD4806">
      <w:pPr>
        <w:pStyle w:val="Odstavecseseznamem"/>
        <w:numPr>
          <w:ilvl w:val="0"/>
          <w:numId w:val="2"/>
        </w:numPr>
        <w:tabs>
          <w:tab w:val="left" w:pos="670"/>
        </w:tabs>
        <w:spacing w:before="122"/>
        <w:ind w:right="121" w:hanging="428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 Metodikou, uskutečnit pouze se souhlasem</w:t>
      </w:r>
      <w:r>
        <w:rPr>
          <w:spacing w:val="-7"/>
          <w:sz w:val="20"/>
        </w:rPr>
        <w:t xml:space="preserve"> </w:t>
      </w:r>
      <w:r>
        <w:rPr>
          <w:sz w:val="20"/>
        </w:rPr>
        <w:t>Fondu.</w:t>
      </w:r>
    </w:p>
    <w:p w:rsidR="00653759" w:rsidRDefault="00653759">
      <w:pPr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p w:rsidR="00653759" w:rsidRDefault="00FD4806">
      <w:pPr>
        <w:pStyle w:val="Zkladntext"/>
        <w:spacing w:before="73"/>
        <w:ind w:left="242"/>
        <w:jc w:val="left"/>
      </w:pPr>
      <w:r>
        <w:lastRenderedPageBreak/>
        <w:t>Příl</w:t>
      </w:r>
      <w:r>
        <w:t>oha č. 2 - Smlouva o poskytnutí podpory ze Státního fondu životního prostředí České republiky</w:t>
      </w: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653759">
      <w:pPr>
        <w:pStyle w:val="Zkladntext"/>
        <w:ind w:left="0"/>
        <w:jc w:val="left"/>
        <w:rPr>
          <w:sz w:val="26"/>
        </w:rPr>
      </w:pPr>
    </w:p>
    <w:p w:rsidR="00653759" w:rsidRDefault="00FD4806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653759" w:rsidRDefault="00653759">
      <w:pPr>
        <w:pStyle w:val="Zkladntext"/>
        <w:spacing w:before="1"/>
        <w:ind w:left="0"/>
        <w:jc w:val="left"/>
        <w:rPr>
          <w:b/>
          <w:sz w:val="27"/>
        </w:rPr>
      </w:pP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případně zákona</w:t>
      </w:r>
      <w:r>
        <w:rPr>
          <w:sz w:val="20"/>
        </w:rPr>
        <w:t xml:space="preserve">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</w:t>
      </w:r>
      <w:r>
        <w:rPr>
          <w:sz w:val="20"/>
        </w:rPr>
        <w:t>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</w:t>
      </w:r>
      <w:r>
        <w:rPr>
          <w:sz w:val="20"/>
        </w:rPr>
        <w:t>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53759" w:rsidRDefault="00FD4806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8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řiměřenosti.</w:t>
      </w:r>
    </w:p>
    <w:p w:rsidR="00653759" w:rsidRDefault="00653759">
      <w:pPr>
        <w:spacing w:line="264" w:lineRule="auto"/>
        <w:jc w:val="both"/>
        <w:rPr>
          <w:sz w:val="20"/>
        </w:rPr>
        <w:sectPr w:rsidR="00653759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375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5375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3759" w:rsidRDefault="00FD4806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653759" w:rsidRDefault="00FD4806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375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653759" w:rsidRDefault="00FD4806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65375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53759" w:rsidRDefault="00FD48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53759" w:rsidRDefault="00FD4806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3759" w:rsidRDefault="00FD480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375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653759" w:rsidRDefault="00FD4806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65375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653759" w:rsidRDefault="00FD4806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653759" w:rsidRDefault="00FD480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653759" w:rsidRDefault="00FD48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65375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65375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653759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653759" w:rsidRDefault="00FD4806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653759" w:rsidRDefault="00FD4806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653759" w:rsidRDefault="00FD48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653759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653759" w:rsidRDefault="00FD48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653759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3759" w:rsidRDefault="00FD48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653759" w:rsidRDefault="00FD4806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653759" w:rsidRDefault="00653759">
      <w:pPr>
        <w:spacing w:line="261" w:lineRule="auto"/>
        <w:rPr>
          <w:sz w:val="20"/>
        </w:rPr>
        <w:sectPr w:rsidR="0065375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375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5375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53759" w:rsidRDefault="00FD4806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653759" w:rsidRDefault="00FD4806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653759" w:rsidRDefault="00FD48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653759" w:rsidRDefault="00FD4806">
            <w:pPr>
              <w:pStyle w:val="TableParagraph"/>
              <w:spacing w:before="26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653759" w:rsidRDefault="00FD4806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653759" w:rsidRDefault="00FD48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5375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65375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653759" w:rsidRDefault="00FD48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653759" w:rsidRDefault="00FD48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653759" w:rsidRDefault="00FD4806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653759" w:rsidRDefault="00FD480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5375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653759" w:rsidRDefault="00FD4806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53759" w:rsidRDefault="00FD4806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53759" w:rsidRDefault="00FD48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653759" w:rsidRDefault="00FD4806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653759" w:rsidRDefault="00FD4806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5375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653759" w:rsidRDefault="00FD4806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653759" w:rsidRDefault="00FD4806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653759" w:rsidRDefault="00FD480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653759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653759" w:rsidRDefault="00FD4806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653759" w:rsidRDefault="00FD4806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3759" w:rsidRDefault="00FD48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653759" w:rsidRDefault="00653759">
      <w:pPr>
        <w:spacing w:line="264" w:lineRule="auto"/>
        <w:rPr>
          <w:sz w:val="20"/>
        </w:rPr>
        <w:sectPr w:rsidR="0065375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375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5375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653759" w:rsidRDefault="00FD4806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653759" w:rsidRDefault="00FD4806">
            <w:pPr>
              <w:pStyle w:val="TableParagraph"/>
              <w:spacing w:before="0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5375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653759" w:rsidRDefault="00FD4806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3759" w:rsidRDefault="00FD4806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653759" w:rsidRDefault="00FD4806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653759" w:rsidRDefault="00FD4806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53759" w:rsidRDefault="00FD4806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3759" w:rsidRDefault="00FD4806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53759" w:rsidRDefault="00FD4806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5375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653759" w:rsidRDefault="00FD48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5375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65375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65375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5375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65375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3759" w:rsidRDefault="00FD4806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653759" w:rsidRDefault="00FD4806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653759" w:rsidRDefault="00FD480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53759" w:rsidRDefault="00FD4806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53759" w:rsidRDefault="00FD480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3759" w:rsidRDefault="00FD4806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653759" w:rsidRDefault="00653759">
      <w:pPr>
        <w:spacing w:line="264" w:lineRule="auto"/>
        <w:rPr>
          <w:sz w:val="20"/>
        </w:rPr>
        <w:sectPr w:rsidR="0065375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375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5375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53759" w:rsidRDefault="00FD48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653759" w:rsidRDefault="00FD48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653759" w:rsidRDefault="00FD480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653759" w:rsidRDefault="00FD4806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653759" w:rsidRDefault="00FD4806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653759" w:rsidRDefault="00FD4806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5375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653759" w:rsidRDefault="00FD480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653759" w:rsidRDefault="00FD4806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653759" w:rsidRDefault="00FD4806">
            <w:pPr>
              <w:pStyle w:val="TableParagraph"/>
              <w:spacing w:before="3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653759" w:rsidRDefault="00FD480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653759" w:rsidRDefault="00FD480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65375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653759" w:rsidRDefault="00FD4806">
            <w:pPr>
              <w:pStyle w:val="TableParagraph"/>
              <w:spacing w:before="2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653759" w:rsidRDefault="00FD4806">
            <w:pPr>
              <w:pStyle w:val="TableParagraph"/>
              <w:spacing w:before="0" w:line="264" w:lineRule="auto"/>
              <w:ind w:right="360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53759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653759" w:rsidRDefault="00FD4806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3759" w:rsidRDefault="00FD4806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653759" w:rsidRDefault="00FD4806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653759" w:rsidRDefault="00653759">
      <w:pPr>
        <w:rPr>
          <w:sz w:val="20"/>
        </w:rPr>
        <w:sectPr w:rsidR="00653759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5375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53759" w:rsidRDefault="00FD480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653759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before="10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653759" w:rsidRDefault="00FD480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653759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653759" w:rsidRDefault="00FD4806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653759" w:rsidRDefault="00FD4806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653759" w:rsidRDefault="00FD4806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653759" w:rsidRDefault="00FD4806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65375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653759" w:rsidRDefault="00FD480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53759" w:rsidRDefault="00FD480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653759" w:rsidRDefault="00FD4806">
            <w:pPr>
              <w:pStyle w:val="TableParagraph"/>
              <w:spacing w:before="0"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653759" w:rsidRDefault="00FD4806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653759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53759" w:rsidRDefault="00FD4806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653759" w:rsidRDefault="00FD48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653759" w:rsidRDefault="00FD4806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653759" w:rsidRDefault="00FD480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5375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3759" w:rsidRDefault="00FD480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653759" w:rsidRDefault="00FD48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653759" w:rsidRDefault="00FD4806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653759" w:rsidRDefault="00FD4806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653759" w:rsidRDefault="00FD4806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3759" w:rsidRDefault="00FD480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53759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53759" w:rsidRDefault="0065375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53759" w:rsidRDefault="00FD4806">
            <w:pPr>
              <w:pStyle w:val="TableParagraph"/>
              <w:spacing w:before="93" w:line="264" w:lineRule="auto"/>
              <w:ind w:left="117" w:right="49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FD4806" w:rsidRDefault="00FD4806"/>
    <w:sectPr w:rsidR="00FD4806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06" w:rsidRDefault="00FD4806">
      <w:r>
        <w:separator/>
      </w:r>
    </w:p>
  </w:endnote>
  <w:endnote w:type="continuationSeparator" w:id="0">
    <w:p w:rsidR="00FD4806" w:rsidRDefault="00F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9" w:rsidRDefault="00FD4806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653759" w:rsidRDefault="00FD4806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3655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06" w:rsidRDefault="00FD4806">
      <w:r>
        <w:separator/>
      </w:r>
    </w:p>
  </w:footnote>
  <w:footnote w:type="continuationSeparator" w:id="0">
    <w:p w:rsidR="00FD4806" w:rsidRDefault="00FD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B1A"/>
    <w:multiLevelType w:val="hybridMultilevel"/>
    <w:tmpl w:val="BC1645F0"/>
    <w:lvl w:ilvl="0" w:tplc="8BA8107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F466982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9C03D2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044465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76E22E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18AA9C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104D2D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16E9FF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3C4330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01410FB"/>
    <w:multiLevelType w:val="hybridMultilevel"/>
    <w:tmpl w:val="3828AEA4"/>
    <w:lvl w:ilvl="0" w:tplc="75F000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F66B8C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4741CF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AF2A15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154B27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C98E8D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A227BC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BA8723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99E83D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BE35163"/>
    <w:multiLevelType w:val="hybridMultilevel"/>
    <w:tmpl w:val="0966FAEE"/>
    <w:lvl w:ilvl="0" w:tplc="06E0266C">
      <w:start w:val="1"/>
      <w:numFmt w:val="upperRoman"/>
      <w:lvlText w:val="%1."/>
      <w:lvlJc w:val="left"/>
      <w:pPr>
        <w:ind w:left="669" w:hanging="382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5F1C2626">
      <w:start w:val="1"/>
      <w:numFmt w:val="lowerLetter"/>
      <w:lvlText w:val="%2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E8A82772">
      <w:numFmt w:val="bullet"/>
      <w:lvlText w:val="•"/>
      <w:lvlJc w:val="left"/>
      <w:pPr>
        <w:ind w:left="1937" w:hanging="216"/>
      </w:pPr>
      <w:rPr>
        <w:rFonts w:hint="default"/>
        <w:lang w:val="cs-CZ" w:eastAsia="cs-CZ" w:bidi="cs-CZ"/>
      </w:rPr>
    </w:lvl>
    <w:lvl w:ilvl="3" w:tplc="A684BECE">
      <w:numFmt w:val="bullet"/>
      <w:lvlText w:val="•"/>
      <w:lvlJc w:val="left"/>
      <w:pPr>
        <w:ind w:left="2915" w:hanging="216"/>
      </w:pPr>
      <w:rPr>
        <w:rFonts w:hint="default"/>
        <w:lang w:val="cs-CZ" w:eastAsia="cs-CZ" w:bidi="cs-CZ"/>
      </w:rPr>
    </w:lvl>
    <w:lvl w:ilvl="4" w:tplc="68E6A0FC">
      <w:numFmt w:val="bullet"/>
      <w:lvlText w:val="•"/>
      <w:lvlJc w:val="left"/>
      <w:pPr>
        <w:ind w:left="3893" w:hanging="216"/>
      </w:pPr>
      <w:rPr>
        <w:rFonts w:hint="default"/>
        <w:lang w:val="cs-CZ" w:eastAsia="cs-CZ" w:bidi="cs-CZ"/>
      </w:rPr>
    </w:lvl>
    <w:lvl w:ilvl="5" w:tplc="743CAAC0">
      <w:numFmt w:val="bullet"/>
      <w:lvlText w:val="•"/>
      <w:lvlJc w:val="left"/>
      <w:pPr>
        <w:ind w:left="4871" w:hanging="216"/>
      </w:pPr>
      <w:rPr>
        <w:rFonts w:hint="default"/>
        <w:lang w:val="cs-CZ" w:eastAsia="cs-CZ" w:bidi="cs-CZ"/>
      </w:rPr>
    </w:lvl>
    <w:lvl w:ilvl="6" w:tplc="FDC64746">
      <w:numFmt w:val="bullet"/>
      <w:lvlText w:val="•"/>
      <w:lvlJc w:val="left"/>
      <w:pPr>
        <w:ind w:left="5848" w:hanging="216"/>
      </w:pPr>
      <w:rPr>
        <w:rFonts w:hint="default"/>
        <w:lang w:val="cs-CZ" w:eastAsia="cs-CZ" w:bidi="cs-CZ"/>
      </w:rPr>
    </w:lvl>
    <w:lvl w:ilvl="7" w:tplc="A2EA5430">
      <w:numFmt w:val="bullet"/>
      <w:lvlText w:val="•"/>
      <w:lvlJc w:val="left"/>
      <w:pPr>
        <w:ind w:left="6826" w:hanging="216"/>
      </w:pPr>
      <w:rPr>
        <w:rFonts w:hint="default"/>
        <w:lang w:val="cs-CZ" w:eastAsia="cs-CZ" w:bidi="cs-CZ"/>
      </w:rPr>
    </w:lvl>
    <w:lvl w:ilvl="8" w:tplc="388811EA">
      <w:numFmt w:val="bullet"/>
      <w:lvlText w:val="•"/>
      <w:lvlJc w:val="left"/>
      <w:pPr>
        <w:ind w:left="7804" w:hanging="216"/>
      </w:pPr>
      <w:rPr>
        <w:rFonts w:hint="default"/>
        <w:lang w:val="cs-CZ" w:eastAsia="cs-CZ" w:bidi="cs-CZ"/>
      </w:rPr>
    </w:lvl>
  </w:abstractNum>
  <w:abstractNum w:abstractNumId="3" w15:restartNumberingAfterBreak="0">
    <w:nsid w:val="45B87190"/>
    <w:multiLevelType w:val="hybridMultilevel"/>
    <w:tmpl w:val="033A2D1E"/>
    <w:lvl w:ilvl="0" w:tplc="46929EC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332344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29AF81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1C58CEC6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ABA495C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D5666A5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492451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CA4083C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A6496EE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8D43AB3"/>
    <w:multiLevelType w:val="hybridMultilevel"/>
    <w:tmpl w:val="32C40BDE"/>
    <w:lvl w:ilvl="0" w:tplc="BE3ECEF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12CB88E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/>
        <w:spacing w:val="-1"/>
        <w:w w:val="99"/>
        <w:lang w:val="cs-CZ" w:eastAsia="cs-CZ" w:bidi="cs-CZ"/>
      </w:rPr>
    </w:lvl>
    <w:lvl w:ilvl="2" w:tplc="B6B83B62">
      <w:numFmt w:val="bullet"/>
      <w:lvlText w:val="-"/>
      <w:lvlJc w:val="left"/>
      <w:pPr>
        <w:ind w:left="1094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A934B4F8">
      <w:numFmt w:val="bullet"/>
      <w:lvlText w:val="•"/>
      <w:lvlJc w:val="left"/>
      <w:pPr>
        <w:ind w:left="2182" w:hanging="284"/>
      </w:pPr>
      <w:rPr>
        <w:rFonts w:hint="default"/>
        <w:lang w:val="cs-CZ" w:eastAsia="cs-CZ" w:bidi="cs-CZ"/>
      </w:rPr>
    </w:lvl>
    <w:lvl w:ilvl="4" w:tplc="3508D904">
      <w:numFmt w:val="bullet"/>
      <w:lvlText w:val="•"/>
      <w:lvlJc w:val="left"/>
      <w:pPr>
        <w:ind w:left="3265" w:hanging="284"/>
      </w:pPr>
      <w:rPr>
        <w:rFonts w:hint="default"/>
        <w:lang w:val="cs-CZ" w:eastAsia="cs-CZ" w:bidi="cs-CZ"/>
      </w:rPr>
    </w:lvl>
    <w:lvl w:ilvl="5" w:tplc="2B30380C">
      <w:numFmt w:val="bullet"/>
      <w:lvlText w:val="•"/>
      <w:lvlJc w:val="left"/>
      <w:pPr>
        <w:ind w:left="4347" w:hanging="284"/>
      </w:pPr>
      <w:rPr>
        <w:rFonts w:hint="default"/>
        <w:lang w:val="cs-CZ" w:eastAsia="cs-CZ" w:bidi="cs-CZ"/>
      </w:rPr>
    </w:lvl>
    <w:lvl w:ilvl="6" w:tplc="A1329BD8">
      <w:numFmt w:val="bullet"/>
      <w:lvlText w:val="•"/>
      <w:lvlJc w:val="left"/>
      <w:pPr>
        <w:ind w:left="5430" w:hanging="284"/>
      </w:pPr>
      <w:rPr>
        <w:rFonts w:hint="default"/>
        <w:lang w:val="cs-CZ" w:eastAsia="cs-CZ" w:bidi="cs-CZ"/>
      </w:rPr>
    </w:lvl>
    <w:lvl w:ilvl="7" w:tplc="17A43136">
      <w:numFmt w:val="bullet"/>
      <w:lvlText w:val="•"/>
      <w:lvlJc w:val="left"/>
      <w:pPr>
        <w:ind w:left="6512" w:hanging="284"/>
      </w:pPr>
      <w:rPr>
        <w:rFonts w:hint="default"/>
        <w:lang w:val="cs-CZ" w:eastAsia="cs-CZ" w:bidi="cs-CZ"/>
      </w:rPr>
    </w:lvl>
    <w:lvl w:ilvl="8" w:tplc="6360DB4C">
      <w:numFmt w:val="bullet"/>
      <w:lvlText w:val="•"/>
      <w:lvlJc w:val="left"/>
      <w:pPr>
        <w:ind w:left="7595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996544B"/>
    <w:multiLevelType w:val="hybridMultilevel"/>
    <w:tmpl w:val="28629C5E"/>
    <w:lvl w:ilvl="0" w:tplc="4880CAE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54619A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0B0051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B741A5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4ECF64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9D4ED9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978AD1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9DA9AE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F3CE59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24E114F"/>
    <w:multiLevelType w:val="hybridMultilevel"/>
    <w:tmpl w:val="7BB447C2"/>
    <w:lvl w:ilvl="0" w:tplc="4CBC5F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DFC381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E042AE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9640F7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C96CDB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A0C110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C62CCF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878BE3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D4C54D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6D3F698D"/>
    <w:multiLevelType w:val="hybridMultilevel"/>
    <w:tmpl w:val="4266CFC8"/>
    <w:lvl w:ilvl="0" w:tplc="E8104DD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5AE5DC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55AE10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8D6089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0A443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F5EE21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A8CE6F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134879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48A9F0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3759"/>
    <w:rsid w:val="0033655C"/>
    <w:rsid w:val="00653759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51BE4C"/>
  <w15:docId w15:val="{86CA1501-3EDE-4877-B63D-52E38FB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5568</Words>
  <Characters>32852</Characters>
  <Application>Microsoft Office Word</Application>
  <DocSecurity>0</DocSecurity>
  <Lines>273</Lines>
  <Paragraphs>76</Paragraphs>
  <ScaleCrop>false</ScaleCrop>
  <Company>SFZP</Company>
  <LinksUpToDate>false</LinksUpToDate>
  <CharactersWithSpaces>38344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2021-09-06T07:01:00Z</dcterms:created>
  <dcterms:modified xsi:type="dcterms:W3CDTF">2021-09-06T07:02:00Z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