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2D1F3C32" w:rsidR="005A71F9" w:rsidRPr="00BA213C" w:rsidRDefault="003A790A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9A1FD7">
        <w:rPr>
          <w:rFonts w:ascii="Arial" w:hAnsi="Arial" w:cs="Arial"/>
        </w:rPr>
        <w:t>Domov Paprsek Olšany, příspěvková organizace</w:t>
      </w:r>
    </w:p>
    <w:p w14:paraId="66ADADEF" w14:textId="695104D4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Sídlo:</w:t>
      </w:r>
      <w:r w:rsidRPr="00BA213C">
        <w:rPr>
          <w:rFonts w:ascii="Arial" w:hAnsi="Arial" w:cs="Arial"/>
        </w:rPr>
        <w:tab/>
      </w:r>
      <w:r w:rsidR="009A1FD7">
        <w:rPr>
          <w:rFonts w:ascii="Arial" w:hAnsi="Arial" w:cs="Arial"/>
        </w:rPr>
        <w:t>Olšany 105, 789 62 Olšany</w:t>
      </w:r>
    </w:p>
    <w:p w14:paraId="2FF69965" w14:textId="3EA1DD10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IČO: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9A1FD7">
        <w:rPr>
          <w:rFonts w:ascii="Arial" w:hAnsi="Arial" w:cs="Arial"/>
        </w:rPr>
        <w:t>75004054</w:t>
      </w:r>
    </w:p>
    <w:p w14:paraId="22677CED" w14:textId="395E7026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DIČ: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</w:p>
    <w:p w14:paraId="773063A4" w14:textId="280A8FAD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Zastoupen(a/o):</w:t>
      </w:r>
      <w:r w:rsidRPr="00BA213C">
        <w:rPr>
          <w:rFonts w:ascii="Arial" w:hAnsi="Arial" w:cs="Arial"/>
        </w:rPr>
        <w:tab/>
      </w:r>
      <w:r w:rsidR="009A1FD7">
        <w:rPr>
          <w:rFonts w:ascii="Arial" w:hAnsi="Arial" w:cs="Arial"/>
        </w:rPr>
        <w:t>Jarmila Koubková, ředitelka</w:t>
      </w:r>
    </w:p>
    <w:p w14:paraId="34032BA6" w14:textId="2269B343" w:rsidR="005A71F9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Bankovní spojení:</w:t>
      </w:r>
      <w:r w:rsidRPr="00392FEB">
        <w:rPr>
          <w:rFonts w:ascii="Arial" w:hAnsi="Arial" w:cs="Arial"/>
          <w:i/>
        </w:rPr>
        <w:tab/>
      </w:r>
      <w:r w:rsidR="009A1FD7">
        <w:rPr>
          <w:rFonts w:ascii="Arial" w:hAnsi="Arial" w:cs="Arial"/>
          <w:i/>
        </w:rPr>
        <w:t>KB a.s. Šumperk</w:t>
      </w:r>
      <w:r w:rsidRPr="00392FEB">
        <w:rPr>
          <w:rFonts w:ascii="Arial" w:hAnsi="Arial" w:cs="Arial"/>
          <w:i/>
        </w:rPr>
        <w:t>.,</w:t>
      </w:r>
      <w:r w:rsidRPr="00392FEB">
        <w:rPr>
          <w:rFonts w:ascii="Arial" w:hAnsi="Arial" w:cs="Arial"/>
        </w:rPr>
        <w:t xml:space="preserve">  č. </w:t>
      </w:r>
      <w:proofErr w:type="spellStart"/>
      <w:r w:rsidRPr="00260A16">
        <w:rPr>
          <w:rFonts w:ascii="Arial" w:hAnsi="Arial" w:cs="Arial"/>
        </w:rPr>
        <w:t>ú.</w:t>
      </w:r>
      <w:proofErr w:type="spellEnd"/>
      <w:r w:rsidR="009A1FD7">
        <w:rPr>
          <w:rFonts w:ascii="Arial" w:hAnsi="Arial" w:cs="Arial"/>
        </w:rPr>
        <w:t xml:space="preserve"> 86-7473130237/0100</w:t>
      </w:r>
    </w:p>
    <w:p w14:paraId="78AE3BFE" w14:textId="77777777" w:rsidR="005A71F9" w:rsidRPr="00260A16" w:rsidRDefault="005A71F9" w:rsidP="005A71F9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14:paraId="4F40846C" w14:textId="0730C03D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</w:t>
      </w:r>
      <w:r w:rsidR="005A71F9" w:rsidRPr="005A71F9">
        <w:rPr>
          <w:rFonts w:ascii="Arial" w:hAnsi="Arial" w:cs="Arial"/>
        </w:rPr>
        <w:t>méno</w:t>
      </w:r>
      <w:r w:rsidR="005A71F9" w:rsidRPr="00260A16">
        <w:rPr>
          <w:rFonts w:ascii="Arial" w:hAnsi="Arial" w:cs="Arial"/>
        </w:rPr>
        <w:t xml:space="preserve">: </w:t>
      </w:r>
      <w:r w:rsidR="009A1FD7">
        <w:rPr>
          <w:rFonts w:ascii="Arial" w:hAnsi="Arial" w:cs="Arial"/>
        </w:rPr>
        <w:t>Jarmila Koubková, ředitelka</w:t>
      </w:r>
    </w:p>
    <w:p w14:paraId="7924F487" w14:textId="04B64597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71F9" w:rsidRPr="00260A16">
        <w:rPr>
          <w:rFonts w:ascii="Arial" w:hAnsi="Arial" w:cs="Arial"/>
        </w:rPr>
        <w:t xml:space="preserve">elefon: </w:t>
      </w:r>
      <w:r w:rsidR="009A1FD7">
        <w:rPr>
          <w:rFonts w:ascii="Arial" w:hAnsi="Arial" w:cs="Arial"/>
        </w:rPr>
        <w:t>+420 583 247 212</w:t>
      </w:r>
    </w:p>
    <w:p w14:paraId="19C5E252" w14:textId="0693067A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71F9" w:rsidRPr="00260A16">
        <w:rPr>
          <w:rFonts w:ascii="Arial" w:hAnsi="Arial" w:cs="Arial"/>
        </w:rPr>
        <w:t xml:space="preserve">-mail: </w:t>
      </w:r>
      <w:r w:rsidR="009A1FD7">
        <w:rPr>
          <w:rFonts w:ascii="Arial" w:hAnsi="Arial" w:cs="Arial"/>
        </w:rPr>
        <w:t xml:space="preserve"> koubkova@domovolsany.cz</w:t>
      </w:r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7D62EDBD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A202DE">
        <w:rPr>
          <w:rFonts w:ascii="Arial" w:hAnsi="Arial" w:cs="Arial"/>
        </w:rPr>
        <w:t>Zastoupen(a/o):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14:paraId="2C3092B0" w14:textId="250E3760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Pr="00EA4959">
        <w:rPr>
          <w:rFonts w:ascii="Arial" w:hAnsi="Arial" w:cs="Arial"/>
        </w:rPr>
        <w:t>27 – 932879029/0100</w:t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30A172F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14:paraId="0E397F80" w14:textId="231AE660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>
        <w:rPr>
          <w:rFonts w:ascii="Arial" w:hAnsi="Arial" w:cs="Arial"/>
        </w:rPr>
        <w:t>petr.stejskal@suez.com</w:t>
      </w:r>
    </w:p>
    <w:p w14:paraId="4EDD0F51" w14:textId="082FCB9C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602 777 512</w:t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3BC62FB8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 w:rsidRPr="00E00DF7">
        <w:rPr>
          <w:rFonts w:ascii="Arial" w:hAnsi="Arial" w:cs="Arial"/>
          <w:snapToGrid w:val="0"/>
          <w:highlight w:val="yellow"/>
        </w:rPr>
        <w:t xml:space="preserve">V </w:t>
      </w:r>
      <w:r w:rsidR="009A1FD7" w:rsidRPr="00E00DF7">
        <w:rPr>
          <w:rFonts w:ascii="Arial" w:hAnsi="Arial" w:cs="Arial"/>
          <w:snapToGrid w:val="0"/>
          <w:highlight w:val="yellow"/>
        </w:rPr>
        <w:t xml:space="preserve"> Olšanech</w:t>
      </w:r>
      <w:r w:rsidRPr="00E00DF7">
        <w:rPr>
          <w:rFonts w:ascii="Arial" w:hAnsi="Arial" w:cs="Arial"/>
          <w:snapToGrid w:val="0"/>
          <w:highlight w:val="yellow"/>
        </w:rPr>
        <w:t xml:space="preserve"> dne</w:t>
      </w:r>
      <w:r w:rsidR="009A1FD7" w:rsidRPr="00E00DF7">
        <w:rPr>
          <w:rFonts w:ascii="Arial" w:hAnsi="Arial" w:cs="Arial"/>
          <w:snapToGrid w:val="0"/>
          <w:highlight w:val="yellow"/>
        </w:rPr>
        <w:t xml:space="preserve"> </w:t>
      </w:r>
      <w:r w:rsidR="00CC3D8D">
        <w:rPr>
          <w:rFonts w:ascii="Arial" w:hAnsi="Arial" w:cs="Arial"/>
          <w:snapToGrid w:val="0"/>
        </w:rPr>
        <w:t>16.07.2021</w:t>
      </w:r>
      <w:r>
        <w:rPr>
          <w:rFonts w:ascii="Arial" w:hAnsi="Arial" w:cs="Arial"/>
          <w:snapToGrid w:val="0"/>
        </w:rPr>
        <w:tab/>
      </w:r>
      <w:r w:rsidR="00CC3D8D">
        <w:rPr>
          <w:rFonts w:ascii="Arial" w:hAnsi="Arial" w:cs="Arial"/>
          <w:snapToGrid w:val="0"/>
        </w:rPr>
        <w:t xml:space="preserve">           </w:t>
      </w:r>
      <w:r>
        <w:rPr>
          <w:rFonts w:ascii="Arial" w:hAnsi="Arial" w:cs="Arial"/>
          <w:snapToGrid w:val="0"/>
        </w:rPr>
        <w:tab/>
        <w:t>V ..……………….. dne……………</w:t>
      </w:r>
    </w:p>
    <w:p w14:paraId="1D48345C" w14:textId="1F13CBF3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77777777"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3EA29189" w14:textId="210A2004" w:rsidR="00BA213C" w:rsidRPr="009A1FD7" w:rsidRDefault="009A1FD7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color w:val="FF0000"/>
                <w:szCs w:val="24"/>
                <w:lang w:val="cs-CZ"/>
              </w:rPr>
            </w:pPr>
            <w:r>
              <w:rPr>
                <w:rFonts w:ascii="Arial" w:hAnsi="Arial" w:cs="Arial"/>
                <w:i/>
                <w:color w:val="FF0000"/>
                <w:szCs w:val="24"/>
                <w:lang w:val="cs-CZ"/>
              </w:rPr>
              <w:t xml:space="preserve">Domov Paprsek Olšany, </w:t>
            </w:r>
            <w:proofErr w:type="spellStart"/>
            <w:r>
              <w:rPr>
                <w:rFonts w:ascii="Arial" w:hAnsi="Arial" w:cs="Arial"/>
                <w:i/>
                <w:color w:val="FF0000"/>
                <w:szCs w:val="24"/>
                <w:lang w:val="cs-CZ"/>
              </w:rPr>
              <w:t>p.o</w:t>
            </w:r>
            <w:proofErr w:type="spellEnd"/>
            <w:r>
              <w:rPr>
                <w:rFonts w:ascii="Arial" w:hAnsi="Arial" w:cs="Arial"/>
                <w:i/>
                <w:color w:val="FF0000"/>
                <w:szCs w:val="24"/>
                <w:lang w:val="cs-CZ"/>
              </w:rPr>
              <w:t>.</w:t>
            </w:r>
          </w:p>
          <w:p w14:paraId="36028D30" w14:textId="77777777" w:rsidR="00BA213C" w:rsidRDefault="009A1FD7" w:rsidP="00E56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 Koubková</w:t>
            </w:r>
          </w:p>
          <w:p w14:paraId="69689A76" w14:textId="1504E58B" w:rsidR="009A1FD7" w:rsidRDefault="009A1FD7" w:rsidP="00E56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ředitelka</w:t>
            </w:r>
          </w:p>
          <w:p w14:paraId="1439B3F5" w14:textId="1AEF4CF9" w:rsidR="009A1FD7" w:rsidRPr="00A202DE" w:rsidRDefault="009A1FD7" w:rsidP="00E56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3681"/>
        <w:gridCol w:w="2977"/>
        <w:gridCol w:w="1985"/>
      </w:tblGrid>
      <w:tr w:rsidR="009B78D2" w:rsidRPr="002561E4" w14:paraId="6482D482" w14:textId="77777777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14:paraId="0F2856CD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77777777" w:rsidR="009B78D2" w:rsidRPr="002561E4" w:rsidRDefault="009B78D2" w:rsidP="00C605AA">
            <w:pPr>
              <w:jc w:val="righ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B78D2" w:rsidRPr="002561E4" w14:paraId="369C4E36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9B78D2" w:rsidRPr="002561E4" w14:paraId="3429CCA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14:paraId="3304331F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602 777 512</w:t>
      </w:r>
    </w:p>
    <w:p w14:paraId="4329ED73" w14:textId="77777777" w:rsidR="009B78D2" w:rsidRDefault="00535005" w:rsidP="009B78D2">
      <w:pPr>
        <w:rPr>
          <w:rFonts w:ascii="Arial" w:hAnsi="Arial" w:cs="Arial"/>
        </w:rPr>
      </w:pPr>
      <w:hyperlink r:id="rId10" w:history="1">
        <w:r w:rsidR="009B78D2">
          <w:rPr>
            <w:rStyle w:val="Hypertextovodkaz"/>
            <w:rFonts w:ascii="Arial" w:hAnsi="Arial" w:cs="Arial"/>
          </w:rPr>
          <w:t>petr.stejskal@suez.com</w:t>
        </w:r>
      </w:hyperlink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F3C7342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14:paraId="240515DD" w14:textId="77777777" w:rsidR="009B78D2" w:rsidRDefault="009B78D2" w:rsidP="009B78D2">
      <w:pPr>
        <w:rPr>
          <w:rFonts w:ascii="Arial" w:hAnsi="Arial" w:cs="Arial"/>
          <w:b/>
          <w:bCs/>
        </w:rPr>
      </w:pPr>
    </w:p>
    <w:p w14:paraId="7D1E9765" w14:textId="192E65D3"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14:paraId="19A2F79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14:paraId="1C0196CE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6D41D49" w14:textId="6410C5A4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sectPr w:rsidR="00D75D9F" w:rsidSect="00E04AC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F2E7" w14:textId="77777777" w:rsidR="00535005" w:rsidRDefault="00535005" w:rsidP="005A71F9">
      <w:r>
        <w:separator/>
      </w:r>
    </w:p>
  </w:endnote>
  <w:endnote w:type="continuationSeparator" w:id="0">
    <w:p w14:paraId="5232C8FB" w14:textId="77777777" w:rsidR="00535005" w:rsidRDefault="00535005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D1105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</w:p>
  <w:p w14:paraId="07BB352F" w14:textId="77777777" w:rsidR="006A05DC" w:rsidRPr="006A05DC" w:rsidRDefault="00535005" w:rsidP="006A0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087D" w14:textId="77777777" w:rsidR="00535005" w:rsidRDefault="00535005" w:rsidP="005A71F9">
      <w:r>
        <w:separator/>
      </w:r>
    </w:p>
  </w:footnote>
  <w:footnote w:type="continuationSeparator" w:id="0">
    <w:p w14:paraId="2B0F21A5" w14:textId="77777777" w:rsidR="00535005" w:rsidRDefault="00535005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2B5" w14:textId="77777777" w:rsidR="006A05DC" w:rsidRDefault="00535005">
    <w:pPr>
      <w:pStyle w:val="Zhlav"/>
    </w:pPr>
  </w:p>
  <w:p w14:paraId="3EC6E8D8" w14:textId="77777777" w:rsidR="00925CEA" w:rsidRPr="00925CEA" w:rsidRDefault="00535005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D1105"/>
    <w:rsid w:val="00120EA0"/>
    <w:rsid w:val="0012195F"/>
    <w:rsid w:val="001338D2"/>
    <w:rsid w:val="00144288"/>
    <w:rsid w:val="001E502F"/>
    <w:rsid w:val="00211BE4"/>
    <w:rsid w:val="002301C3"/>
    <w:rsid w:val="00282F59"/>
    <w:rsid w:val="002B27EA"/>
    <w:rsid w:val="002D4399"/>
    <w:rsid w:val="00375141"/>
    <w:rsid w:val="00392FEB"/>
    <w:rsid w:val="003A790A"/>
    <w:rsid w:val="00446F38"/>
    <w:rsid w:val="00466610"/>
    <w:rsid w:val="004A6112"/>
    <w:rsid w:val="004F4870"/>
    <w:rsid w:val="00500284"/>
    <w:rsid w:val="00530690"/>
    <w:rsid w:val="00535005"/>
    <w:rsid w:val="00576574"/>
    <w:rsid w:val="00585C89"/>
    <w:rsid w:val="00587179"/>
    <w:rsid w:val="005A71F9"/>
    <w:rsid w:val="005C5668"/>
    <w:rsid w:val="005C766F"/>
    <w:rsid w:val="005E3A19"/>
    <w:rsid w:val="00603DE7"/>
    <w:rsid w:val="0060464E"/>
    <w:rsid w:val="00646956"/>
    <w:rsid w:val="006576FA"/>
    <w:rsid w:val="006603E1"/>
    <w:rsid w:val="006711D3"/>
    <w:rsid w:val="00692F2D"/>
    <w:rsid w:val="006E1094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A1FD7"/>
    <w:rsid w:val="009B78D2"/>
    <w:rsid w:val="009D6156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973C7"/>
    <w:rsid w:val="00CC3D8D"/>
    <w:rsid w:val="00CD6C42"/>
    <w:rsid w:val="00D63ED2"/>
    <w:rsid w:val="00D64313"/>
    <w:rsid w:val="00D75D9F"/>
    <w:rsid w:val="00D80243"/>
    <w:rsid w:val="00DE0B49"/>
    <w:rsid w:val="00DF3D4A"/>
    <w:rsid w:val="00E00DF7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etr.stejskal@sue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1041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domov olsany</cp:lastModifiedBy>
  <cp:revision>7</cp:revision>
  <cp:lastPrinted>2021-07-16T07:28:00Z</cp:lastPrinted>
  <dcterms:created xsi:type="dcterms:W3CDTF">2021-07-01T06:16:00Z</dcterms:created>
  <dcterms:modified xsi:type="dcterms:W3CDTF">2021-07-16T07:28:00Z</dcterms:modified>
</cp:coreProperties>
</file>