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A8749" w14:textId="607CD6F2" w:rsidR="000169FD" w:rsidRPr="003A591C" w:rsidRDefault="00191DEC" w:rsidP="00D622E9">
      <w:pPr>
        <w:pStyle w:val="Smlouva"/>
        <w:rPr>
          <w:snapToGrid w:val="0"/>
        </w:rPr>
      </w:pPr>
      <w:r w:rsidRPr="003A591C">
        <w:rPr>
          <w:snapToGrid w:val="0"/>
        </w:rPr>
        <w:t>S</w:t>
      </w:r>
      <w:r w:rsidR="000169FD" w:rsidRPr="003A591C">
        <w:rPr>
          <w:snapToGrid w:val="0"/>
        </w:rPr>
        <w:t>mluvní strany</w:t>
      </w:r>
    </w:p>
    <w:p w14:paraId="6274D1E9" w14:textId="77777777" w:rsidR="00795DA6" w:rsidRPr="003A591C" w:rsidRDefault="00795DA6" w:rsidP="00D622E9">
      <w:pPr>
        <w:rPr>
          <w:snapToGrid w:val="0"/>
        </w:rPr>
      </w:pPr>
    </w:p>
    <w:p w14:paraId="36A5C20B" w14:textId="62C843D9" w:rsidR="00DC613F" w:rsidRPr="004448DA" w:rsidRDefault="00DC613F" w:rsidP="004448DA">
      <w:pPr>
        <w:rPr>
          <w:rStyle w:val="Siln"/>
        </w:rPr>
      </w:pPr>
      <w:r w:rsidRPr="003A591C">
        <w:rPr>
          <w:snapToGrid w:val="0"/>
        </w:rPr>
        <w:t>Obchodní společnost:</w:t>
      </w:r>
      <w:r w:rsidRPr="003A591C">
        <w:rPr>
          <w:snapToGrid w:val="0"/>
        </w:rPr>
        <w:tab/>
      </w:r>
      <w:r w:rsidRPr="003A591C">
        <w:rPr>
          <w:snapToGrid w:val="0"/>
        </w:rPr>
        <w:tab/>
      </w:r>
      <w:proofErr w:type="spellStart"/>
      <w:r w:rsidR="00B14444" w:rsidRPr="00B14444">
        <w:rPr>
          <w:rStyle w:val="Siln"/>
        </w:rPr>
        <w:t>VytronUS</w:t>
      </w:r>
      <w:proofErr w:type="spellEnd"/>
      <w:r w:rsidR="00B14444" w:rsidRPr="00B14444">
        <w:rPr>
          <w:rStyle w:val="Siln"/>
        </w:rPr>
        <w:t>, Inc.</w:t>
      </w:r>
      <w:r w:rsidR="00B2040C" w:rsidRPr="004448DA">
        <w:rPr>
          <w:rStyle w:val="Siln"/>
        </w:rPr>
        <w:t>,</w:t>
      </w:r>
    </w:p>
    <w:p w14:paraId="1011F724" w14:textId="37DFBE10" w:rsidR="00DC613F" w:rsidRPr="003A591C" w:rsidRDefault="00DC613F" w:rsidP="004448DA">
      <w:pPr>
        <w:rPr>
          <w:snapToGrid w:val="0"/>
        </w:rPr>
      </w:pPr>
      <w:r w:rsidRPr="003A591C">
        <w:rPr>
          <w:snapToGrid w:val="0"/>
        </w:rPr>
        <w:t>IČ:</w:t>
      </w:r>
      <w:r w:rsidRPr="003A591C">
        <w:rPr>
          <w:snapToGrid w:val="0"/>
        </w:rPr>
        <w:tab/>
      </w:r>
      <w:r w:rsidRPr="003A591C">
        <w:rPr>
          <w:snapToGrid w:val="0"/>
        </w:rPr>
        <w:tab/>
      </w:r>
      <w:r w:rsidRPr="003A591C">
        <w:rPr>
          <w:snapToGrid w:val="0"/>
        </w:rPr>
        <w:tab/>
      </w:r>
      <w:r w:rsidRPr="003A591C">
        <w:rPr>
          <w:snapToGrid w:val="0"/>
        </w:rPr>
        <w:tab/>
      </w:r>
      <w:r w:rsidR="00B14444" w:rsidRPr="00B14444">
        <w:rPr>
          <w:snapToGrid w:val="0"/>
          <w:szCs w:val="24"/>
        </w:rPr>
        <w:t>20-4086182</w:t>
      </w:r>
      <w:r w:rsidR="00B2040C" w:rsidRPr="003A591C">
        <w:rPr>
          <w:szCs w:val="24"/>
        </w:rPr>
        <w:t>,</w:t>
      </w:r>
    </w:p>
    <w:p w14:paraId="1C42DD12" w14:textId="1D8B4AAD" w:rsidR="00DC613F" w:rsidRPr="003A591C" w:rsidRDefault="00DC613F" w:rsidP="00332340">
      <w:pPr>
        <w:ind w:left="2835" w:hanging="2835"/>
        <w:rPr>
          <w:szCs w:val="24"/>
        </w:rPr>
      </w:pPr>
      <w:r w:rsidRPr="003A591C">
        <w:rPr>
          <w:snapToGrid w:val="0"/>
        </w:rPr>
        <w:t>Se sídlem:</w:t>
      </w:r>
      <w:r w:rsidRPr="003A591C">
        <w:rPr>
          <w:snapToGrid w:val="0"/>
        </w:rPr>
        <w:tab/>
      </w:r>
      <w:r w:rsidR="00B14444" w:rsidRPr="00B14444">
        <w:rPr>
          <w:snapToGrid w:val="0"/>
          <w:szCs w:val="24"/>
        </w:rPr>
        <w:t xml:space="preserve">658 N. </w:t>
      </w:r>
      <w:proofErr w:type="spellStart"/>
      <w:r w:rsidR="00B14444" w:rsidRPr="00B14444">
        <w:rPr>
          <w:snapToGrid w:val="0"/>
          <w:szCs w:val="24"/>
        </w:rPr>
        <w:t>Pastoria</w:t>
      </w:r>
      <w:proofErr w:type="spellEnd"/>
      <w:r w:rsidR="00B14444" w:rsidRPr="00B14444">
        <w:rPr>
          <w:snapToGrid w:val="0"/>
          <w:szCs w:val="24"/>
        </w:rPr>
        <w:t xml:space="preserve"> Ave, </w:t>
      </w:r>
      <w:proofErr w:type="spellStart"/>
      <w:r w:rsidR="00B14444" w:rsidRPr="00B14444">
        <w:rPr>
          <w:snapToGrid w:val="0"/>
          <w:szCs w:val="24"/>
        </w:rPr>
        <w:t>Sunnyvale</w:t>
      </w:r>
      <w:proofErr w:type="spellEnd"/>
      <w:r w:rsidR="00B14444" w:rsidRPr="00B14444">
        <w:rPr>
          <w:snapToGrid w:val="0"/>
          <w:szCs w:val="24"/>
        </w:rPr>
        <w:t xml:space="preserve">, </w:t>
      </w:r>
      <w:proofErr w:type="spellStart"/>
      <w:r w:rsidR="00B14444" w:rsidRPr="00B14444">
        <w:rPr>
          <w:snapToGrid w:val="0"/>
          <w:szCs w:val="24"/>
        </w:rPr>
        <w:t>California</w:t>
      </w:r>
      <w:proofErr w:type="spellEnd"/>
      <w:r w:rsidR="00B14444" w:rsidRPr="00B14444">
        <w:rPr>
          <w:snapToGrid w:val="0"/>
          <w:szCs w:val="24"/>
        </w:rPr>
        <w:t>, USA, 94085</w:t>
      </w:r>
      <w:r w:rsidR="00B2040C" w:rsidRPr="003A591C">
        <w:rPr>
          <w:szCs w:val="24"/>
        </w:rPr>
        <w:t>,</w:t>
      </w:r>
    </w:p>
    <w:p w14:paraId="4C27CFD5" w14:textId="71A13EAB" w:rsidR="00DC613F" w:rsidRPr="003A591C" w:rsidRDefault="008E508B" w:rsidP="004448DA">
      <w:pPr>
        <w:rPr>
          <w:snapToGrid w:val="0"/>
        </w:rPr>
      </w:pPr>
      <w:r>
        <w:rPr>
          <w:snapToGrid w:val="0"/>
        </w:rPr>
        <w:t>Zastoupena</w:t>
      </w:r>
      <w:r w:rsidR="00DC613F" w:rsidRPr="003A591C">
        <w:rPr>
          <w:snapToGrid w:val="0"/>
        </w:rPr>
        <w:t>:</w:t>
      </w:r>
      <w:r w:rsidR="00DC613F" w:rsidRPr="003A591C">
        <w:rPr>
          <w:snapToGrid w:val="0"/>
        </w:rPr>
        <w:tab/>
      </w:r>
      <w:r w:rsidR="00DC613F" w:rsidRPr="003A591C">
        <w:rPr>
          <w:snapToGrid w:val="0"/>
        </w:rPr>
        <w:tab/>
      </w:r>
      <w:r w:rsidR="00DC613F" w:rsidRPr="003A591C">
        <w:rPr>
          <w:snapToGrid w:val="0"/>
        </w:rPr>
        <w:tab/>
      </w:r>
      <w:r w:rsidR="00B14444" w:rsidRPr="00B14444">
        <w:rPr>
          <w:snapToGrid w:val="0"/>
          <w:szCs w:val="24"/>
        </w:rPr>
        <w:t>John</w:t>
      </w:r>
      <w:r w:rsidR="00DF20BC">
        <w:rPr>
          <w:snapToGrid w:val="0"/>
          <w:szCs w:val="24"/>
        </w:rPr>
        <w:t>em</w:t>
      </w:r>
      <w:r w:rsidR="00B14444" w:rsidRPr="00B14444">
        <w:rPr>
          <w:snapToGrid w:val="0"/>
          <w:szCs w:val="24"/>
        </w:rPr>
        <w:t xml:space="preserve"> </w:t>
      </w:r>
      <w:proofErr w:type="spellStart"/>
      <w:r w:rsidR="00B14444" w:rsidRPr="00B14444">
        <w:rPr>
          <w:snapToGrid w:val="0"/>
          <w:szCs w:val="24"/>
        </w:rPr>
        <w:t>Pavlidis</w:t>
      </w:r>
      <w:r w:rsidR="00DF20BC">
        <w:rPr>
          <w:snapToGrid w:val="0"/>
          <w:szCs w:val="24"/>
        </w:rPr>
        <w:t>em</w:t>
      </w:r>
      <w:proofErr w:type="spellEnd"/>
      <w:r w:rsidR="00B14444" w:rsidRPr="00B14444">
        <w:rPr>
          <w:snapToGrid w:val="0"/>
          <w:szCs w:val="24"/>
        </w:rPr>
        <w:t xml:space="preserve">, </w:t>
      </w:r>
      <w:r w:rsidR="003A6999">
        <w:rPr>
          <w:snapToGrid w:val="0"/>
          <w:szCs w:val="24"/>
        </w:rPr>
        <w:t xml:space="preserve">prezidentem a výkonným </w:t>
      </w:r>
      <w:proofErr w:type="gramStart"/>
      <w:r w:rsidR="003A6999">
        <w:rPr>
          <w:snapToGrid w:val="0"/>
          <w:szCs w:val="24"/>
        </w:rPr>
        <w:t xml:space="preserve">ředitelem </w:t>
      </w:r>
      <w:r w:rsidR="00B2040C" w:rsidRPr="003A591C">
        <w:rPr>
          <w:szCs w:val="24"/>
        </w:rPr>
        <w:t>,</w:t>
      </w:r>
      <w:proofErr w:type="gramEnd"/>
    </w:p>
    <w:p w14:paraId="2E5D057B" w14:textId="77777777" w:rsidR="001B213A" w:rsidRPr="003A591C" w:rsidRDefault="004448DA" w:rsidP="004448DA">
      <w:pPr>
        <w:rPr>
          <w:snapToGrid w:val="0"/>
        </w:rPr>
      </w:pPr>
      <w:r>
        <w:rPr>
          <w:snapToGrid w:val="0"/>
        </w:rPr>
        <w:tab/>
      </w:r>
      <w:r w:rsidR="001B213A" w:rsidRPr="003A591C">
        <w:rPr>
          <w:snapToGrid w:val="0"/>
        </w:rPr>
        <w:t>(dále jen „</w:t>
      </w:r>
      <w:r w:rsidR="001B213A" w:rsidRPr="004448DA">
        <w:rPr>
          <w:rStyle w:val="Siln"/>
        </w:rPr>
        <w:t>zadavatel</w:t>
      </w:r>
      <w:r w:rsidR="001B213A" w:rsidRPr="003A591C">
        <w:rPr>
          <w:snapToGrid w:val="0"/>
        </w:rPr>
        <w:t>“)</w:t>
      </w:r>
    </w:p>
    <w:p w14:paraId="41A81720" w14:textId="77777777" w:rsidR="001B213A" w:rsidRPr="003A591C" w:rsidRDefault="001B213A" w:rsidP="004448DA">
      <w:pPr>
        <w:rPr>
          <w:snapToGrid w:val="0"/>
        </w:rPr>
      </w:pPr>
    </w:p>
    <w:p w14:paraId="688BFF7D" w14:textId="77777777" w:rsidR="001B213A" w:rsidRPr="003A591C" w:rsidRDefault="001B213A" w:rsidP="004448DA">
      <w:pPr>
        <w:rPr>
          <w:snapToGrid w:val="0"/>
        </w:rPr>
      </w:pPr>
      <w:r w:rsidRPr="003A591C">
        <w:rPr>
          <w:snapToGrid w:val="0"/>
        </w:rPr>
        <w:t>a</w:t>
      </w:r>
    </w:p>
    <w:p w14:paraId="5DD54895" w14:textId="77777777" w:rsidR="00B2040C" w:rsidRPr="003A591C" w:rsidRDefault="00B2040C" w:rsidP="004448DA">
      <w:pPr>
        <w:rPr>
          <w:snapToGrid w:val="0"/>
        </w:rPr>
      </w:pPr>
    </w:p>
    <w:p w14:paraId="5A4E64BA" w14:textId="51EE0D72" w:rsidR="00FF49A5" w:rsidRPr="004448DA" w:rsidRDefault="00FF49A5" w:rsidP="004448DA">
      <w:pPr>
        <w:rPr>
          <w:rStyle w:val="Siln"/>
        </w:rPr>
      </w:pPr>
      <w:r w:rsidRPr="003A591C">
        <w:rPr>
          <w:snapToGrid w:val="0"/>
        </w:rPr>
        <w:t>Obchodní společnost:</w:t>
      </w:r>
      <w:r w:rsidRPr="003A591C">
        <w:rPr>
          <w:snapToGrid w:val="0"/>
        </w:rPr>
        <w:tab/>
      </w:r>
      <w:r w:rsidRPr="003A591C">
        <w:rPr>
          <w:snapToGrid w:val="0"/>
        </w:rPr>
        <w:tab/>
      </w:r>
      <w:proofErr w:type="spellStart"/>
      <w:r w:rsidR="00B14444" w:rsidRPr="00B14444">
        <w:rPr>
          <w:rStyle w:val="Siln"/>
        </w:rPr>
        <w:t>High</w:t>
      </w:r>
      <w:proofErr w:type="spellEnd"/>
      <w:r w:rsidR="00B14444" w:rsidRPr="00B14444">
        <w:rPr>
          <w:rStyle w:val="Siln"/>
        </w:rPr>
        <w:t xml:space="preserve"> </w:t>
      </w:r>
      <w:proofErr w:type="spellStart"/>
      <w:r w:rsidR="00B14444" w:rsidRPr="00B14444">
        <w:rPr>
          <w:rStyle w:val="Siln"/>
        </w:rPr>
        <w:t>Tech</w:t>
      </w:r>
      <w:proofErr w:type="spellEnd"/>
      <w:r w:rsidR="00B14444" w:rsidRPr="00B14444">
        <w:rPr>
          <w:rStyle w:val="Siln"/>
        </w:rPr>
        <w:t xml:space="preserve"> Med </w:t>
      </w:r>
      <w:proofErr w:type="spellStart"/>
      <w:r w:rsidR="00B14444" w:rsidRPr="00B14444">
        <w:rPr>
          <w:rStyle w:val="Siln"/>
        </w:rPr>
        <w:t>Consult</w:t>
      </w:r>
      <w:proofErr w:type="spellEnd"/>
      <w:r w:rsidR="00B14444" w:rsidRPr="00B14444">
        <w:rPr>
          <w:rStyle w:val="Siln"/>
        </w:rPr>
        <w:t>, s.r.o.</w:t>
      </w:r>
      <w:r w:rsidRPr="004448DA">
        <w:rPr>
          <w:rStyle w:val="Siln"/>
        </w:rPr>
        <w:t>,</w:t>
      </w:r>
    </w:p>
    <w:p w14:paraId="0C7B234B" w14:textId="3486BAD6" w:rsidR="00FF49A5" w:rsidRPr="003A591C" w:rsidRDefault="00FF49A5" w:rsidP="004448DA">
      <w:pPr>
        <w:rPr>
          <w:snapToGrid w:val="0"/>
        </w:rPr>
      </w:pPr>
      <w:r w:rsidRPr="003A591C">
        <w:rPr>
          <w:snapToGrid w:val="0"/>
        </w:rPr>
        <w:t>IČ:</w:t>
      </w:r>
      <w:r w:rsidRPr="003A591C">
        <w:rPr>
          <w:snapToGrid w:val="0"/>
        </w:rPr>
        <w:tab/>
      </w:r>
      <w:r w:rsidRPr="003A591C">
        <w:rPr>
          <w:snapToGrid w:val="0"/>
        </w:rPr>
        <w:tab/>
      </w:r>
      <w:r w:rsidRPr="003A591C">
        <w:rPr>
          <w:snapToGrid w:val="0"/>
        </w:rPr>
        <w:tab/>
      </w:r>
      <w:r w:rsidRPr="003A591C">
        <w:rPr>
          <w:snapToGrid w:val="0"/>
        </w:rPr>
        <w:tab/>
      </w:r>
      <w:r w:rsidR="00B14444" w:rsidRPr="00B14444">
        <w:rPr>
          <w:snapToGrid w:val="0"/>
          <w:szCs w:val="24"/>
        </w:rPr>
        <w:t>28473221</w:t>
      </w:r>
      <w:r w:rsidRPr="003A591C">
        <w:rPr>
          <w:szCs w:val="24"/>
        </w:rPr>
        <w:t>,</w:t>
      </w:r>
    </w:p>
    <w:p w14:paraId="6B05A10D" w14:textId="1F7C39CC" w:rsidR="00FF49A5" w:rsidRPr="003A591C" w:rsidRDefault="00FF49A5" w:rsidP="004448DA">
      <w:pPr>
        <w:rPr>
          <w:szCs w:val="24"/>
        </w:rPr>
      </w:pPr>
      <w:r w:rsidRPr="003A591C">
        <w:rPr>
          <w:snapToGrid w:val="0"/>
        </w:rPr>
        <w:t>Se sídlem:</w:t>
      </w:r>
      <w:r w:rsidRPr="003A591C">
        <w:rPr>
          <w:snapToGrid w:val="0"/>
        </w:rPr>
        <w:tab/>
      </w:r>
      <w:r w:rsidRPr="003A591C">
        <w:rPr>
          <w:snapToGrid w:val="0"/>
        </w:rPr>
        <w:tab/>
      </w:r>
      <w:r w:rsidRPr="003A591C">
        <w:rPr>
          <w:snapToGrid w:val="0"/>
        </w:rPr>
        <w:tab/>
      </w:r>
      <w:r w:rsidR="00B14444" w:rsidRPr="00B14444">
        <w:rPr>
          <w:snapToGrid w:val="0"/>
          <w:szCs w:val="24"/>
        </w:rPr>
        <w:t>155 00 Pra</w:t>
      </w:r>
      <w:r w:rsidR="003A6999">
        <w:rPr>
          <w:snapToGrid w:val="0"/>
          <w:szCs w:val="24"/>
        </w:rPr>
        <w:t>ha</w:t>
      </w:r>
      <w:r w:rsidR="00B14444" w:rsidRPr="00B14444">
        <w:rPr>
          <w:snapToGrid w:val="0"/>
          <w:szCs w:val="24"/>
        </w:rPr>
        <w:t xml:space="preserve"> 5, Frimlova, 1322/4e</w:t>
      </w:r>
      <w:r w:rsidRPr="003A591C">
        <w:rPr>
          <w:szCs w:val="24"/>
        </w:rPr>
        <w:t>,</w:t>
      </w:r>
    </w:p>
    <w:p w14:paraId="52006163" w14:textId="7BC1FF27" w:rsidR="00FF49A5" w:rsidRPr="003A591C" w:rsidRDefault="008E508B" w:rsidP="004448DA">
      <w:pPr>
        <w:rPr>
          <w:snapToGrid w:val="0"/>
        </w:rPr>
      </w:pPr>
      <w:r>
        <w:rPr>
          <w:snapToGrid w:val="0"/>
        </w:rPr>
        <w:t>Zastoupena</w:t>
      </w:r>
      <w:r w:rsidR="00FF49A5" w:rsidRPr="003A591C">
        <w:rPr>
          <w:snapToGrid w:val="0"/>
        </w:rPr>
        <w:t>:</w:t>
      </w:r>
      <w:r w:rsidR="00FF49A5" w:rsidRPr="003A591C">
        <w:rPr>
          <w:snapToGrid w:val="0"/>
        </w:rPr>
        <w:tab/>
      </w:r>
      <w:r w:rsidR="00FF49A5" w:rsidRPr="003A591C">
        <w:rPr>
          <w:snapToGrid w:val="0"/>
        </w:rPr>
        <w:tab/>
      </w:r>
      <w:r w:rsidR="00FF49A5" w:rsidRPr="003A591C">
        <w:rPr>
          <w:snapToGrid w:val="0"/>
        </w:rPr>
        <w:tab/>
      </w:r>
      <w:r w:rsidR="00B14444">
        <w:rPr>
          <w:snapToGrid w:val="0"/>
        </w:rPr>
        <w:t>Š</w:t>
      </w:r>
      <w:r w:rsidR="00B14444" w:rsidRPr="00B14444">
        <w:rPr>
          <w:snapToGrid w:val="0"/>
          <w:szCs w:val="24"/>
        </w:rPr>
        <w:t>t</w:t>
      </w:r>
      <w:r w:rsidR="00B14444">
        <w:rPr>
          <w:snapToGrid w:val="0"/>
          <w:szCs w:val="24"/>
        </w:rPr>
        <w:t>ě</w:t>
      </w:r>
      <w:r w:rsidR="00B14444" w:rsidRPr="00B14444">
        <w:rPr>
          <w:snapToGrid w:val="0"/>
          <w:szCs w:val="24"/>
        </w:rPr>
        <w:t>p</w:t>
      </w:r>
      <w:r w:rsidR="00B14444">
        <w:rPr>
          <w:snapToGrid w:val="0"/>
          <w:szCs w:val="24"/>
        </w:rPr>
        <w:t>á</w:t>
      </w:r>
      <w:r w:rsidR="00B14444" w:rsidRPr="00B14444">
        <w:rPr>
          <w:snapToGrid w:val="0"/>
          <w:szCs w:val="24"/>
        </w:rPr>
        <w:t>n</w:t>
      </w:r>
      <w:r w:rsidR="00DF20BC">
        <w:rPr>
          <w:snapToGrid w:val="0"/>
          <w:szCs w:val="24"/>
        </w:rPr>
        <w:t>em</w:t>
      </w:r>
      <w:r w:rsidR="00B14444" w:rsidRPr="00B14444">
        <w:rPr>
          <w:snapToGrid w:val="0"/>
          <w:szCs w:val="24"/>
        </w:rPr>
        <w:t xml:space="preserve"> Kr</w:t>
      </w:r>
      <w:r w:rsidR="00B14444">
        <w:rPr>
          <w:snapToGrid w:val="0"/>
          <w:szCs w:val="24"/>
        </w:rPr>
        <w:t>á</w:t>
      </w:r>
      <w:r w:rsidR="00B14444" w:rsidRPr="00B14444">
        <w:rPr>
          <w:snapToGrid w:val="0"/>
          <w:szCs w:val="24"/>
        </w:rPr>
        <w:t>lov</w:t>
      </w:r>
      <w:r w:rsidR="00DF20BC">
        <w:rPr>
          <w:snapToGrid w:val="0"/>
          <w:szCs w:val="24"/>
        </w:rPr>
        <w:t>cem</w:t>
      </w:r>
      <w:r w:rsidR="00B14444" w:rsidRPr="00B14444">
        <w:rPr>
          <w:snapToGrid w:val="0"/>
          <w:szCs w:val="24"/>
        </w:rPr>
        <w:t>,</w:t>
      </w:r>
      <w:r w:rsidR="00B14444">
        <w:rPr>
          <w:snapToGrid w:val="0"/>
          <w:szCs w:val="24"/>
        </w:rPr>
        <w:t xml:space="preserve"> jednatel</w:t>
      </w:r>
      <w:r w:rsidR="00DF20BC">
        <w:rPr>
          <w:snapToGrid w:val="0"/>
          <w:szCs w:val="24"/>
        </w:rPr>
        <w:t>em</w:t>
      </w:r>
      <w:r w:rsidR="00FF49A5" w:rsidRPr="003A591C">
        <w:rPr>
          <w:szCs w:val="24"/>
        </w:rPr>
        <w:t>,</w:t>
      </w:r>
    </w:p>
    <w:p w14:paraId="73A501EE" w14:textId="77777777" w:rsidR="00DC613F" w:rsidRPr="003A591C" w:rsidRDefault="004448DA" w:rsidP="004448DA">
      <w:r>
        <w:tab/>
      </w:r>
      <w:r w:rsidR="00DC613F" w:rsidRPr="003A591C">
        <w:t>(dále jen „</w:t>
      </w:r>
      <w:r w:rsidR="001B416E" w:rsidRPr="004448DA">
        <w:rPr>
          <w:rStyle w:val="Siln"/>
        </w:rPr>
        <w:t>asistent</w:t>
      </w:r>
      <w:r w:rsidR="00DC613F" w:rsidRPr="003A591C">
        <w:t>“)</w:t>
      </w:r>
    </w:p>
    <w:p w14:paraId="1C48080A" w14:textId="77777777" w:rsidR="00DC613F" w:rsidRPr="003A591C" w:rsidRDefault="00DC613F" w:rsidP="004448DA">
      <w:pPr>
        <w:rPr>
          <w:snapToGrid w:val="0"/>
        </w:rPr>
      </w:pPr>
    </w:p>
    <w:p w14:paraId="126935C9" w14:textId="77777777" w:rsidR="00CE7E77" w:rsidRPr="003A591C" w:rsidRDefault="00CE7E77" w:rsidP="004448DA">
      <w:pPr>
        <w:rPr>
          <w:snapToGrid w:val="0"/>
        </w:rPr>
      </w:pPr>
      <w:r w:rsidRPr="003A591C">
        <w:rPr>
          <w:snapToGrid w:val="0"/>
        </w:rPr>
        <w:t>a</w:t>
      </w:r>
    </w:p>
    <w:p w14:paraId="694124CD" w14:textId="77777777" w:rsidR="00CE7E77" w:rsidRPr="00FF49A5" w:rsidRDefault="00CE7E77" w:rsidP="004448DA">
      <w:pPr>
        <w:rPr>
          <w:snapToGrid w:val="0"/>
        </w:rPr>
      </w:pPr>
    </w:p>
    <w:p w14:paraId="032DC2F0" w14:textId="77777777" w:rsidR="00CE7E77" w:rsidRPr="004448DA" w:rsidRDefault="00CE7E77" w:rsidP="004448DA">
      <w:pPr>
        <w:rPr>
          <w:rStyle w:val="Siln"/>
        </w:rPr>
      </w:pPr>
      <w:r w:rsidRPr="00FF49A5">
        <w:rPr>
          <w:snapToGrid w:val="0"/>
        </w:rPr>
        <w:t>Subjekt:</w:t>
      </w:r>
      <w:r w:rsidR="00FF49A5" w:rsidRPr="00FF49A5">
        <w:rPr>
          <w:snapToGrid w:val="0"/>
        </w:rPr>
        <w:tab/>
      </w:r>
      <w:r w:rsidR="00FF49A5" w:rsidRPr="00FF49A5">
        <w:rPr>
          <w:snapToGrid w:val="0"/>
        </w:rPr>
        <w:tab/>
      </w:r>
      <w:r w:rsidRPr="00FF49A5">
        <w:rPr>
          <w:snapToGrid w:val="0"/>
        </w:rPr>
        <w:tab/>
      </w:r>
      <w:r w:rsidRPr="004448DA">
        <w:rPr>
          <w:rStyle w:val="Siln"/>
        </w:rPr>
        <w:t>Nemocnice Na Homolce,</w:t>
      </w:r>
    </w:p>
    <w:p w14:paraId="0D9C2B56" w14:textId="77777777" w:rsidR="00CE7E77" w:rsidRPr="00FF49A5" w:rsidRDefault="00CE7E77" w:rsidP="004448DA">
      <w:pPr>
        <w:rPr>
          <w:snapToGrid w:val="0"/>
        </w:rPr>
      </w:pPr>
      <w:r w:rsidRPr="00FF49A5">
        <w:rPr>
          <w:snapToGrid w:val="0"/>
        </w:rPr>
        <w:t>IČ:</w:t>
      </w:r>
      <w:r w:rsidRPr="00FF49A5">
        <w:rPr>
          <w:snapToGrid w:val="0"/>
        </w:rPr>
        <w:tab/>
      </w:r>
      <w:r w:rsidR="00FF49A5">
        <w:rPr>
          <w:snapToGrid w:val="0"/>
        </w:rPr>
        <w:tab/>
      </w:r>
      <w:r w:rsidR="00FF49A5">
        <w:rPr>
          <w:snapToGrid w:val="0"/>
        </w:rPr>
        <w:tab/>
      </w:r>
      <w:r w:rsidR="00FF49A5">
        <w:rPr>
          <w:snapToGrid w:val="0"/>
        </w:rPr>
        <w:tab/>
      </w:r>
      <w:r w:rsidRPr="00FF49A5">
        <w:rPr>
          <w:snapToGrid w:val="0"/>
        </w:rPr>
        <w:t>0</w:t>
      </w:r>
      <w:r w:rsidR="006C428A" w:rsidRPr="00FF49A5">
        <w:rPr>
          <w:snapToGrid w:val="0"/>
        </w:rPr>
        <w:t>00</w:t>
      </w:r>
      <w:r w:rsidRPr="00FF49A5">
        <w:rPr>
          <w:snapToGrid w:val="0"/>
        </w:rPr>
        <w:t>23884,</w:t>
      </w:r>
    </w:p>
    <w:p w14:paraId="3B3733EC" w14:textId="354B6C09" w:rsidR="00CE7E77" w:rsidRPr="00FF49A5" w:rsidRDefault="00CE7E77" w:rsidP="004448DA">
      <w:pPr>
        <w:rPr>
          <w:snapToGrid w:val="0"/>
        </w:rPr>
      </w:pPr>
      <w:r w:rsidRPr="00FF49A5">
        <w:rPr>
          <w:snapToGrid w:val="0"/>
        </w:rPr>
        <w:t>Se sídlem</w:t>
      </w:r>
      <w:r w:rsidR="00FF49A5">
        <w:rPr>
          <w:snapToGrid w:val="0"/>
        </w:rPr>
        <w:t>:</w:t>
      </w:r>
      <w:r w:rsidR="00FF49A5">
        <w:rPr>
          <w:snapToGrid w:val="0"/>
        </w:rPr>
        <w:tab/>
      </w:r>
      <w:r w:rsidR="00FF49A5">
        <w:rPr>
          <w:snapToGrid w:val="0"/>
        </w:rPr>
        <w:tab/>
      </w:r>
      <w:r w:rsidRPr="00FF49A5">
        <w:rPr>
          <w:snapToGrid w:val="0"/>
        </w:rPr>
        <w:tab/>
        <w:t xml:space="preserve">Roentgenova </w:t>
      </w:r>
      <w:r w:rsidR="00641E0E">
        <w:rPr>
          <w:snapToGrid w:val="0"/>
        </w:rPr>
        <w:t>37/</w:t>
      </w:r>
      <w:r w:rsidRPr="00FF49A5">
        <w:rPr>
          <w:snapToGrid w:val="0"/>
        </w:rPr>
        <w:t xml:space="preserve">2, </w:t>
      </w:r>
      <w:r w:rsidR="00641E0E">
        <w:rPr>
          <w:snapToGrid w:val="0"/>
        </w:rPr>
        <w:t xml:space="preserve">150 30 </w:t>
      </w:r>
      <w:r w:rsidRPr="00FF49A5">
        <w:rPr>
          <w:snapToGrid w:val="0"/>
        </w:rPr>
        <w:t>Praha 5</w:t>
      </w:r>
      <w:r w:rsidR="00A84F0D">
        <w:rPr>
          <w:snapToGrid w:val="0"/>
        </w:rPr>
        <w:t xml:space="preserve"> </w:t>
      </w:r>
      <w:r w:rsidR="00641E0E">
        <w:rPr>
          <w:snapToGrid w:val="0"/>
        </w:rPr>
        <w:t xml:space="preserve">- Motol, </w:t>
      </w:r>
    </w:p>
    <w:p w14:paraId="4FCFBF9F" w14:textId="77777777" w:rsidR="00CE7E77" w:rsidRPr="00FF49A5" w:rsidRDefault="00EF0204" w:rsidP="004448DA">
      <w:pPr>
        <w:rPr>
          <w:snapToGrid w:val="0"/>
        </w:rPr>
      </w:pPr>
      <w:r>
        <w:rPr>
          <w:snapToGrid w:val="0"/>
        </w:rPr>
        <w:t>Zastoupena</w:t>
      </w:r>
      <w:r w:rsidR="00CE7E77" w:rsidRPr="00FF49A5">
        <w:rPr>
          <w:snapToGrid w:val="0"/>
        </w:rPr>
        <w:t>:</w:t>
      </w:r>
      <w:r w:rsidR="00FF49A5">
        <w:rPr>
          <w:snapToGrid w:val="0"/>
        </w:rPr>
        <w:tab/>
      </w:r>
      <w:r w:rsidR="00FF49A5">
        <w:rPr>
          <w:snapToGrid w:val="0"/>
        </w:rPr>
        <w:tab/>
      </w:r>
      <w:r w:rsidR="00CE7E77" w:rsidRPr="00FF49A5">
        <w:rPr>
          <w:snapToGrid w:val="0"/>
        </w:rPr>
        <w:tab/>
      </w:r>
      <w:r w:rsidR="002B49A0">
        <w:rPr>
          <w:snapToGrid w:val="0"/>
        </w:rPr>
        <w:t>Dr. Ing. Ivanem Olivou</w:t>
      </w:r>
      <w:r w:rsidR="00CE7E77" w:rsidRPr="00FF49A5">
        <w:rPr>
          <w:snapToGrid w:val="0"/>
        </w:rPr>
        <w:t>, ředitelem nemocnice</w:t>
      </w:r>
    </w:p>
    <w:p w14:paraId="6FF71D43" w14:textId="5C0C5400" w:rsidR="00175A21" w:rsidRPr="00FF49A5" w:rsidRDefault="004C4753" w:rsidP="004448DA">
      <w:pPr>
        <w:rPr>
          <w:snapToGrid w:val="0"/>
        </w:rPr>
      </w:pPr>
      <w:r w:rsidRPr="00FF49A5">
        <w:rPr>
          <w:snapToGrid w:val="0"/>
        </w:rPr>
        <w:t>Bankovní spojení:</w:t>
      </w:r>
      <w:r w:rsidRPr="00FF49A5">
        <w:rPr>
          <w:snapToGrid w:val="0"/>
        </w:rPr>
        <w:tab/>
      </w:r>
      <w:r w:rsidR="00FF49A5">
        <w:rPr>
          <w:snapToGrid w:val="0"/>
        </w:rPr>
        <w:tab/>
      </w:r>
      <w:proofErr w:type="spellStart"/>
      <w:r w:rsidR="00072273" w:rsidRPr="00072273">
        <w:rPr>
          <w:snapToGrid w:val="0"/>
          <w:highlight w:val="black"/>
        </w:rPr>
        <w:t>xxxxxxxxxxxxxxxxxxxxxxxxx</w:t>
      </w:r>
      <w:proofErr w:type="spellEnd"/>
    </w:p>
    <w:p w14:paraId="762A7FC2" w14:textId="785C35D9" w:rsidR="00175A21" w:rsidRPr="00FF49A5" w:rsidRDefault="00175A21" w:rsidP="004448DA">
      <w:pPr>
        <w:rPr>
          <w:snapToGrid w:val="0"/>
        </w:rPr>
      </w:pPr>
      <w:r w:rsidRPr="00FF49A5">
        <w:rPr>
          <w:snapToGrid w:val="0"/>
        </w:rPr>
        <w:t>IBAN:</w:t>
      </w:r>
      <w:r w:rsidRPr="00FF49A5">
        <w:rPr>
          <w:snapToGrid w:val="0"/>
        </w:rPr>
        <w:tab/>
      </w:r>
      <w:r w:rsidRPr="00FF49A5">
        <w:rPr>
          <w:snapToGrid w:val="0"/>
        </w:rPr>
        <w:tab/>
      </w:r>
      <w:r w:rsidR="00FF49A5">
        <w:rPr>
          <w:snapToGrid w:val="0"/>
        </w:rPr>
        <w:tab/>
      </w:r>
      <w:r w:rsidR="00FF49A5">
        <w:rPr>
          <w:snapToGrid w:val="0"/>
        </w:rPr>
        <w:tab/>
      </w:r>
      <w:proofErr w:type="spellStart"/>
      <w:r w:rsidR="00072273" w:rsidRPr="00072273">
        <w:rPr>
          <w:snapToGrid w:val="0"/>
          <w:highlight w:val="black"/>
        </w:rPr>
        <w:t>xxxxxxxxxxxxxxxxxxxxxxxxxxxx</w:t>
      </w:r>
      <w:proofErr w:type="spellEnd"/>
    </w:p>
    <w:p w14:paraId="57742F62" w14:textId="5804D9CF" w:rsidR="00175A21" w:rsidRPr="00FF49A5" w:rsidRDefault="00175A21" w:rsidP="004448DA">
      <w:pPr>
        <w:rPr>
          <w:snapToGrid w:val="0"/>
        </w:rPr>
      </w:pPr>
      <w:r w:rsidRPr="00FF49A5">
        <w:rPr>
          <w:snapToGrid w:val="0"/>
        </w:rPr>
        <w:t xml:space="preserve">SWIFT: </w:t>
      </w:r>
      <w:r w:rsidRPr="00FF49A5">
        <w:rPr>
          <w:snapToGrid w:val="0"/>
        </w:rPr>
        <w:tab/>
      </w:r>
      <w:r w:rsidR="00FF49A5">
        <w:rPr>
          <w:snapToGrid w:val="0"/>
        </w:rPr>
        <w:tab/>
      </w:r>
      <w:r w:rsidRPr="00FF49A5">
        <w:rPr>
          <w:snapToGrid w:val="0"/>
        </w:rPr>
        <w:tab/>
      </w:r>
      <w:proofErr w:type="spellStart"/>
      <w:r w:rsidR="00072273" w:rsidRPr="00072273">
        <w:rPr>
          <w:snapToGrid w:val="0"/>
          <w:highlight w:val="black"/>
        </w:rPr>
        <w:t>xxxxxxxxxxxxxx</w:t>
      </w:r>
      <w:proofErr w:type="spellEnd"/>
    </w:p>
    <w:p w14:paraId="1F4AB0D3" w14:textId="77777777" w:rsidR="00CE7E77" w:rsidRPr="003A591C" w:rsidRDefault="004448DA" w:rsidP="004448DA">
      <w:pPr>
        <w:rPr>
          <w:szCs w:val="24"/>
        </w:rPr>
      </w:pPr>
      <w:r>
        <w:rPr>
          <w:szCs w:val="24"/>
        </w:rPr>
        <w:tab/>
      </w:r>
      <w:r w:rsidR="00CE7E77" w:rsidRPr="003A591C">
        <w:rPr>
          <w:szCs w:val="24"/>
        </w:rPr>
        <w:t>(dále jen „</w:t>
      </w:r>
      <w:r w:rsidR="001B416E" w:rsidRPr="004448DA">
        <w:rPr>
          <w:rStyle w:val="Siln"/>
        </w:rPr>
        <w:t>poskytovatel</w:t>
      </w:r>
      <w:r w:rsidR="00CE7E77" w:rsidRPr="003A591C">
        <w:rPr>
          <w:szCs w:val="24"/>
        </w:rPr>
        <w:t>“)</w:t>
      </w:r>
    </w:p>
    <w:p w14:paraId="0F6E498D" w14:textId="77777777" w:rsidR="00C52E59" w:rsidRPr="00FF49A5" w:rsidRDefault="00C52E59" w:rsidP="004448DA">
      <w:pPr>
        <w:rPr>
          <w:snapToGrid w:val="0"/>
        </w:rPr>
      </w:pPr>
    </w:p>
    <w:p w14:paraId="150850DC" w14:textId="77777777" w:rsidR="00C52E59" w:rsidRPr="00FF49A5" w:rsidRDefault="00C52E59" w:rsidP="004448DA">
      <w:pPr>
        <w:rPr>
          <w:snapToGrid w:val="0"/>
        </w:rPr>
      </w:pPr>
      <w:r w:rsidRPr="00FF49A5">
        <w:rPr>
          <w:snapToGrid w:val="0"/>
        </w:rPr>
        <w:t>a</w:t>
      </w:r>
    </w:p>
    <w:p w14:paraId="7B12C8F5" w14:textId="77777777" w:rsidR="00C52E59" w:rsidRPr="00FF49A5" w:rsidRDefault="00C52E59" w:rsidP="004448DA">
      <w:pPr>
        <w:rPr>
          <w:snapToGrid w:val="0"/>
        </w:rPr>
      </w:pPr>
    </w:p>
    <w:p w14:paraId="1AB45252" w14:textId="1726B243" w:rsidR="00C52E59" w:rsidRPr="004448DA" w:rsidRDefault="00C52E59" w:rsidP="004448DA">
      <w:pPr>
        <w:rPr>
          <w:rStyle w:val="Siln"/>
        </w:rPr>
      </w:pPr>
      <w:r w:rsidRPr="003A591C">
        <w:rPr>
          <w:snapToGrid w:val="0"/>
        </w:rPr>
        <w:t>Subjekt:</w:t>
      </w:r>
      <w:r w:rsidRPr="003A591C">
        <w:rPr>
          <w:snapToGrid w:val="0"/>
        </w:rPr>
        <w:tab/>
      </w:r>
      <w:r w:rsidRPr="003A591C">
        <w:rPr>
          <w:snapToGrid w:val="0"/>
        </w:rPr>
        <w:tab/>
      </w:r>
      <w:r w:rsidRPr="003A591C">
        <w:rPr>
          <w:snapToGrid w:val="0"/>
        </w:rPr>
        <w:tab/>
      </w:r>
      <w:proofErr w:type="spellStart"/>
      <w:r w:rsidR="00072273" w:rsidRPr="00072273">
        <w:rPr>
          <w:rStyle w:val="Siln"/>
          <w:highlight w:val="black"/>
        </w:rPr>
        <w:t>xxxxxxxxxxxxxxxxxxxxxxxxxxxxxxxxxx</w:t>
      </w:r>
      <w:proofErr w:type="spellEnd"/>
    </w:p>
    <w:p w14:paraId="12C6DC3F" w14:textId="5E9376BE" w:rsidR="00C52E59" w:rsidRPr="003A591C" w:rsidRDefault="00C65C84" w:rsidP="004448DA">
      <w:pPr>
        <w:rPr>
          <w:szCs w:val="24"/>
        </w:rPr>
      </w:pPr>
      <w:r w:rsidRPr="003A591C">
        <w:rPr>
          <w:snapToGrid w:val="0"/>
        </w:rPr>
        <w:t>Adresa</w:t>
      </w:r>
      <w:r w:rsidR="00C52E59" w:rsidRPr="003A591C">
        <w:rPr>
          <w:snapToGrid w:val="0"/>
        </w:rPr>
        <w:t>:</w:t>
      </w:r>
      <w:r w:rsidR="00C52E59" w:rsidRPr="003A591C">
        <w:rPr>
          <w:snapToGrid w:val="0"/>
        </w:rPr>
        <w:tab/>
      </w:r>
      <w:r w:rsidR="00C52E59" w:rsidRPr="003A591C">
        <w:rPr>
          <w:snapToGrid w:val="0"/>
        </w:rPr>
        <w:tab/>
      </w:r>
      <w:r w:rsidR="00C52E59" w:rsidRPr="003A591C">
        <w:rPr>
          <w:snapToGrid w:val="0"/>
        </w:rPr>
        <w:tab/>
      </w:r>
      <w:proofErr w:type="spellStart"/>
      <w:r w:rsidR="00072273" w:rsidRPr="00072273">
        <w:rPr>
          <w:snapToGrid w:val="0"/>
          <w:szCs w:val="24"/>
          <w:highlight w:val="black"/>
        </w:rPr>
        <w:t>xxxxxxxxxxxxxxxxxxxxxxxxxx</w:t>
      </w:r>
      <w:proofErr w:type="spellEnd"/>
    </w:p>
    <w:p w14:paraId="71FC2929" w14:textId="77777777" w:rsidR="00C52E59" w:rsidRPr="003A591C" w:rsidRDefault="004448DA" w:rsidP="004448DA">
      <w:pPr>
        <w:rPr>
          <w:snapToGrid w:val="0"/>
        </w:rPr>
      </w:pPr>
      <w:r>
        <w:rPr>
          <w:snapToGrid w:val="0"/>
        </w:rPr>
        <w:tab/>
      </w:r>
      <w:r w:rsidR="00C52E59" w:rsidRPr="003A591C">
        <w:rPr>
          <w:snapToGrid w:val="0"/>
        </w:rPr>
        <w:t>(dále jen „</w:t>
      </w:r>
      <w:r w:rsidR="00907A23" w:rsidRPr="004448DA">
        <w:rPr>
          <w:rStyle w:val="Siln"/>
        </w:rPr>
        <w:t>z</w:t>
      </w:r>
      <w:r w:rsidR="001D5C98" w:rsidRPr="004448DA">
        <w:rPr>
          <w:rStyle w:val="Siln"/>
        </w:rPr>
        <w:t>koušející</w:t>
      </w:r>
      <w:r w:rsidR="00C52E59" w:rsidRPr="003A591C">
        <w:rPr>
          <w:snapToGrid w:val="0"/>
        </w:rPr>
        <w:t>“)</w:t>
      </w:r>
    </w:p>
    <w:p w14:paraId="71C406A6" w14:textId="77777777" w:rsidR="00663811" w:rsidRPr="003A591C" w:rsidRDefault="00663811" w:rsidP="004448DA">
      <w:pPr>
        <w:rPr>
          <w:snapToGrid w:val="0"/>
        </w:rPr>
      </w:pPr>
    </w:p>
    <w:p w14:paraId="083FF8C8" w14:textId="6F4EB9DC" w:rsidR="000169FD" w:rsidRPr="003A591C" w:rsidRDefault="000169FD" w:rsidP="004448DA">
      <w:pPr>
        <w:pStyle w:val="NaSted"/>
      </w:pPr>
      <w:proofErr w:type="gramStart"/>
      <w:r w:rsidRPr="003A591C">
        <w:t>se</w:t>
      </w:r>
      <w:proofErr w:type="gramEnd"/>
      <w:r w:rsidRPr="003A591C">
        <w:t xml:space="preserve"> níže uvedeného dne, měsíce a roku, v souladu s ustanovením</w:t>
      </w:r>
      <w:r w:rsidR="00EE1B29">
        <w:t xml:space="preserve"> § 1746</w:t>
      </w:r>
      <w:r w:rsidR="00CE7E77" w:rsidRPr="003A591C">
        <w:t xml:space="preserve"> odst. 2 zák. č. </w:t>
      </w:r>
      <w:r w:rsidR="00EE1B29">
        <w:t>89/2012 Sb., občanský zákoník</w:t>
      </w:r>
      <w:r w:rsidR="00D97175" w:rsidRPr="003A591C">
        <w:t>, ve znění pozdějších předpisů, dále jen „</w:t>
      </w:r>
      <w:r w:rsidR="00EE1B29">
        <w:rPr>
          <w:rStyle w:val="Siln"/>
        </w:rPr>
        <w:t>občanský</w:t>
      </w:r>
      <w:r w:rsidR="00D97175" w:rsidRPr="008D0F7F">
        <w:rPr>
          <w:rStyle w:val="Siln"/>
        </w:rPr>
        <w:t xml:space="preserve"> zákoník</w:t>
      </w:r>
      <w:r w:rsidR="00D97175" w:rsidRPr="003A591C">
        <w:t xml:space="preserve">“, a zák. č. </w:t>
      </w:r>
      <w:r w:rsidR="00D92CA2">
        <w:t>268/2014</w:t>
      </w:r>
      <w:r w:rsidR="00D97175" w:rsidRPr="003A591C">
        <w:t xml:space="preserve">, o </w:t>
      </w:r>
      <w:r w:rsidR="001B416E" w:rsidRPr="003A591C">
        <w:t>zdravotnických prostředcích a o změně některých souvisejících zákonů</w:t>
      </w:r>
      <w:r w:rsidR="002052F3" w:rsidRPr="003A591C">
        <w:t>, ve znění pozdějších předpisů (</w:t>
      </w:r>
      <w:r w:rsidR="00D97175" w:rsidRPr="003A591C">
        <w:t>dále jen „</w:t>
      </w:r>
      <w:r w:rsidR="00D97175" w:rsidRPr="008D0F7F">
        <w:rPr>
          <w:rStyle w:val="Siln"/>
        </w:rPr>
        <w:t>zákon o</w:t>
      </w:r>
      <w:r w:rsidR="00687679" w:rsidRPr="008D0F7F">
        <w:rPr>
          <w:rStyle w:val="Siln"/>
        </w:rPr>
        <w:t> </w:t>
      </w:r>
      <w:r w:rsidR="001B416E" w:rsidRPr="008D0F7F">
        <w:rPr>
          <w:rStyle w:val="Siln"/>
        </w:rPr>
        <w:t>zdravotn</w:t>
      </w:r>
      <w:r w:rsidR="000F08C6" w:rsidRPr="008D0F7F">
        <w:rPr>
          <w:rStyle w:val="Siln"/>
        </w:rPr>
        <w:t>ických</w:t>
      </w:r>
      <w:r w:rsidR="001B416E" w:rsidRPr="008D0F7F">
        <w:rPr>
          <w:rStyle w:val="Siln"/>
        </w:rPr>
        <w:t xml:space="preserve"> prostředcích</w:t>
      </w:r>
      <w:r w:rsidR="00D97175" w:rsidRPr="003A591C">
        <w:t>“</w:t>
      </w:r>
      <w:r w:rsidR="002052F3" w:rsidRPr="003A591C">
        <w:t>)</w:t>
      </w:r>
      <w:r w:rsidRPr="003A591C">
        <w:t>, dohodly na základě vzájemného konsensu o všech dále uvedených ustanoveních tak</w:t>
      </w:r>
      <w:r w:rsidR="00687679" w:rsidRPr="003A591C">
        <w:t>,</w:t>
      </w:r>
      <w:r w:rsidRPr="003A591C">
        <w:t xml:space="preserve"> jak stanov</w:t>
      </w:r>
      <w:r w:rsidR="00DF20BC">
        <w:t>uje</w:t>
      </w:r>
      <w:r w:rsidRPr="003A591C">
        <w:t xml:space="preserve"> tato</w:t>
      </w:r>
    </w:p>
    <w:p w14:paraId="1937C87B" w14:textId="77777777" w:rsidR="000169FD" w:rsidRPr="003A591C" w:rsidRDefault="000169FD" w:rsidP="008D0F7F">
      <w:pPr>
        <w:pStyle w:val="Smlouva"/>
      </w:pPr>
      <w:r w:rsidRPr="003A591C">
        <w:t>SMLOUVA O</w:t>
      </w:r>
      <w:r w:rsidR="00294971" w:rsidRPr="003A591C">
        <w:t xml:space="preserve"> PROVEDENÍ</w:t>
      </w:r>
      <w:r w:rsidRPr="003A591C">
        <w:t xml:space="preserve"> </w:t>
      </w:r>
      <w:r w:rsidR="00D97175" w:rsidRPr="003A591C">
        <w:t>KLINICK</w:t>
      </w:r>
      <w:r w:rsidR="004E1EF1" w:rsidRPr="003A591C">
        <w:t>É</w:t>
      </w:r>
      <w:r w:rsidR="00D97175" w:rsidRPr="003A591C">
        <w:t xml:space="preserve"> </w:t>
      </w:r>
      <w:r w:rsidR="00B77D97" w:rsidRPr="003A591C">
        <w:t>ZKOUŠ</w:t>
      </w:r>
      <w:r w:rsidR="00294971" w:rsidRPr="003A591C">
        <w:t>K</w:t>
      </w:r>
      <w:r w:rsidR="004E1EF1" w:rsidRPr="003A591C">
        <w:t>Y</w:t>
      </w:r>
      <w:r w:rsidR="00294971" w:rsidRPr="003A591C">
        <w:t xml:space="preserve"> </w:t>
      </w:r>
      <w:r w:rsidR="001B416E" w:rsidRPr="003A591C">
        <w:t>ZDRAVOTNICK</w:t>
      </w:r>
      <w:r w:rsidR="004E1EF1" w:rsidRPr="003A591C">
        <w:t>ÉHO</w:t>
      </w:r>
      <w:r w:rsidR="001B416E" w:rsidRPr="003A591C">
        <w:t xml:space="preserve"> PROSTŘEDK</w:t>
      </w:r>
      <w:r w:rsidR="004E1EF1" w:rsidRPr="003A591C">
        <w:t>U</w:t>
      </w:r>
    </w:p>
    <w:p w14:paraId="0C12D687" w14:textId="77777777" w:rsidR="000169FD" w:rsidRPr="003A591C" w:rsidRDefault="00EB3C31" w:rsidP="008D0F7F">
      <w:pPr>
        <w:pStyle w:val="NaSted"/>
      </w:pPr>
      <w:r w:rsidRPr="003A591C">
        <w:t>(</w:t>
      </w:r>
      <w:r w:rsidR="000169FD" w:rsidRPr="003A591C">
        <w:t>dále jen „</w:t>
      </w:r>
      <w:r w:rsidR="000169FD" w:rsidRPr="004448DA">
        <w:rPr>
          <w:rStyle w:val="Siln"/>
        </w:rPr>
        <w:t>Smlouva</w:t>
      </w:r>
      <w:r w:rsidR="000169FD" w:rsidRPr="003A591C">
        <w:t>“)</w:t>
      </w:r>
    </w:p>
    <w:p w14:paraId="49BCA33A" w14:textId="77777777" w:rsidR="001D2EC4" w:rsidRPr="00BF2E4E" w:rsidRDefault="001D2EC4" w:rsidP="00BF2E4E">
      <w:pPr>
        <w:pStyle w:val="Nadpis1"/>
      </w:pPr>
      <w:r w:rsidRPr="00BF2E4E">
        <w:lastRenderedPageBreak/>
        <w:t>Post</w:t>
      </w:r>
      <w:r w:rsidR="00DC613F" w:rsidRPr="00BF2E4E">
        <w:t>avení smluvních stran</w:t>
      </w:r>
    </w:p>
    <w:p w14:paraId="64CECC06" w14:textId="0F955B5F" w:rsidR="00B80CE8" w:rsidRPr="003A591C" w:rsidRDefault="001B416E" w:rsidP="00B56CD3">
      <w:pPr>
        <w:pStyle w:val="Nadpis2"/>
      </w:pPr>
      <w:r w:rsidRPr="003A591C">
        <w:t>Poskytovatel</w:t>
      </w:r>
      <w:r w:rsidR="00D97175" w:rsidRPr="003A591C">
        <w:t xml:space="preserve"> je státní příspěvková organizace, jejímž zřizovatelem je Ministerstvo zdravotnictví Č</w:t>
      </w:r>
      <w:r w:rsidR="00EB3C31" w:rsidRPr="003A591C">
        <w:t>eské republiky a jež je zřízena</w:t>
      </w:r>
      <w:r w:rsidR="00D97175" w:rsidRPr="003A591C">
        <w:t xml:space="preserve"> zřizovací listinou vydanou podle </w:t>
      </w:r>
      <w:proofErr w:type="spellStart"/>
      <w:r w:rsidR="00D97175" w:rsidRPr="003A591C">
        <w:t>us</w:t>
      </w:r>
      <w:r w:rsidR="005C6999">
        <w:t>t</w:t>
      </w:r>
      <w:proofErr w:type="spellEnd"/>
      <w:r w:rsidR="005C6999">
        <w:t>. § 39 odst. 1 zákona č. 20/196</w:t>
      </w:r>
      <w:r w:rsidR="00D97175" w:rsidRPr="003A591C">
        <w:t xml:space="preserve">6 Sb., o péči o zdraví lidu, ve znění pozdějších předpisů, a podle </w:t>
      </w:r>
      <w:proofErr w:type="spellStart"/>
      <w:r w:rsidR="00D97175" w:rsidRPr="003A591C">
        <w:t>ust</w:t>
      </w:r>
      <w:proofErr w:type="spellEnd"/>
      <w:r w:rsidR="00D97175" w:rsidRPr="003A591C">
        <w:t>. § 54 odst. 2 zákona č. 219/2000 Sb., o majetku České republiky a jejím vystupování v právních vztazích, ve znění pozdějších předpisů, dne 1.</w:t>
      </w:r>
      <w:r w:rsidR="00630396">
        <w:t> </w:t>
      </w:r>
      <w:r w:rsidR="00D97175" w:rsidRPr="003A591C">
        <w:t>8.</w:t>
      </w:r>
      <w:r w:rsidR="00630396">
        <w:t> </w:t>
      </w:r>
      <w:r w:rsidR="00D97175" w:rsidRPr="003A591C">
        <w:t xml:space="preserve">2001 </w:t>
      </w:r>
      <w:proofErr w:type="gramStart"/>
      <w:r w:rsidR="00D97175" w:rsidRPr="003A591C">
        <w:t>č.j.</w:t>
      </w:r>
      <w:proofErr w:type="gramEnd"/>
      <w:r w:rsidR="00D97175" w:rsidRPr="003A591C">
        <w:t xml:space="preserve">: 16037/2001. </w:t>
      </w:r>
      <w:r w:rsidRPr="003A591C">
        <w:t>Poskytovatel</w:t>
      </w:r>
      <w:r w:rsidR="009610F4" w:rsidRPr="003A591C">
        <w:t xml:space="preserve"> je </w:t>
      </w:r>
      <w:r w:rsidR="00795DA6" w:rsidRPr="003A591C">
        <w:t>subjekt</w:t>
      </w:r>
      <w:r w:rsidR="009610F4" w:rsidRPr="003A591C">
        <w:t xml:space="preserve"> oprávn</w:t>
      </w:r>
      <w:r w:rsidR="009610F4" w:rsidRPr="003A591C">
        <w:rPr>
          <w:rFonts w:hint="eastAsia"/>
        </w:rPr>
        <w:t>ě</w:t>
      </w:r>
      <w:r w:rsidR="009610F4" w:rsidRPr="003A591C">
        <w:t>n</w:t>
      </w:r>
      <w:r w:rsidR="00795DA6" w:rsidRPr="003A591C">
        <w:t>ý</w:t>
      </w:r>
      <w:r w:rsidR="009610F4" w:rsidRPr="003A591C">
        <w:t xml:space="preserve"> k poskytování zdravotní pé</w:t>
      </w:r>
      <w:r w:rsidR="009610F4" w:rsidRPr="003A591C">
        <w:rPr>
          <w:rFonts w:hint="eastAsia"/>
        </w:rPr>
        <w:t>č</w:t>
      </w:r>
      <w:r w:rsidR="009610F4" w:rsidRPr="003A591C">
        <w:t>e</w:t>
      </w:r>
      <w:r w:rsidR="00795DA6" w:rsidRPr="003A591C">
        <w:t xml:space="preserve">. </w:t>
      </w:r>
      <w:r w:rsidRPr="003A591C">
        <w:t>Poskytovatel</w:t>
      </w:r>
      <w:r w:rsidR="00795DA6" w:rsidRPr="003A591C">
        <w:t xml:space="preserve"> disponuje kvalifikovaným personálem a vhodnými zařízeními</w:t>
      </w:r>
      <w:r w:rsidR="00B80CE8" w:rsidRPr="003A591C">
        <w:t xml:space="preserve"> pro naplnění účelu této smlouvy.</w:t>
      </w:r>
      <w:r w:rsidR="00795DA6" w:rsidRPr="003A591C">
        <w:t xml:space="preserve"> </w:t>
      </w:r>
    </w:p>
    <w:p w14:paraId="6C75E7DB" w14:textId="4A71B0F4" w:rsidR="00B80CE8" w:rsidRPr="003A591C" w:rsidRDefault="00DC613F" w:rsidP="00B56CD3">
      <w:pPr>
        <w:pStyle w:val="Nadpis2"/>
      </w:pPr>
      <w:r w:rsidRPr="003A591C">
        <w:t>Z</w:t>
      </w:r>
      <w:r w:rsidR="00D97175" w:rsidRPr="003A591C">
        <w:t>adavatel</w:t>
      </w:r>
      <w:r w:rsidRPr="003A591C">
        <w:t xml:space="preserve"> je </w:t>
      </w:r>
      <w:r w:rsidR="0096198E" w:rsidRPr="00F06B55">
        <w:rPr>
          <w:rStyle w:val="Zvraznn"/>
          <w:i w:val="0"/>
        </w:rPr>
        <w:t>zahraniční</w:t>
      </w:r>
      <w:r w:rsidR="00D97175" w:rsidRPr="003A591C">
        <w:t xml:space="preserve"> </w:t>
      </w:r>
      <w:r w:rsidRPr="003A591C">
        <w:t xml:space="preserve">právnickou osobou, zapsanou v obchodním rejstříku </w:t>
      </w:r>
      <w:r w:rsidR="00F06B55">
        <w:t>státu Kalifornie v</w:t>
      </w:r>
      <w:r w:rsidR="003A6999">
        <w:t>e</w:t>
      </w:r>
      <w:r w:rsidR="00892363">
        <w:t> Spojených státech amerických</w:t>
      </w:r>
      <w:r w:rsidRPr="003A591C">
        <w:t>.</w:t>
      </w:r>
      <w:r w:rsidR="00046792" w:rsidRPr="003A591C">
        <w:t xml:space="preserve"> </w:t>
      </w:r>
      <w:r w:rsidR="00B80CE8" w:rsidRPr="003A591C">
        <w:t>Za</w:t>
      </w:r>
      <w:r w:rsidR="00294971" w:rsidRPr="003A591C">
        <w:t>davatel je „zadavatelem“ klinických</w:t>
      </w:r>
      <w:r w:rsidR="00CF1710" w:rsidRPr="003A591C">
        <w:t xml:space="preserve"> </w:t>
      </w:r>
      <w:r w:rsidR="00B77D97" w:rsidRPr="003A591C">
        <w:t>zkouše</w:t>
      </w:r>
      <w:r w:rsidR="000038E7" w:rsidRPr="003A591C">
        <w:t xml:space="preserve">k </w:t>
      </w:r>
      <w:r w:rsidR="004F03DB">
        <w:t>ve smyslu zák. č. 268/2014</w:t>
      </w:r>
      <w:r w:rsidR="00B80CE8" w:rsidRPr="003A591C">
        <w:t xml:space="preserve"> Sb., o </w:t>
      </w:r>
      <w:r w:rsidR="00CF1710" w:rsidRPr="003A591C">
        <w:t>zdravotnických prostředcích</w:t>
      </w:r>
      <w:r w:rsidR="00B80CE8" w:rsidRPr="003A591C">
        <w:t>, ve znění pozdějších předpisů</w:t>
      </w:r>
      <w:r w:rsidR="006A2645" w:rsidRPr="003A591C">
        <w:t>,</w:t>
      </w:r>
      <w:r w:rsidR="00B80CE8" w:rsidRPr="003A591C">
        <w:t xml:space="preserve"> a ve smyslu Směrnice </w:t>
      </w:r>
      <w:r w:rsidR="00C65C84" w:rsidRPr="003A591C">
        <w:t>Rady</w:t>
      </w:r>
      <w:r w:rsidR="00B80CE8" w:rsidRPr="003A591C">
        <w:t xml:space="preserve"> </w:t>
      </w:r>
      <w:r w:rsidR="00C65C84" w:rsidRPr="003A591C">
        <w:t>93</w:t>
      </w:r>
      <w:r w:rsidR="00B80CE8" w:rsidRPr="003A591C">
        <w:t>/</w:t>
      </w:r>
      <w:r w:rsidR="00C65C84" w:rsidRPr="003A591C">
        <w:t>4</w:t>
      </w:r>
      <w:r w:rsidR="00B80CE8" w:rsidRPr="003A591C">
        <w:t>2/E</w:t>
      </w:r>
      <w:r w:rsidR="00C65C84" w:rsidRPr="003A591C">
        <w:t>HS, o zdravotnických prostředcích</w:t>
      </w:r>
      <w:r w:rsidR="00B80CE8" w:rsidRPr="003A591C">
        <w:t>.</w:t>
      </w:r>
    </w:p>
    <w:p w14:paraId="024CA90F" w14:textId="32B13F3B" w:rsidR="00B80CE8" w:rsidRPr="008D0F7F" w:rsidRDefault="00506738" w:rsidP="00B56CD3">
      <w:pPr>
        <w:pStyle w:val="Nadpis2"/>
      </w:pPr>
      <w:r w:rsidRPr="003A591C">
        <w:t xml:space="preserve">Asistent </w:t>
      </w:r>
      <w:r w:rsidR="00556000" w:rsidRPr="003A591C">
        <w:t>je</w:t>
      </w:r>
      <w:r w:rsidR="00B80CE8" w:rsidRPr="003A591C">
        <w:t xml:space="preserve"> </w:t>
      </w:r>
      <w:r w:rsidR="00B80CE8" w:rsidRPr="00837014">
        <w:rPr>
          <w:rStyle w:val="Zvraznn"/>
          <w:i w:val="0"/>
        </w:rPr>
        <w:t>českou</w:t>
      </w:r>
      <w:r w:rsidR="00B80CE8" w:rsidRPr="00B56CD3">
        <w:rPr>
          <w:rStyle w:val="Zvraznn"/>
        </w:rPr>
        <w:t xml:space="preserve"> </w:t>
      </w:r>
      <w:r w:rsidR="00B80CE8" w:rsidRPr="003A591C">
        <w:t xml:space="preserve">právnickou osobou, zapsanou v obchodním rejstříku vedeném </w:t>
      </w:r>
      <w:r w:rsidR="00837014">
        <w:t>u Městského soudu v Praze, oddíl C, vložka 144167</w:t>
      </w:r>
      <w:r w:rsidR="00046792" w:rsidRPr="003A591C">
        <w:t xml:space="preserve">. </w:t>
      </w:r>
    </w:p>
    <w:p w14:paraId="51FE5886" w14:textId="3ED2544D" w:rsidR="00A54950" w:rsidRPr="003A591C" w:rsidRDefault="001D5C98" w:rsidP="00B56CD3">
      <w:pPr>
        <w:pStyle w:val="Nadpis2"/>
      </w:pPr>
      <w:r w:rsidRPr="003A591C">
        <w:t>Zkoušející</w:t>
      </w:r>
      <w:r w:rsidR="00A54950" w:rsidRPr="003A591C">
        <w:t xml:space="preserve"> je zaměstnancem poskytovatele. Poskytovatel bude své povinnosti z této smlouvy plnit </w:t>
      </w:r>
      <w:r w:rsidR="00837014">
        <w:t>sám a </w:t>
      </w:r>
      <w:r w:rsidR="00A54950" w:rsidRPr="003A591C">
        <w:t xml:space="preserve">prostřednictvím </w:t>
      </w:r>
      <w:r w:rsidR="00907A23" w:rsidRPr="003A591C">
        <w:t>z</w:t>
      </w:r>
      <w:r w:rsidRPr="003A591C">
        <w:t>koušející</w:t>
      </w:r>
      <w:r w:rsidR="00A54950" w:rsidRPr="003A591C">
        <w:t xml:space="preserve">ho jako svého zaměstnance. </w:t>
      </w:r>
      <w:r w:rsidRPr="003A591C">
        <w:t>Zkoušející</w:t>
      </w:r>
      <w:r w:rsidR="00A54950" w:rsidRPr="003A591C">
        <w:t xml:space="preserve"> se podpisem této smlouvy zavazuje plnit veškeré povinnosti uložené touto smlouvou posk</w:t>
      </w:r>
      <w:r w:rsidR="00AA3206" w:rsidRPr="003A591C">
        <w:t>y</w:t>
      </w:r>
      <w:r w:rsidR="00A54950" w:rsidRPr="003A591C">
        <w:t>tovateli.</w:t>
      </w:r>
    </w:p>
    <w:p w14:paraId="2596EFBD" w14:textId="77777777" w:rsidR="001D2EC4" w:rsidRPr="00BF2E4E" w:rsidRDefault="008F7B9D" w:rsidP="00BF2E4E">
      <w:pPr>
        <w:pStyle w:val="Nadpis1"/>
      </w:pPr>
      <w:r w:rsidRPr="00BF2E4E">
        <w:t xml:space="preserve">Předmět a účel </w:t>
      </w:r>
      <w:r w:rsidR="001D2EC4" w:rsidRPr="00BF2E4E">
        <w:t>smlouvy</w:t>
      </w:r>
    </w:p>
    <w:p w14:paraId="63E3D42C" w14:textId="1D0C72FD" w:rsidR="008F42E6" w:rsidRDefault="001D2EC4" w:rsidP="008F42E6">
      <w:pPr>
        <w:pStyle w:val="Nadpis2"/>
        <w:rPr>
          <w:snapToGrid w:val="0"/>
        </w:rPr>
      </w:pPr>
      <w:r w:rsidRPr="003A591C">
        <w:rPr>
          <w:snapToGrid w:val="0"/>
        </w:rPr>
        <w:t>Předmětem této smlouvy je</w:t>
      </w:r>
      <w:r w:rsidR="008F7B9D" w:rsidRPr="003A591C">
        <w:rPr>
          <w:snapToGrid w:val="0"/>
        </w:rPr>
        <w:t xml:space="preserve"> závazek </w:t>
      </w:r>
      <w:r w:rsidR="00DE3672" w:rsidRPr="003A591C">
        <w:rPr>
          <w:snapToGrid w:val="0"/>
        </w:rPr>
        <w:t>poskytovatele</w:t>
      </w:r>
      <w:r w:rsidRPr="003A591C">
        <w:rPr>
          <w:snapToGrid w:val="0"/>
        </w:rPr>
        <w:t xml:space="preserve"> </w:t>
      </w:r>
      <w:r w:rsidR="008F7B9D" w:rsidRPr="003A591C">
        <w:rPr>
          <w:snapToGrid w:val="0"/>
        </w:rPr>
        <w:t xml:space="preserve">provést za podmínek stanovených v této smlouvě </w:t>
      </w:r>
      <w:r w:rsidR="004E1EF1" w:rsidRPr="003A591C">
        <w:rPr>
          <w:snapToGrid w:val="0"/>
        </w:rPr>
        <w:t>klinickou zkoušku</w:t>
      </w:r>
      <w:r w:rsidR="008F7B9D" w:rsidRPr="003A591C">
        <w:rPr>
          <w:snapToGrid w:val="0"/>
        </w:rPr>
        <w:t xml:space="preserve"> </w:t>
      </w:r>
      <w:r w:rsidR="00993769" w:rsidRPr="003A591C">
        <w:rPr>
          <w:snapToGrid w:val="0"/>
        </w:rPr>
        <w:t>zdravotnického prostředku</w:t>
      </w:r>
      <w:r w:rsidR="004E1EF1" w:rsidRPr="003A591C">
        <w:rPr>
          <w:snapToGrid w:val="0"/>
        </w:rPr>
        <w:t xml:space="preserve"> </w:t>
      </w:r>
      <w:r w:rsidR="00B14444">
        <w:rPr>
          <w:snapToGrid w:val="0"/>
        </w:rPr>
        <w:t xml:space="preserve">známého jako </w:t>
      </w:r>
      <w:proofErr w:type="spellStart"/>
      <w:r w:rsidR="00B14444">
        <w:rPr>
          <w:snapToGrid w:val="0"/>
        </w:rPr>
        <w:t>VytronUS</w:t>
      </w:r>
      <w:proofErr w:type="spellEnd"/>
      <w:r w:rsidR="00B14444">
        <w:rPr>
          <w:snapToGrid w:val="0"/>
        </w:rPr>
        <w:t xml:space="preserve"> Ablační Systém (</w:t>
      </w:r>
      <w:r w:rsidR="008F42E6">
        <w:rPr>
          <w:snapToGrid w:val="0"/>
        </w:rPr>
        <w:t>dále jen „zdravotnický prostředek“</w:t>
      </w:r>
      <w:r w:rsidR="00B14444">
        <w:rPr>
          <w:snapToGrid w:val="0"/>
        </w:rPr>
        <w:t xml:space="preserve">) </w:t>
      </w:r>
      <w:proofErr w:type="spellStart"/>
      <w:r w:rsidR="004E1EF1" w:rsidRPr="003A591C">
        <w:rPr>
          <w:snapToGrid w:val="0"/>
        </w:rPr>
        <w:t>podlezákona</w:t>
      </w:r>
      <w:proofErr w:type="spellEnd"/>
      <w:r w:rsidR="004E1EF1" w:rsidRPr="003A591C">
        <w:rPr>
          <w:snapToGrid w:val="0"/>
        </w:rPr>
        <w:t xml:space="preserve"> o</w:t>
      </w:r>
      <w:r w:rsidR="00630396">
        <w:rPr>
          <w:snapToGrid w:val="0"/>
        </w:rPr>
        <w:t> </w:t>
      </w:r>
      <w:r w:rsidR="004E1EF1" w:rsidRPr="003A591C">
        <w:rPr>
          <w:snapToGrid w:val="0"/>
        </w:rPr>
        <w:t>zdravotnických prostředcíc</w:t>
      </w:r>
      <w:r w:rsidR="00B14444">
        <w:rPr>
          <w:snapToGrid w:val="0"/>
        </w:rPr>
        <w:t>h</w:t>
      </w:r>
      <w:r w:rsidR="00F23CD6">
        <w:rPr>
          <w:snapToGrid w:val="0"/>
        </w:rPr>
        <w:t>;</w:t>
      </w:r>
      <w:r w:rsidR="00B14444">
        <w:rPr>
          <w:snapToGrid w:val="0"/>
        </w:rPr>
        <w:t xml:space="preserve"> </w:t>
      </w:r>
    </w:p>
    <w:p w14:paraId="2A77F516" w14:textId="751D1945" w:rsidR="004E1EF1" w:rsidRPr="008F42E6" w:rsidRDefault="008F42E6" w:rsidP="003A6999">
      <w:pPr>
        <w:pStyle w:val="Nadpis2"/>
        <w:numPr>
          <w:ilvl w:val="0"/>
          <w:numId w:val="0"/>
        </w:numPr>
        <w:ind w:left="567"/>
        <w:rPr>
          <w:snapToGrid w:val="0"/>
        </w:rPr>
      </w:pPr>
      <w:r>
        <w:rPr>
          <w:snapToGrid w:val="0"/>
        </w:rPr>
        <w:t>Klinick</w:t>
      </w:r>
      <w:r w:rsidR="00F23CD6">
        <w:rPr>
          <w:snapToGrid w:val="0"/>
        </w:rPr>
        <w:t>á</w:t>
      </w:r>
      <w:r>
        <w:rPr>
          <w:snapToGrid w:val="0"/>
        </w:rPr>
        <w:t xml:space="preserve"> zkouš</w:t>
      </w:r>
      <w:r w:rsidR="00F23CD6">
        <w:rPr>
          <w:snapToGrid w:val="0"/>
        </w:rPr>
        <w:t>ka</w:t>
      </w:r>
      <w:r>
        <w:rPr>
          <w:snapToGrid w:val="0"/>
        </w:rPr>
        <w:t xml:space="preserve"> ablačního systému </w:t>
      </w:r>
      <w:r w:rsidR="00B14444" w:rsidRPr="008F42E6">
        <w:rPr>
          <w:snapToGrid w:val="0"/>
        </w:rPr>
        <w:t xml:space="preserve"> </w:t>
      </w:r>
      <w:proofErr w:type="spellStart"/>
      <w:r w:rsidR="00B14444" w:rsidRPr="008F42E6">
        <w:rPr>
          <w:snapToGrid w:val="0"/>
        </w:rPr>
        <w:t>VytronUS</w:t>
      </w:r>
      <w:proofErr w:type="spellEnd"/>
      <w:r w:rsidR="00B14444" w:rsidRPr="008F42E6">
        <w:rPr>
          <w:snapToGrid w:val="0"/>
        </w:rPr>
        <w:t xml:space="preserve"> </w:t>
      </w:r>
      <w:r>
        <w:rPr>
          <w:snapToGrid w:val="0"/>
        </w:rPr>
        <w:t xml:space="preserve">určeného k léčbě paroxyzmální fibrilace </w:t>
      </w:r>
      <w:proofErr w:type="gramStart"/>
      <w:r>
        <w:rPr>
          <w:snapToGrid w:val="0"/>
        </w:rPr>
        <w:t xml:space="preserve">síní </w:t>
      </w:r>
      <w:r w:rsidR="00B14444" w:rsidRPr="008F42E6">
        <w:rPr>
          <w:snapToGrid w:val="0"/>
        </w:rPr>
        <w:t xml:space="preserve"> </w:t>
      </w:r>
      <w:r>
        <w:rPr>
          <w:snapToGrid w:val="0"/>
        </w:rPr>
        <w:t>(</w:t>
      </w:r>
      <w:r w:rsidR="009C2AC3">
        <w:rPr>
          <w:snapToGrid w:val="0"/>
        </w:rPr>
        <w:t>„</w:t>
      </w:r>
      <w:r w:rsidR="00B14444" w:rsidRPr="008F42E6">
        <w:rPr>
          <w:snapToGrid w:val="0"/>
        </w:rPr>
        <w:t>VALUE</w:t>
      </w:r>
      <w:proofErr w:type="gramEnd"/>
      <w:r>
        <w:rPr>
          <w:snapToGrid w:val="0"/>
        </w:rPr>
        <w:t>“</w:t>
      </w:r>
      <w:r w:rsidR="00B14444" w:rsidRPr="008F42E6">
        <w:rPr>
          <w:snapToGrid w:val="0"/>
        </w:rPr>
        <w:t>)</w:t>
      </w:r>
      <w:r w:rsidRPr="008F42E6">
        <w:rPr>
          <w:snapToGrid w:val="0"/>
        </w:rPr>
        <w:t xml:space="preserve"> </w:t>
      </w:r>
    </w:p>
    <w:p w14:paraId="57021526" w14:textId="560CAE65" w:rsidR="008F7B9D" w:rsidRPr="003A591C" w:rsidRDefault="008B4145" w:rsidP="00B56CD3">
      <w:pPr>
        <w:pStyle w:val="odsaz10blok"/>
      </w:pPr>
      <w:r w:rsidRPr="003A591C">
        <w:t xml:space="preserve"> (dále</w:t>
      </w:r>
      <w:r w:rsidR="00993769" w:rsidRPr="003A591C">
        <w:t xml:space="preserve"> </w:t>
      </w:r>
      <w:r w:rsidR="008F7B9D" w:rsidRPr="003A591C">
        <w:t>jen „</w:t>
      </w:r>
      <w:r w:rsidR="008F7B9D" w:rsidRPr="004448DA">
        <w:rPr>
          <w:rStyle w:val="Siln"/>
        </w:rPr>
        <w:t xml:space="preserve">klinické </w:t>
      </w:r>
      <w:r w:rsidR="00993769" w:rsidRPr="004448DA">
        <w:rPr>
          <w:rStyle w:val="Siln"/>
        </w:rPr>
        <w:t>zkoušení</w:t>
      </w:r>
      <w:r w:rsidR="008F7B9D" w:rsidRPr="003A591C">
        <w:t>“)</w:t>
      </w:r>
      <w:r w:rsidR="009C2AC3">
        <w:t xml:space="preserve"> a </w:t>
      </w:r>
      <w:r w:rsidR="00587C44" w:rsidRPr="003A591C">
        <w:t xml:space="preserve">závazek </w:t>
      </w:r>
      <w:r w:rsidR="00DE3672" w:rsidRPr="003A591C">
        <w:t>poskytovatele</w:t>
      </w:r>
      <w:r w:rsidR="00587C44" w:rsidRPr="003A591C">
        <w:t xml:space="preserve"> poskytnout </w:t>
      </w:r>
      <w:r w:rsidR="008F7B9D" w:rsidRPr="003A591C">
        <w:t xml:space="preserve">další v této </w:t>
      </w:r>
      <w:r w:rsidR="00587C44" w:rsidRPr="003A591C">
        <w:t xml:space="preserve">smlouvě dohodnuté služby, závazek zadavatele za tyto činnosti </w:t>
      </w:r>
      <w:r w:rsidR="00DE3672" w:rsidRPr="003A591C">
        <w:t>poskytovateli</w:t>
      </w:r>
      <w:r w:rsidR="00587C44" w:rsidRPr="003A591C">
        <w:t xml:space="preserve"> zaplatit dohodnutou odměnu a související práva a povinnosti smluvních stran.</w:t>
      </w:r>
      <w:r w:rsidR="008F7B9D" w:rsidRPr="003A591C">
        <w:t xml:space="preserve"> </w:t>
      </w:r>
    </w:p>
    <w:p w14:paraId="05F22993" w14:textId="77777777" w:rsidR="00304395" w:rsidRPr="003A591C" w:rsidRDefault="00304395" w:rsidP="00B56CD3">
      <w:pPr>
        <w:pStyle w:val="Nadpis2"/>
        <w:rPr>
          <w:snapToGrid w:val="0"/>
        </w:rPr>
      </w:pPr>
      <w:r w:rsidRPr="003A591C">
        <w:rPr>
          <w:snapToGrid w:val="0"/>
        </w:rPr>
        <w:t>Účelem</w:t>
      </w:r>
      <w:r w:rsidRPr="004448DA">
        <w:rPr>
          <w:rStyle w:val="Siln"/>
        </w:rPr>
        <w:t xml:space="preserve"> </w:t>
      </w:r>
      <w:r w:rsidRPr="003A591C">
        <w:rPr>
          <w:snapToGrid w:val="0"/>
        </w:rPr>
        <w:t xml:space="preserve">smlouvy je </w:t>
      </w:r>
      <w:r w:rsidR="00587C44" w:rsidRPr="003A591C">
        <w:rPr>
          <w:snapToGrid w:val="0"/>
        </w:rPr>
        <w:t xml:space="preserve">stanovit podmínky k provedení klinického </w:t>
      </w:r>
      <w:r w:rsidR="00B77D97" w:rsidRPr="003A591C">
        <w:rPr>
          <w:snapToGrid w:val="0"/>
        </w:rPr>
        <w:t>zkoušení</w:t>
      </w:r>
      <w:r w:rsidR="00587C44" w:rsidRPr="003A591C">
        <w:rPr>
          <w:snapToGrid w:val="0"/>
        </w:rPr>
        <w:t xml:space="preserve"> a vymezit práva a povinnosti smluvních stran</w:t>
      </w:r>
      <w:r w:rsidRPr="003A591C">
        <w:rPr>
          <w:snapToGrid w:val="0"/>
        </w:rPr>
        <w:t xml:space="preserve"> </w:t>
      </w:r>
      <w:r w:rsidR="00EA13A6" w:rsidRPr="003A591C">
        <w:rPr>
          <w:snapToGrid w:val="0"/>
        </w:rPr>
        <w:t xml:space="preserve">pro </w:t>
      </w:r>
      <w:r w:rsidR="00AD7E0A" w:rsidRPr="003A591C">
        <w:rPr>
          <w:snapToGrid w:val="0"/>
        </w:rPr>
        <w:t>průběh klinick</w:t>
      </w:r>
      <w:r w:rsidR="00993769" w:rsidRPr="003A591C">
        <w:rPr>
          <w:snapToGrid w:val="0"/>
        </w:rPr>
        <w:t>ého</w:t>
      </w:r>
      <w:r w:rsidR="00AD7E0A" w:rsidRPr="003A591C">
        <w:rPr>
          <w:snapToGrid w:val="0"/>
        </w:rPr>
        <w:t xml:space="preserve"> </w:t>
      </w:r>
      <w:r w:rsidR="00993769" w:rsidRPr="003A591C">
        <w:rPr>
          <w:snapToGrid w:val="0"/>
        </w:rPr>
        <w:t>zkoušení</w:t>
      </w:r>
      <w:r w:rsidR="00AD7E0A" w:rsidRPr="003A591C">
        <w:rPr>
          <w:snapToGrid w:val="0"/>
        </w:rPr>
        <w:t xml:space="preserve"> a zpracování jeho výstupů</w:t>
      </w:r>
      <w:r w:rsidRPr="003A591C">
        <w:t>.</w:t>
      </w:r>
    </w:p>
    <w:p w14:paraId="3631ACEB" w14:textId="77777777" w:rsidR="00587C44" w:rsidRPr="00BF2E4E" w:rsidRDefault="00587C44" w:rsidP="00BF2E4E">
      <w:pPr>
        <w:pStyle w:val="Nadpis1"/>
      </w:pPr>
      <w:r w:rsidRPr="00BF2E4E">
        <w:t xml:space="preserve">Povolení a souhlas k zahájení klinického </w:t>
      </w:r>
      <w:r w:rsidR="00B77D97" w:rsidRPr="00BF2E4E">
        <w:t>zkoušení</w:t>
      </w:r>
    </w:p>
    <w:p w14:paraId="2AC375E9" w14:textId="33EFFFD7" w:rsidR="00A80E54" w:rsidRPr="003A591C" w:rsidRDefault="00A80E54" w:rsidP="00B56CD3">
      <w:pPr>
        <w:pStyle w:val="Nadpis2"/>
        <w:rPr>
          <w:snapToGrid w:val="0"/>
        </w:rPr>
      </w:pPr>
      <w:r w:rsidRPr="003A591C">
        <w:rPr>
          <w:snapToGrid w:val="0"/>
        </w:rPr>
        <w:t xml:space="preserve">Klinické zkoušení </w:t>
      </w:r>
      <w:r w:rsidR="004F3EA0" w:rsidRPr="003A591C">
        <w:rPr>
          <w:snapToGrid w:val="0"/>
        </w:rPr>
        <w:t xml:space="preserve">může být </w:t>
      </w:r>
      <w:r w:rsidR="005025E8" w:rsidRPr="003A591C">
        <w:rPr>
          <w:snapToGrid w:val="0"/>
        </w:rPr>
        <w:t>zaháj</w:t>
      </w:r>
      <w:r w:rsidRPr="003A591C">
        <w:rPr>
          <w:snapToGrid w:val="0"/>
        </w:rPr>
        <w:t>eno</w:t>
      </w:r>
      <w:r w:rsidR="004F3EA0" w:rsidRPr="003A591C">
        <w:rPr>
          <w:snapToGrid w:val="0"/>
        </w:rPr>
        <w:t xml:space="preserve"> teprve</w:t>
      </w:r>
      <w:r w:rsidRPr="003A591C">
        <w:rPr>
          <w:snapToGrid w:val="0"/>
        </w:rPr>
        <w:t xml:space="preserve"> poté, co </w:t>
      </w:r>
      <w:r w:rsidR="00B13D62">
        <w:t>Státní ú</w:t>
      </w:r>
      <w:r w:rsidR="00B13D62" w:rsidRPr="003A591C">
        <w:t>stav pro kontrolu léčiv</w:t>
      </w:r>
      <w:r w:rsidR="00AA3206" w:rsidRPr="003A591C">
        <w:rPr>
          <w:snapToGrid w:val="0"/>
        </w:rPr>
        <w:t xml:space="preserve"> v souladu s </w:t>
      </w:r>
      <w:proofErr w:type="spellStart"/>
      <w:r w:rsidR="00AA3206" w:rsidRPr="003A591C">
        <w:rPr>
          <w:snapToGrid w:val="0"/>
        </w:rPr>
        <w:t>ust</w:t>
      </w:r>
      <w:proofErr w:type="spellEnd"/>
      <w:r w:rsidR="00AA3206" w:rsidRPr="003A591C">
        <w:rPr>
          <w:snapToGrid w:val="0"/>
        </w:rPr>
        <w:t xml:space="preserve">. </w:t>
      </w:r>
      <w:r w:rsidR="0075493E">
        <w:rPr>
          <w:snapToGrid w:val="0"/>
        </w:rPr>
        <w:t>§ 14</w:t>
      </w:r>
      <w:r w:rsidR="00E72560" w:rsidRPr="003A591C">
        <w:rPr>
          <w:snapToGrid w:val="0"/>
        </w:rPr>
        <w:t xml:space="preserve"> odst. </w:t>
      </w:r>
      <w:r w:rsidR="0075493E">
        <w:rPr>
          <w:snapToGrid w:val="0"/>
        </w:rPr>
        <w:t>2 písm. e)</w:t>
      </w:r>
      <w:r w:rsidR="00E72560" w:rsidRPr="003A591C">
        <w:rPr>
          <w:snapToGrid w:val="0"/>
        </w:rPr>
        <w:t xml:space="preserve"> </w:t>
      </w:r>
      <w:r w:rsidR="00AA3206" w:rsidRPr="003A591C">
        <w:rPr>
          <w:snapToGrid w:val="0"/>
        </w:rPr>
        <w:t xml:space="preserve">zákona o zdravotnických prostředcích ve lhůtě 60 dnů ode dne, kdy zadavatel o záměru provést klinické zkoušení písemně informoval </w:t>
      </w:r>
      <w:r w:rsidR="00B13D62">
        <w:t>Státní ú</w:t>
      </w:r>
      <w:r w:rsidR="00B13D62" w:rsidRPr="003A591C">
        <w:t>stav pro kontrolu léčiv</w:t>
      </w:r>
      <w:r w:rsidR="00424946">
        <w:rPr>
          <w:snapToGrid w:val="0"/>
        </w:rPr>
        <w:t>, nevydal</w:t>
      </w:r>
      <w:r w:rsidR="00AA3206" w:rsidRPr="003A591C">
        <w:rPr>
          <w:snapToGrid w:val="0"/>
        </w:rPr>
        <w:t xml:space="preserve"> </w:t>
      </w:r>
      <w:r w:rsidR="00D85A14" w:rsidRPr="003A591C">
        <w:rPr>
          <w:snapToGrid w:val="0"/>
        </w:rPr>
        <w:t>nesouhlasné stanovisko</w:t>
      </w:r>
      <w:r w:rsidR="004F3EA0" w:rsidRPr="003A591C">
        <w:rPr>
          <w:snapToGrid w:val="0"/>
        </w:rPr>
        <w:t xml:space="preserve"> ke klinickému zkoušení podle této smlouvy</w:t>
      </w:r>
      <w:r w:rsidR="00AA3206" w:rsidRPr="003A591C">
        <w:rPr>
          <w:snapToGrid w:val="0"/>
        </w:rPr>
        <w:t>.</w:t>
      </w:r>
      <w:r w:rsidR="009C2AC3">
        <w:rPr>
          <w:snapToGrid w:val="0"/>
        </w:rPr>
        <w:t xml:space="preserve"> </w:t>
      </w:r>
    </w:p>
    <w:p w14:paraId="278F2A83" w14:textId="02B7E47A" w:rsidR="00FF40C5" w:rsidRPr="003A591C" w:rsidRDefault="00FF40C5" w:rsidP="00B56CD3">
      <w:pPr>
        <w:pStyle w:val="Nadpis2"/>
        <w:rPr>
          <w:snapToGrid w:val="0"/>
        </w:rPr>
      </w:pPr>
      <w:r w:rsidRPr="003A591C">
        <w:rPr>
          <w:snapToGrid w:val="0"/>
        </w:rPr>
        <w:t xml:space="preserve">Klinické </w:t>
      </w:r>
      <w:r w:rsidR="00B77D97" w:rsidRPr="003A591C">
        <w:rPr>
          <w:snapToGrid w:val="0"/>
        </w:rPr>
        <w:t>zkoušení</w:t>
      </w:r>
      <w:r w:rsidRPr="003A591C">
        <w:rPr>
          <w:snapToGrid w:val="0"/>
        </w:rPr>
        <w:t xml:space="preserve"> bude provedeno na základě souhlasu etické komise </w:t>
      </w:r>
      <w:r w:rsidR="00DE3672" w:rsidRPr="003A591C">
        <w:rPr>
          <w:snapToGrid w:val="0"/>
        </w:rPr>
        <w:t>poskytovatele</w:t>
      </w:r>
      <w:r w:rsidRPr="003A591C">
        <w:rPr>
          <w:snapToGrid w:val="0"/>
        </w:rPr>
        <w:t xml:space="preserve">, vydaného dne </w:t>
      </w:r>
      <w:r w:rsidR="004643AD">
        <w:rPr>
          <w:snapToGrid w:val="0"/>
        </w:rPr>
        <w:t>2.9.2015</w:t>
      </w:r>
      <w:r w:rsidRPr="003A591C">
        <w:rPr>
          <w:snapToGrid w:val="0"/>
        </w:rPr>
        <w:t xml:space="preserve">pod č. j. </w:t>
      </w:r>
      <w:r w:rsidR="004643AD">
        <w:rPr>
          <w:snapToGrid w:val="0"/>
        </w:rPr>
        <w:t>2.9.2015/18</w:t>
      </w:r>
    </w:p>
    <w:p w14:paraId="3A5EA647" w14:textId="38C6FD49" w:rsidR="00991600" w:rsidRPr="003A591C" w:rsidRDefault="00481646" w:rsidP="00B56CD3">
      <w:pPr>
        <w:pStyle w:val="Nadpis2"/>
        <w:rPr>
          <w:snapToGrid w:val="0"/>
        </w:rPr>
      </w:pPr>
      <w:r>
        <w:rPr>
          <w:snapToGrid w:val="0"/>
        </w:rPr>
        <w:t>Žádost o povolení</w:t>
      </w:r>
      <w:r w:rsidR="007C643F" w:rsidRPr="003A591C">
        <w:rPr>
          <w:snapToGrid w:val="0"/>
        </w:rPr>
        <w:t xml:space="preserve"> klinické zkoušky </w:t>
      </w:r>
      <w:r w:rsidR="00BC3F44">
        <w:rPr>
          <w:snapToGrid w:val="0"/>
        </w:rPr>
        <w:t xml:space="preserve">vůči </w:t>
      </w:r>
      <w:r w:rsidR="00B13D62">
        <w:t>Státnímu ú</w:t>
      </w:r>
      <w:r w:rsidR="00B13D62" w:rsidRPr="003A591C">
        <w:t>stav</w:t>
      </w:r>
      <w:r w:rsidR="00B13D62">
        <w:t>u</w:t>
      </w:r>
      <w:r w:rsidR="00B13D62" w:rsidRPr="003A591C">
        <w:t xml:space="preserve"> pro kontrolu léčiv</w:t>
      </w:r>
      <w:r w:rsidR="00B13D62" w:rsidRPr="003A591C">
        <w:rPr>
          <w:snapToGrid w:val="0"/>
        </w:rPr>
        <w:t xml:space="preserve"> </w:t>
      </w:r>
      <w:r>
        <w:rPr>
          <w:snapToGrid w:val="0"/>
        </w:rPr>
        <w:t xml:space="preserve">a oznámení záměru provést klinickou zkoušku vůči etické komisi </w:t>
      </w:r>
      <w:r w:rsidR="00991600" w:rsidRPr="003A591C">
        <w:rPr>
          <w:snapToGrid w:val="0"/>
        </w:rPr>
        <w:t>podává zadavatel</w:t>
      </w:r>
      <w:r w:rsidR="0068713B" w:rsidRPr="003A591C">
        <w:rPr>
          <w:snapToGrid w:val="0"/>
        </w:rPr>
        <w:t xml:space="preserve">. </w:t>
      </w:r>
      <w:r w:rsidR="00BC3F44" w:rsidRPr="003A591C">
        <w:rPr>
          <w:snapToGrid w:val="0"/>
        </w:rPr>
        <w:t>Zadavatel</w:t>
      </w:r>
      <w:r w:rsidR="00BC3F44">
        <w:rPr>
          <w:snapToGrid w:val="0"/>
        </w:rPr>
        <w:t xml:space="preserve"> a</w:t>
      </w:r>
      <w:r w:rsidR="00630396">
        <w:rPr>
          <w:snapToGrid w:val="0"/>
        </w:rPr>
        <w:t> </w:t>
      </w:r>
      <w:r w:rsidR="00BC3F44">
        <w:rPr>
          <w:snapToGrid w:val="0"/>
        </w:rPr>
        <w:t>zkoušející</w:t>
      </w:r>
      <w:r w:rsidR="00BC3F44" w:rsidRPr="003A591C">
        <w:rPr>
          <w:snapToGrid w:val="0"/>
        </w:rPr>
        <w:t xml:space="preserve"> jedn</w:t>
      </w:r>
      <w:r w:rsidR="00BC3F44">
        <w:rPr>
          <w:snapToGrid w:val="0"/>
        </w:rPr>
        <w:t>ají ve vzájemné součinnosti</w:t>
      </w:r>
      <w:r w:rsidR="00BC3F44" w:rsidRPr="003A591C">
        <w:rPr>
          <w:snapToGrid w:val="0"/>
        </w:rPr>
        <w:t xml:space="preserve"> s etickou komisí</w:t>
      </w:r>
      <w:r w:rsidR="0068713B" w:rsidRPr="003A591C">
        <w:rPr>
          <w:snapToGrid w:val="0"/>
        </w:rPr>
        <w:t>.</w:t>
      </w:r>
      <w:r w:rsidR="00831247" w:rsidRPr="003A591C">
        <w:rPr>
          <w:snapToGrid w:val="0"/>
        </w:rPr>
        <w:t xml:space="preserve"> </w:t>
      </w:r>
      <w:r>
        <w:t xml:space="preserve">Zadavatel rovněž </w:t>
      </w:r>
      <w:r w:rsidR="0018320C" w:rsidRPr="003A591C">
        <w:t>p</w:t>
      </w:r>
      <w:r w:rsidR="00CF3697" w:rsidRPr="003A591C">
        <w:t>říslušnou etickou komisi</w:t>
      </w:r>
      <w:r w:rsidR="0018320C" w:rsidRPr="003A591C">
        <w:t xml:space="preserve"> </w:t>
      </w:r>
      <w:r>
        <w:t xml:space="preserve">žádá </w:t>
      </w:r>
      <w:r w:rsidR="0018320C" w:rsidRPr="003A591C">
        <w:t xml:space="preserve">o </w:t>
      </w:r>
      <w:r>
        <w:t xml:space="preserve">případný </w:t>
      </w:r>
      <w:r w:rsidR="0018320C" w:rsidRPr="003A591C">
        <w:t xml:space="preserve">písemný souhlas se změnami podmínek </w:t>
      </w:r>
      <w:r w:rsidR="00E9493E">
        <w:t xml:space="preserve">uvedených v kterémkoli dokumentu </w:t>
      </w:r>
      <w:r w:rsidR="0018320C" w:rsidRPr="003A591C">
        <w:t>klinických zkoušek a před</w:t>
      </w:r>
      <w:r>
        <w:t>k</w:t>
      </w:r>
      <w:r w:rsidR="0018320C" w:rsidRPr="003A591C">
        <w:t>l</w:t>
      </w:r>
      <w:r>
        <w:t>ádá</w:t>
      </w:r>
      <w:r w:rsidR="0018320C" w:rsidRPr="003A591C">
        <w:t xml:space="preserve"> </w:t>
      </w:r>
      <w:r w:rsidR="00CF3697" w:rsidRPr="003A591C">
        <w:t xml:space="preserve">jí </w:t>
      </w:r>
      <w:r w:rsidR="0018320C" w:rsidRPr="003A591C">
        <w:t xml:space="preserve">návrh na změny v dokumentaci v případě, že je třeba změnit podmínky </w:t>
      </w:r>
      <w:r w:rsidR="00E9493E">
        <w:t xml:space="preserve">kteréhokoli z dokumentů </w:t>
      </w:r>
      <w:r w:rsidR="0018320C" w:rsidRPr="003A591C">
        <w:t xml:space="preserve">klinických zkoušek </w:t>
      </w:r>
      <w:r w:rsidR="00CF3697" w:rsidRPr="003A591C">
        <w:t xml:space="preserve">etickou komisí </w:t>
      </w:r>
      <w:r w:rsidR="0018320C" w:rsidRPr="003A591C">
        <w:t>již schválených</w:t>
      </w:r>
      <w:r w:rsidR="007C643F" w:rsidRPr="003A591C">
        <w:t>.</w:t>
      </w:r>
    </w:p>
    <w:p w14:paraId="5C1DBE98" w14:textId="77777777" w:rsidR="001D2EC4" w:rsidRPr="00BF2E4E" w:rsidRDefault="005F4241" w:rsidP="00BF2E4E">
      <w:pPr>
        <w:pStyle w:val="Nadpis1"/>
      </w:pPr>
      <w:r w:rsidRPr="00BF2E4E">
        <w:lastRenderedPageBreak/>
        <w:t xml:space="preserve">Základní podmínky provedení klinického </w:t>
      </w:r>
      <w:r w:rsidR="00B77D97" w:rsidRPr="00BF2E4E">
        <w:t>zkoušení</w:t>
      </w:r>
    </w:p>
    <w:p w14:paraId="7C25AE06" w14:textId="710DE4D6" w:rsidR="007E2B5F" w:rsidRPr="003A591C" w:rsidRDefault="00022DEF" w:rsidP="008D0F7F">
      <w:pPr>
        <w:pStyle w:val="Nadpis2"/>
        <w:rPr>
          <w:snapToGrid w:val="0"/>
        </w:rPr>
      </w:pPr>
      <w:r w:rsidRPr="003A591C">
        <w:rPr>
          <w:snapToGrid w:val="0"/>
        </w:rPr>
        <w:t xml:space="preserve">Klinické </w:t>
      </w:r>
      <w:r w:rsidR="00B77D97" w:rsidRPr="003A591C">
        <w:rPr>
          <w:snapToGrid w:val="0"/>
        </w:rPr>
        <w:t>zkoušení</w:t>
      </w:r>
      <w:r w:rsidRPr="003A591C">
        <w:rPr>
          <w:snapToGrid w:val="0"/>
        </w:rPr>
        <w:t xml:space="preserve"> bude provedeno na </w:t>
      </w:r>
      <w:r w:rsidR="001C1928">
        <w:rPr>
          <w:snapToGrid w:val="0"/>
        </w:rPr>
        <w:t>kardiologickém</w:t>
      </w:r>
      <w:r w:rsidR="001C1928" w:rsidRPr="003A591C">
        <w:rPr>
          <w:snapToGrid w:val="0"/>
        </w:rPr>
        <w:t xml:space="preserve"> </w:t>
      </w:r>
      <w:r w:rsidRPr="003A591C">
        <w:rPr>
          <w:snapToGrid w:val="0"/>
        </w:rPr>
        <w:t xml:space="preserve">oddělení </w:t>
      </w:r>
      <w:r w:rsidR="00DE3672" w:rsidRPr="003A591C">
        <w:rPr>
          <w:snapToGrid w:val="0"/>
        </w:rPr>
        <w:t>poskytovatele</w:t>
      </w:r>
      <w:r w:rsidRPr="003A591C">
        <w:rPr>
          <w:snapToGrid w:val="0"/>
        </w:rPr>
        <w:t xml:space="preserve"> pod vedením </w:t>
      </w:r>
      <w:r w:rsidR="00907A23" w:rsidRPr="003A591C">
        <w:rPr>
          <w:snapToGrid w:val="0"/>
        </w:rPr>
        <w:t>z</w:t>
      </w:r>
      <w:r w:rsidR="001D5C98" w:rsidRPr="003A591C">
        <w:rPr>
          <w:snapToGrid w:val="0"/>
        </w:rPr>
        <w:t>koušející</w:t>
      </w:r>
      <w:r w:rsidRPr="003A591C">
        <w:rPr>
          <w:snapToGrid w:val="0"/>
        </w:rPr>
        <w:t>ho</w:t>
      </w:r>
      <w:r w:rsidR="004F3EA0" w:rsidRPr="003A591C">
        <w:rPr>
          <w:snapToGrid w:val="0"/>
        </w:rPr>
        <w:t>.</w:t>
      </w:r>
      <w:r w:rsidRPr="003A591C">
        <w:rPr>
          <w:snapToGrid w:val="0"/>
        </w:rPr>
        <w:t xml:space="preserve"> </w:t>
      </w:r>
      <w:r w:rsidR="001D5C98" w:rsidRPr="003A591C">
        <w:rPr>
          <w:snapToGrid w:val="0"/>
        </w:rPr>
        <w:t>Zkoušející</w:t>
      </w:r>
      <w:r w:rsidR="00924B30" w:rsidRPr="003A591C">
        <w:rPr>
          <w:snapToGrid w:val="0"/>
        </w:rPr>
        <w:t xml:space="preserve"> </w:t>
      </w:r>
      <w:r w:rsidR="001C1928">
        <w:rPr>
          <w:snapToGrid w:val="0"/>
        </w:rPr>
        <w:t>a</w:t>
      </w:r>
      <w:r w:rsidR="00924B30" w:rsidRPr="003A591C">
        <w:rPr>
          <w:snapToGrid w:val="0"/>
        </w:rPr>
        <w:t xml:space="preserve"> další </w:t>
      </w:r>
      <w:r w:rsidR="00B123FC" w:rsidRPr="003A591C">
        <w:rPr>
          <w:snapToGrid w:val="0"/>
        </w:rPr>
        <w:t xml:space="preserve">osoby zúčastněné na klinickém </w:t>
      </w:r>
      <w:r w:rsidR="00924B30" w:rsidRPr="003A591C">
        <w:rPr>
          <w:snapToGrid w:val="0"/>
        </w:rPr>
        <w:t>zkouše</w:t>
      </w:r>
      <w:r w:rsidR="001D5C98" w:rsidRPr="003A591C">
        <w:rPr>
          <w:snapToGrid w:val="0"/>
        </w:rPr>
        <w:t>n</w:t>
      </w:r>
      <w:r w:rsidR="00924B30" w:rsidRPr="003A591C">
        <w:rPr>
          <w:snapToGrid w:val="0"/>
        </w:rPr>
        <w:t>í</w:t>
      </w:r>
      <w:r w:rsidR="00A92000" w:rsidRPr="003A591C">
        <w:rPr>
          <w:snapToGrid w:val="0"/>
        </w:rPr>
        <w:t xml:space="preserve"> </w:t>
      </w:r>
      <w:r w:rsidR="001C1928">
        <w:rPr>
          <w:snapToGrid w:val="0"/>
        </w:rPr>
        <w:t xml:space="preserve">pod dohledem zkoušejícího </w:t>
      </w:r>
      <w:r w:rsidR="00A92000" w:rsidRPr="003A591C">
        <w:rPr>
          <w:snapToGrid w:val="0"/>
        </w:rPr>
        <w:t>(dále jen „</w:t>
      </w:r>
      <w:r w:rsidR="00A92000" w:rsidRPr="004448DA">
        <w:rPr>
          <w:rStyle w:val="Siln"/>
        </w:rPr>
        <w:t>osoba zúčastněná na klinickém zkoušení</w:t>
      </w:r>
      <w:r w:rsidR="00A92000" w:rsidRPr="003A591C">
        <w:rPr>
          <w:snapToGrid w:val="0"/>
        </w:rPr>
        <w:t>“)</w:t>
      </w:r>
      <w:r w:rsidRPr="003A591C">
        <w:rPr>
          <w:snapToGrid w:val="0"/>
        </w:rPr>
        <w:t xml:space="preserve"> </w:t>
      </w:r>
      <w:r w:rsidR="000A4F6E" w:rsidRPr="003A591C">
        <w:rPr>
          <w:snapToGrid w:val="0"/>
        </w:rPr>
        <w:t xml:space="preserve">jsou zaměstnanci </w:t>
      </w:r>
      <w:r w:rsidR="00DE3672" w:rsidRPr="003A591C">
        <w:rPr>
          <w:snapToGrid w:val="0"/>
        </w:rPr>
        <w:t>poskytovatele</w:t>
      </w:r>
      <w:r w:rsidR="000A4F6E" w:rsidRPr="003A591C">
        <w:rPr>
          <w:snapToGrid w:val="0"/>
        </w:rPr>
        <w:t xml:space="preserve"> a za splnění povinností uložených jim touto smlouvou a obecně závaznými předpisy odpovídá </w:t>
      </w:r>
      <w:r w:rsidR="001B416E" w:rsidRPr="003A591C">
        <w:rPr>
          <w:snapToGrid w:val="0"/>
        </w:rPr>
        <w:t>poskytovatel</w:t>
      </w:r>
      <w:r w:rsidR="000A4F6E" w:rsidRPr="003A591C">
        <w:rPr>
          <w:snapToGrid w:val="0"/>
        </w:rPr>
        <w:t xml:space="preserve"> jako jejich zaměstnavatel. Pracovněprávní odpo</w:t>
      </w:r>
      <w:r w:rsidR="00DE3672" w:rsidRPr="003A591C">
        <w:rPr>
          <w:snapToGrid w:val="0"/>
        </w:rPr>
        <w:t>vědnost těchto osob ve vztahu k poskytovateli</w:t>
      </w:r>
      <w:r w:rsidR="000A4F6E" w:rsidRPr="003A591C">
        <w:rPr>
          <w:snapToGrid w:val="0"/>
        </w:rPr>
        <w:t xml:space="preserve"> není tímto ustanovením dotčena. </w:t>
      </w:r>
    </w:p>
    <w:p w14:paraId="4C921018" w14:textId="44EFA100" w:rsidR="00022DEF" w:rsidRPr="003A591C" w:rsidRDefault="000A4F6E" w:rsidP="008D0F7F">
      <w:pPr>
        <w:pStyle w:val="Nadpis2"/>
        <w:rPr>
          <w:snapToGrid w:val="0"/>
        </w:rPr>
      </w:pPr>
      <w:r w:rsidRPr="003A591C">
        <w:rPr>
          <w:snapToGrid w:val="0"/>
        </w:rPr>
        <w:t xml:space="preserve">Klinické </w:t>
      </w:r>
      <w:r w:rsidR="00B77D97" w:rsidRPr="003A591C">
        <w:rPr>
          <w:snapToGrid w:val="0"/>
        </w:rPr>
        <w:t>zkoušení</w:t>
      </w:r>
      <w:r w:rsidRPr="003A591C">
        <w:rPr>
          <w:snapToGrid w:val="0"/>
        </w:rPr>
        <w:t xml:space="preserve"> bude provedeno v souladu s podmínkami a pravidly stanovenými:</w:t>
      </w:r>
    </w:p>
    <w:p w14:paraId="1A80428F" w14:textId="1AC19D82" w:rsidR="00483869" w:rsidRPr="003A591C" w:rsidRDefault="00483869" w:rsidP="008D0F7F">
      <w:pPr>
        <w:pStyle w:val="Nadpis3"/>
        <w:rPr>
          <w:snapToGrid w:val="0"/>
        </w:rPr>
      </w:pPr>
      <w:r w:rsidRPr="003A591C">
        <w:rPr>
          <w:snapToGrid w:val="0"/>
        </w:rPr>
        <w:t xml:space="preserve">ve stanovisku etické komise </w:t>
      </w:r>
      <w:r w:rsidR="00DE3672" w:rsidRPr="003A591C">
        <w:rPr>
          <w:snapToGrid w:val="0"/>
        </w:rPr>
        <w:t>poskytovatele</w:t>
      </w:r>
      <w:r w:rsidRPr="003A591C">
        <w:rPr>
          <w:snapToGrid w:val="0"/>
        </w:rPr>
        <w:t>,</w:t>
      </w:r>
    </w:p>
    <w:p w14:paraId="4586399F" w14:textId="4D57DAF7" w:rsidR="00FD2D87" w:rsidRPr="003A591C" w:rsidRDefault="00FD2D87" w:rsidP="008D0F7F">
      <w:pPr>
        <w:pStyle w:val="Nadpis3"/>
        <w:rPr>
          <w:snapToGrid w:val="0"/>
        </w:rPr>
      </w:pPr>
      <w:r w:rsidRPr="003A591C">
        <w:rPr>
          <w:snapToGrid w:val="0"/>
        </w:rPr>
        <w:t>v plánu klinických z</w:t>
      </w:r>
      <w:r w:rsidR="008C39F0">
        <w:rPr>
          <w:snapToGrid w:val="0"/>
        </w:rPr>
        <w:t>koušek,</w:t>
      </w:r>
      <w:r w:rsidRPr="003A591C">
        <w:rPr>
          <w:snapToGrid w:val="0"/>
        </w:rPr>
        <w:t xml:space="preserve"> (dále jen „</w:t>
      </w:r>
      <w:r w:rsidR="00FC775B">
        <w:rPr>
          <w:rStyle w:val="Siln"/>
        </w:rPr>
        <w:t>p</w:t>
      </w:r>
      <w:r w:rsidRPr="004448DA">
        <w:rPr>
          <w:rStyle w:val="Siln"/>
        </w:rPr>
        <w:t>lán</w:t>
      </w:r>
      <w:r w:rsidRPr="003A591C">
        <w:rPr>
          <w:snapToGrid w:val="0"/>
        </w:rPr>
        <w:t>“); změny v </w:t>
      </w:r>
      <w:r w:rsidR="00FC775B">
        <w:rPr>
          <w:snapToGrid w:val="0"/>
        </w:rPr>
        <w:t>p</w:t>
      </w:r>
      <w:r w:rsidRPr="003A591C">
        <w:rPr>
          <w:snapToGrid w:val="0"/>
        </w:rPr>
        <w:t>lánu lze provést p</w:t>
      </w:r>
      <w:r w:rsidR="009653DA" w:rsidRPr="003A591C">
        <w:rPr>
          <w:snapToGrid w:val="0"/>
        </w:rPr>
        <w:t>ouze</w:t>
      </w:r>
      <w:r w:rsidR="00885DB9" w:rsidRPr="003A591C">
        <w:rPr>
          <w:snapToGrid w:val="0"/>
        </w:rPr>
        <w:t xml:space="preserve"> postupem</w:t>
      </w:r>
      <w:r w:rsidR="009653DA" w:rsidRPr="003A591C">
        <w:rPr>
          <w:snapToGrid w:val="0"/>
        </w:rPr>
        <w:t xml:space="preserve"> </w:t>
      </w:r>
      <w:r w:rsidR="00D2388C">
        <w:rPr>
          <w:snapToGrid w:val="0"/>
        </w:rPr>
        <w:t>v souladu s § 15</w:t>
      </w:r>
      <w:r w:rsidR="00CA0B75" w:rsidRPr="003A591C">
        <w:rPr>
          <w:snapToGrid w:val="0"/>
        </w:rPr>
        <w:t xml:space="preserve"> odst.</w:t>
      </w:r>
      <w:r w:rsidR="00630396">
        <w:rPr>
          <w:snapToGrid w:val="0"/>
        </w:rPr>
        <w:t> </w:t>
      </w:r>
      <w:r w:rsidR="00D2388C">
        <w:rPr>
          <w:snapToGrid w:val="0"/>
        </w:rPr>
        <w:t>4</w:t>
      </w:r>
      <w:r w:rsidR="00CA0B75" w:rsidRPr="003A591C">
        <w:rPr>
          <w:snapToGrid w:val="0"/>
        </w:rPr>
        <w:t xml:space="preserve"> </w:t>
      </w:r>
      <w:r w:rsidR="00885DB9" w:rsidRPr="003A591C">
        <w:rPr>
          <w:snapToGrid w:val="0"/>
        </w:rPr>
        <w:t>zákona č. </w:t>
      </w:r>
      <w:r w:rsidR="00D2388C">
        <w:rPr>
          <w:snapToGrid w:val="0"/>
        </w:rPr>
        <w:t>268/2014</w:t>
      </w:r>
      <w:r w:rsidR="00CC1846" w:rsidRPr="003A591C">
        <w:rPr>
          <w:snapToGrid w:val="0"/>
        </w:rPr>
        <w:t xml:space="preserve"> Sb., o zdravotnických prostředcích;</w:t>
      </w:r>
    </w:p>
    <w:p w14:paraId="495D6227" w14:textId="07839714" w:rsidR="000A4F6E" w:rsidRPr="003A591C" w:rsidRDefault="00CC1846" w:rsidP="008D0F7F">
      <w:pPr>
        <w:pStyle w:val="Nadpis3"/>
        <w:rPr>
          <w:snapToGrid w:val="0"/>
        </w:rPr>
      </w:pPr>
      <w:r w:rsidRPr="003A591C">
        <w:rPr>
          <w:snapToGrid w:val="0"/>
        </w:rPr>
        <w:t xml:space="preserve">v </w:t>
      </w:r>
      <w:r w:rsidR="00BE1EB7" w:rsidRPr="003A591C">
        <w:rPr>
          <w:snapToGrid w:val="0"/>
        </w:rPr>
        <w:t>příruč</w:t>
      </w:r>
      <w:r w:rsidRPr="003A591C">
        <w:rPr>
          <w:snapToGrid w:val="0"/>
        </w:rPr>
        <w:t>ce</w:t>
      </w:r>
      <w:r w:rsidR="00BE1EB7" w:rsidRPr="003A591C">
        <w:rPr>
          <w:snapToGrid w:val="0"/>
        </w:rPr>
        <w:t xml:space="preserve"> </w:t>
      </w:r>
      <w:r w:rsidR="00907A23" w:rsidRPr="003A591C">
        <w:rPr>
          <w:snapToGrid w:val="0"/>
        </w:rPr>
        <w:t>z</w:t>
      </w:r>
      <w:r w:rsidR="001D5C98" w:rsidRPr="003A591C">
        <w:rPr>
          <w:snapToGrid w:val="0"/>
        </w:rPr>
        <w:t>koušející</w:t>
      </w:r>
      <w:r w:rsidR="00BE1EB7" w:rsidRPr="003A591C">
        <w:rPr>
          <w:snapToGrid w:val="0"/>
        </w:rPr>
        <w:t>ho</w:t>
      </w:r>
      <w:r w:rsidR="005F6716" w:rsidRPr="003A591C">
        <w:rPr>
          <w:snapToGrid w:val="0"/>
        </w:rPr>
        <w:t xml:space="preserve"> (dále jen „</w:t>
      </w:r>
      <w:r w:rsidR="005F6716" w:rsidRPr="004448DA">
        <w:rPr>
          <w:rStyle w:val="Siln"/>
        </w:rPr>
        <w:t xml:space="preserve">příručka </w:t>
      </w:r>
      <w:r w:rsidR="00907A23" w:rsidRPr="004448DA">
        <w:rPr>
          <w:rStyle w:val="Siln"/>
        </w:rPr>
        <w:t>z</w:t>
      </w:r>
      <w:r w:rsidR="001D5C98" w:rsidRPr="004448DA">
        <w:rPr>
          <w:rStyle w:val="Siln"/>
        </w:rPr>
        <w:t>koušející</w:t>
      </w:r>
      <w:r w:rsidR="005F6716" w:rsidRPr="004448DA">
        <w:rPr>
          <w:rStyle w:val="Siln"/>
        </w:rPr>
        <w:t>ho</w:t>
      </w:r>
      <w:r w:rsidR="005F6716" w:rsidRPr="003A591C">
        <w:rPr>
          <w:snapToGrid w:val="0"/>
        </w:rPr>
        <w:t>“),</w:t>
      </w:r>
    </w:p>
    <w:p w14:paraId="1E8B4065" w14:textId="2C9CF547" w:rsidR="00483869" w:rsidRPr="003A591C" w:rsidRDefault="00B123FC" w:rsidP="00591D8F">
      <w:pPr>
        <w:pStyle w:val="Nadpis3"/>
        <w:rPr>
          <w:snapToGrid w:val="0"/>
        </w:rPr>
      </w:pPr>
      <w:r w:rsidRPr="00844AC2">
        <w:rPr>
          <w:snapToGrid w:val="0"/>
        </w:rPr>
        <w:t xml:space="preserve">v obecně závazných právních přepisech, zejména </w:t>
      </w:r>
      <w:r w:rsidR="00AD64DC" w:rsidRPr="00844AC2">
        <w:rPr>
          <w:snapToGrid w:val="0"/>
        </w:rPr>
        <w:t xml:space="preserve">v </w:t>
      </w:r>
      <w:r w:rsidR="00483869" w:rsidRPr="00844AC2">
        <w:rPr>
          <w:snapToGrid w:val="0"/>
        </w:rPr>
        <w:t xml:space="preserve">zák. č. </w:t>
      </w:r>
      <w:r w:rsidR="0044227C" w:rsidRPr="00844AC2">
        <w:rPr>
          <w:snapToGrid w:val="0"/>
        </w:rPr>
        <w:t>268</w:t>
      </w:r>
      <w:r w:rsidR="00483869" w:rsidRPr="00844AC2">
        <w:rPr>
          <w:snapToGrid w:val="0"/>
        </w:rPr>
        <w:t>/20</w:t>
      </w:r>
      <w:r w:rsidR="0044227C" w:rsidRPr="00844AC2">
        <w:rPr>
          <w:snapToGrid w:val="0"/>
        </w:rPr>
        <w:t>14</w:t>
      </w:r>
      <w:r w:rsidR="00483869" w:rsidRPr="00844AC2">
        <w:rPr>
          <w:snapToGrid w:val="0"/>
        </w:rPr>
        <w:t>, o</w:t>
      </w:r>
      <w:r w:rsidR="00630396" w:rsidRPr="00844AC2">
        <w:rPr>
          <w:snapToGrid w:val="0"/>
        </w:rPr>
        <w:t> </w:t>
      </w:r>
      <w:r w:rsidR="0048668D" w:rsidRPr="00844AC2">
        <w:rPr>
          <w:snapToGrid w:val="0"/>
        </w:rPr>
        <w:t>zdravotnických prostředcích</w:t>
      </w:r>
      <w:r w:rsidR="00B37A65" w:rsidRPr="00844AC2">
        <w:rPr>
          <w:snapToGrid w:val="0"/>
        </w:rPr>
        <w:t xml:space="preserve"> a o změnách některých souvisejících zákonů</w:t>
      </w:r>
      <w:r w:rsidR="00483869" w:rsidRPr="00844AC2">
        <w:rPr>
          <w:snapToGrid w:val="0"/>
        </w:rPr>
        <w:t xml:space="preserve">, </w:t>
      </w:r>
      <w:r w:rsidR="00256DB9" w:rsidRPr="00844AC2">
        <w:rPr>
          <w:snapToGrid w:val="0"/>
        </w:rPr>
        <w:t>a jeho prováděcích předpisech,</w:t>
      </w:r>
    </w:p>
    <w:p w14:paraId="5F322E71" w14:textId="37951B0D" w:rsidR="0068713B" w:rsidRPr="00844AC2" w:rsidRDefault="0068713B" w:rsidP="00591D8F">
      <w:pPr>
        <w:pStyle w:val="Nadpis3"/>
        <w:rPr>
          <w:snapToGrid w:val="0"/>
        </w:rPr>
      </w:pPr>
      <w:r w:rsidRPr="00844AC2">
        <w:rPr>
          <w:snapToGrid w:val="0"/>
        </w:rPr>
        <w:t xml:space="preserve">v souladu s </w:t>
      </w:r>
      <w:r w:rsidR="00CC1846" w:rsidRPr="00844AC2">
        <w:rPr>
          <w:snapToGrid w:val="0"/>
        </w:rPr>
        <w:t>po</w:t>
      </w:r>
      <w:r w:rsidRPr="00844AC2">
        <w:rPr>
          <w:snapToGrid w:val="0"/>
        </w:rPr>
        <w:t>dmínkami vycházejícími z Helsinské deklarace.</w:t>
      </w:r>
    </w:p>
    <w:p w14:paraId="232C9765" w14:textId="77777777" w:rsidR="000A4F6E" w:rsidRPr="00BF2E4E" w:rsidRDefault="0068713B" w:rsidP="00BF2E4E">
      <w:pPr>
        <w:pStyle w:val="Nadpis1"/>
      </w:pPr>
      <w:r w:rsidRPr="00BF2E4E">
        <w:t xml:space="preserve">Subjekty klinického </w:t>
      </w:r>
      <w:r w:rsidR="00B77D97" w:rsidRPr="00BF2E4E">
        <w:t>zkoušení</w:t>
      </w:r>
      <w:r w:rsidRPr="00BF2E4E">
        <w:t xml:space="preserve"> a jejich souhlas </w:t>
      </w:r>
      <w:r w:rsidR="00687679" w:rsidRPr="00BF2E4E">
        <w:t xml:space="preserve">se zařazením do klinického </w:t>
      </w:r>
      <w:r w:rsidR="00B77D97" w:rsidRPr="00BF2E4E">
        <w:t>zkoušení</w:t>
      </w:r>
      <w:r w:rsidR="00890724" w:rsidRPr="00BF2E4E">
        <w:t xml:space="preserve">, ochrana osobních údajů subjektů </w:t>
      </w:r>
      <w:r w:rsidR="00B77D97" w:rsidRPr="00BF2E4E">
        <w:t>zkoušení</w:t>
      </w:r>
    </w:p>
    <w:p w14:paraId="00B8B837" w14:textId="04AE6A9A" w:rsidR="00890724" w:rsidRPr="003A591C" w:rsidRDefault="00687679" w:rsidP="0080485B">
      <w:pPr>
        <w:pStyle w:val="Nadpis2"/>
        <w:rPr>
          <w:snapToGrid w:val="0"/>
        </w:rPr>
      </w:pPr>
      <w:r w:rsidRPr="003A591C">
        <w:rPr>
          <w:snapToGrid w:val="0"/>
        </w:rPr>
        <w:t xml:space="preserve">Období pro zařazování subjektů </w:t>
      </w:r>
      <w:r w:rsidR="00B77D97" w:rsidRPr="003A591C">
        <w:rPr>
          <w:snapToGrid w:val="0"/>
        </w:rPr>
        <w:t>zkoušení</w:t>
      </w:r>
      <w:r w:rsidRPr="003A591C">
        <w:rPr>
          <w:snapToGrid w:val="0"/>
        </w:rPr>
        <w:t xml:space="preserve"> </w:t>
      </w:r>
      <w:r w:rsidR="00AD64DC" w:rsidRPr="003A591C">
        <w:rPr>
          <w:snapToGrid w:val="0"/>
        </w:rPr>
        <w:t xml:space="preserve">do klinického </w:t>
      </w:r>
      <w:r w:rsidR="00B77D97" w:rsidRPr="003A591C">
        <w:rPr>
          <w:snapToGrid w:val="0"/>
        </w:rPr>
        <w:t>zkoušení</w:t>
      </w:r>
      <w:r w:rsidR="00AD64DC" w:rsidRPr="003A591C">
        <w:rPr>
          <w:snapToGrid w:val="0"/>
        </w:rPr>
        <w:t xml:space="preserve"> je </w:t>
      </w:r>
      <w:r w:rsidR="00892363">
        <w:rPr>
          <w:snapToGrid w:val="0"/>
        </w:rPr>
        <w:t xml:space="preserve">plánováno na období </w:t>
      </w:r>
      <w:r w:rsidRPr="003A591C">
        <w:rPr>
          <w:snapToGrid w:val="0"/>
        </w:rPr>
        <w:t xml:space="preserve">od </w:t>
      </w:r>
      <w:r w:rsidR="004643AD">
        <w:rPr>
          <w:snapToGrid w:val="0"/>
        </w:rPr>
        <w:t>ledna</w:t>
      </w:r>
      <w:r w:rsidR="0001204A">
        <w:rPr>
          <w:snapToGrid w:val="0"/>
        </w:rPr>
        <w:t xml:space="preserve"> 201</w:t>
      </w:r>
      <w:r w:rsidR="004643AD">
        <w:rPr>
          <w:snapToGrid w:val="0"/>
        </w:rPr>
        <w:t>6</w:t>
      </w:r>
      <w:r w:rsidRPr="003A591C">
        <w:rPr>
          <w:snapToGrid w:val="0"/>
        </w:rPr>
        <w:t xml:space="preserve"> do </w:t>
      </w:r>
      <w:r w:rsidR="00591D8F">
        <w:rPr>
          <w:snapToGrid w:val="0"/>
        </w:rPr>
        <w:t>l</w:t>
      </w:r>
      <w:r w:rsidR="004643AD">
        <w:rPr>
          <w:snapToGrid w:val="0"/>
        </w:rPr>
        <w:t>edna</w:t>
      </w:r>
      <w:r w:rsidR="0001204A">
        <w:rPr>
          <w:snapToGrid w:val="0"/>
        </w:rPr>
        <w:t xml:space="preserve"> 201</w:t>
      </w:r>
      <w:r w:rsidR="004643AD">
        <w:rPr>
          <w:snapToGrid w:val="0"/>
        </w:rPr>
        <w:t>7</w:t>
      </w:r>
      <w:r w:rsidR="00591D8F">
        <w:rPr>
          <w:snapToGrid w:val="0"/>
        </w:rPr>
        <w:t>.</w:t>
      </w:r>
      <w:r w:rsidR="00C7639C" w:rsidRPr="003A591C">
        <w:rPr>
          <w:snapToGrid w:val="0"/>
        </w:rPr>
        <w:t xml:space="preserve"> Poslední zařazený subjekt ukončí klinické </w:t>
      </w:r>
      <w:r w:rsidR="00B77D97" w:rsidRPr="003A591C">
        <w:rPr>
          <w:snapToGrid w:val="0"/>
        </w:rPr>
        <w:t>zkoušení</w:t>
      </w:r>
      <w:r w:rsidR="00C7639C" w:rsidRPr="003A591C">
        <w:rPr>
          <w:snapToGrid w:val="0"/>
        </w:rPr>
        <w:t xml:space="preserve"> </w:t>
      </w:r>
      <w:r w:rsidR="0001204A">
        <w:rPr>
          <w:snapToGrid w:val="0"/>
        </w:rPr>
        <w:t>60 měsíců po zařazení.</w:t>
      </w:r>
    </w:p>
    <w:p w14:paraId="497FC423" w14:textId="20062AB1" w:rsidR="00687679" w:rsidRPr="003A591C" w:rsidRDefault="00C7639C" w:rsidP="0080485B">
      <w:pPr>
        <w:pStyle w:val="Nadpis2"/>
        <w:rPr>
          <w:snapToGrid w:val="0"/>
        </w:rPr>
      </w:pPr>
      <w:r w:rsidRPr="003A591C">
        <w:rPr>
          <w:snapToGrid w:val="0"/>
        </w:rPr>
        <w:t xml:space="preserve">Celkový předpokládaný počet subjektů </w:t>
      </w:r>
      <w:r w:rsidR="00B77D97" w:rsidRPr="003A591C">
        <w:rPr>
          <w:snapToGrid w:val="0"/>
        </w:rPr>
        <w:t>zkoušení</w:t>
      </w:r>
      <w:r w:rsidRPr="003A591C">
        <w:rPr>
          <w:snapToGrid w:val="0"/>
        </w:rPr>
        <w:t xml:space="preserve"> bude činit </w:t>
      </w:r>
      <w:r w:rsidR="0001204A">
        <w:rPr>
          <w:snapToGrid w:val="0"/>
        </w:rPr>
        <w:t>15</w:t>
      </w:r>
      <w:r w:rsidR="00591D8F">
        <w:rPr>
          <w:snapToGrid w:val="0"/>
        </w:rPr>
        <w:t xml:space="preserve"> osob</w:t>
      </w:r>
      <w:r w:rsidR="0001204A">
        <w:rPr>
          <w:snapToGrid w:val="0"/>
        </w:rPr>
        <w:t>.</w:t>
      </w:r>
    </w:p>
    <w:p w14:paraId="4594485C" w14:textId="4A64981B" w:rsidR="00BA3D31" w:rsidRPr="003A591C" w:rsidRDefault="00687679" w:rsidP="0080485B">
      <w:pPr>
        <w:pStyle w:val="Nadpis2"/>
        <w:rPr>
          <w:snapToGrid w:val="0"/>
        </w:rPr>
      </w:pPr>
      <w:r w:rsidRPr="003A591C">
        <w:rPr>
          <w:snapToGrid w:val="0"/>
        </w:rPr>
        <w:t xml:space="preserve">Zařazení subjektů </w:t>
      </w:r>
      <w:r w:rsidR="00B77D97" w:rsidRPr="003A591C">
        <w:rPr>
          <w:snapToGrid w:val="0"/>
        </w:rPr>
        <w:t>zkoušení</w:t>
      </w:r>
      <w:r w:rsidRPr="003A591C">
        <w:rPr>
          <w:snapToGrid w:val="0"/>
        </w:rPr>
        <w:t xml:space="preserve"> do klinického </w:t>
      </w:r>
      <w:r w:rsidR="00B77D97" w:rsidRPr="003A591C">
        <w:rPr>
          <w:snapToGrid w:val="0"/>
        </w:rPr>
        <w:t>zkoušení</w:t>
      </w:r>
      <w:r w:rsidRPr="003A591C">
        <w:rPr>
          <w:snapToGrid w:val="0"/>
        </w:rPr>
        <w:t xml:space="preserve"> bude možné jen s jejich písemným souhlasem (Informovaný souhlas) a po jejich řádném poučení. Vyžádání souhlasu od subjektů </w:t>
      </w:r>
      <w:r w:rsidR="00B77D97" w:rsidRPr="003A591C">
        <w:rPr>
          <w:snapToGrid w:val="0"/>
        </w:rPr>
        <w:t>zkoušení</w:t>
      </w:r>
      <w:r w:rsidRPr="003A591C">
        <w:rPr>
          <w:snapToGrid w:val="0"/>
        </w:rPr>
        <w:t xml:space="preserve"> musí být ve shodě s </w:t>
      </w:r>
      <w:r w:rsidR="0001204A">
        <w:rPr>
          <w:snapToGrid w:val="0"/>
        </w:rPr>
        <w:t xml:space="preserve">platnými </w:t>
      </w:r>
      <w:r w:rsidRPr="003A591C">
        <w:rPr>
          <w:snapToGrid w:val="0"/>
        </w:rPr>
        <w:t>p</w:t>
      </w:r>
      <w:r w:rsidR="00BA3D31" w:rsidRPr="003A591C">
        <w:rPr>
          <w:snapToGrid w:val="0"/>
        </w:rPr>
        <w:t>rávními předpisy a</w:t>
      </w:r>
      <w:r w:rsidRPr="003A591C">
        <w:rPr>
          <w:snapToGrid w:val="0"/>
        </w:rPr>
        <w:t xml:space="preserve"> etickými principy</w:t>
      </w:r>
      <w:r w:rsidR="00BA3D31" w:rsidRPr="003A591C">
        <w:rPr>
          <w:snapToGrid w:val="0"/>
        </w:rPr>
        <w:t>.</w:t>
      </w:r>
    </w:p>
    <w:p w14:paraId="64A8C7F6" w14:textId="77777777" w:rsidR="00687679" w:rsidRPr="003A591C" w:rsidRDefault="00687679" w:rsidP="00D622E9">
      <w:pPr>
        <w:pStyle w:val="odsaz10blok"/>
      </w:pPr>
      <w:r w:rsidRPr="003A591C">
        <w:t>K tomu:</w:t>
      </w:r>
    </w:p>
    <w:p w14:paraId="3A0C20B4" w14:textId="753A6C85" w:rsidR="00687679" w:rsidRPr="003A591C" w:rsidRDefault="00687679" w:rsidP="0080485B">
      <w:pPr>
        <w:pStyle w:val="Nadpis3"/>
      </w:pPr>
      <w:r w:rsidRPr="003A591C">
        <w:t xml:space="preserve">Zadavatel prohlašuje, že předal </w:t>
      </w:r>
      <w:r w:rsidR="00472D44" w:rsidRPr="003A591C">
        <w:t>z</w:t>
      </w:r>
      <w:r w:rsidR="001D5C98" w:rsidRPr="003A591C">
        <w:t>koušející</w:t>
      </w:r>
      <w:r w:rsidRPr="003A591C">
        <w:t xml:space="preserve">mu formulář informovaného souhlasu subjektu </w:t>
      </w:r>
      <w:r w:rsidR="00B77D97" w:rsidRPr="003A591C">
        <w:t>zkoušení</w:t>
      </w:r>
      <w:r w:rsidRPr="003A591C">
        <w:t xml:space="preserve"> se zařazením do klinického </w:t>
      </w:r>
      <w:r w:rsidR="00B77D97" w:rsidRPr="003A591C">
        <w:t>zkoušení</w:t>
      </w:r>
      <w:r w:rsidR="003459E8">
        <w:t>, jehož součástí je</w:t>
      </w:r>
      <w:r w:rsidRPr="003A591C">
        <w:t xml:space="preserve"> poučení pro subjekt </w:t>
      </w:r>
      <w:r w:rsidR="00B77D97" w:rsidRPr="003A591C">
        <w:t>zkoušení</w:t>
      </w:r>
      <w:r w:rsidRPr="003A591C">
        <w:t xml:space="preserve">. </w:t>
      </w:r>
    </w:p>
    <w:p w14:paraId="7E4F6849" w14:textId="77777777" w:rsidR="00687679" w:rsidRPr="003A591C" w:rsidRDefault="00687679" w:rsidP="0080485B">
      <w:pPr>
        <w:pStyle w:val="Nadpis3"/>
      </w:pPr>
      <w:r w:rsidRPr="003A591C">
        <w:t xml:space="preserve">V případě, že subjekt </w:t>
      </w:r>
      <w:r w:rsidR="00B77D97" w:rsidRPr="003A591C">
        <w:t>zkoušení</w:t>
      </w:r>
      <w:r w:rsidRPr="003A591C">
        <w:t xml:space="preserve"> souhlasí se zařazením do klinického </w:t>
      </w:r>
      <w:r w:rsidR="00B77D97" w:rsidRPr="003A591C">
        <w:t>zkoušení</w:t>
      </w:r>
      <w:r w:rsidRPr="003A591C">
        <w:t xml:space="preserve">, </w:t>
      </w:r>
      <w:r w:rsidR="00E01699" w:rsidRPr="003A591C">
        <w:t>zajistí od něj</w:t>
      </w:r>
      <w:r w:rsidRPr="003A591C">
        <w:t xml:space="preserve"> </w:t>
      </w:r>
      <w:r w:rsidR="003459E8">
        <w:t xml:space="preserve">(případně od jeho zákonného zástupce či opatrovníka) </w:t>
      </w:r>
      <w:r w:rsidR="00472D44" w:rsidRPr="003A591C">
        <w:t>z</w:t>
      </w:r>
      <w:r w:rsidR="001D5C98" w:rsidRPr="003A591C">
        <w:t>koušející</w:t>
      </w:r>
      <w:r w:rsidRPr="003A591C">
        <w:t xml:space="preserve"> podpis Informovaného souhlasu, a to vždy před provedením úvodního vyšetření nebo testu v rámci klinického </w:t>
      </w:r>
      <w:r w:rsidR="00B77D97" w:rsidRPr="003A591C">
        <w:t>zkoušení</w:t>
      </w:r>
      <w:r w:rsidRPr="003A591C">
        <w:t>.</w:t>
      </w:r>
    </w:p>
    <w:p w14:paraId="4760C2FD" w14:textId="77777777" w:rsidR="00022DEF" w:rsidRDefault="00C7639C" w:rsidP="0080485B">
      <w:pPr>
        <w:pStyle w:val="Nadpis2"/>
      </w:pPr>
      <w:r w:rsidRPr="003A591C">
        <w:t xml:space="preserve">Podepsané Informované souhlasy budou uloženy v dokumentaci o klinickém </w:t>
      </w:r>
      <w:r w:rsidR="00B77D97" w:rsidRPr="003A591C">
        <w:t>zkoušení</w:t>
      </w:r>
      <w:r w:rsidRPr="003A591C">
        <w:t xml:space="preserve"> vedené </w:t>
      </w:r>
      <w:r w:rsidR="00EF266D" w:rsidRPr="003A591C">
        <w:t>zkoušejícím</w:t>
      </w:r>
      <w:r w:rsidRPr="003A591C">
        <w:t>.</w:t>
      </w:r>
    </w:p>
    <w:p w14:paraId="3BDBD626" w14:textId="77777777" w:rsidR="000B54F3" w:rsidRPr="003A591C" w:rsidRDefault="000B54F3" w:rsidP="0080485B">
      <w:pPr>
        <w:pStyle w:val="Nadpis2"/>
      </w:pPr>
      <w:r w:rsidRPr="003A591C">
        <w:t xml:space="preserve">Subjekty </w:t>
      </w:r>
      <w:r w:rsidR="00B77D97" w:rsidRPr="003A591C">
        <w:t>zkoušení</w:t>
      </w:r>
      <w:r w:rsidRPr="003A591C">
        <w:t xml:space="preserve"> budou poučeny a informovány také o tom, že údaje získané o nich v</w:t>
      </w:r>
      <w:r w:rsidR="00630396">
        <w:t> </w:t>
      </w:r>
      <w:r w:rsidRPr="003A591C">
        <w:t xml:space="preserve">průběhu klinického </w:t>
      </w:r>
      <w:r w:rsidR="00B77D97" w:rsidRPr="003A591C">
        <w:t>zkoušení</w:t>
      </w:r>
      <w:r w:rsidRPr="003A591C">
        <w:t xml:space="preserve"> mohou být pro účely kontroly použity a předloženy také příslušným státním orgánům České republiky a zahraničním kontrolním úřadům. </w:t>
      </w:r>
    </w:p>
    <w:p w14:paraId="7BB34AFD" w14:textId="4236C8D1" w:rsidR="00890724" w:rsidRPr="003A591C" w:rsidRDefault="001B416E" w:rsidP="0080485B">
      <w:pPr>
        <w:pStyle w:val="Nadpis2"/>
      </w:pPr>
      <w:r w:rsidRPr="003A591C">
        <w:t>Poskytovatel</w:t>
      </w:r>
      <w:r w:rsidR="00890724" w:rsidRPr="003A591C">
        <w:t xml:space="preserve"> i zadavatel jsou povinni v průběhu klinického </w:t>
      </w:r>
      <w:r w:rsidR="00B77D97" w:rsidRPr="003A591C">
        <w:t>zkoušení</w:t>
      </w:r>
      <w:r w:rsidR="00890724" w:rsidRPr="003A591C">
        <w:t xml:space="preserve"> i po jeho ukončení dbát příslušných právních předpisů České republiky na ochranu osobních údajů subjektů </w:t>
      </w:r>
      <w:r w:rsidR="00B77D97" w:rsidRPr="003A591C">
        <w:t>zkoušení</w:t>
      </w:r>
      <w:r w:rsidR="00890724" w:rsidRPr="003A591C">
        <w:t xml:space="preserve">. </w:t>
      </w:r>
      <w:r w:rsidRPr="003A591C">
        <w:t>Poskytovatel</w:t>
      </w:r>
      <w:r w:rsidR="00890724" w:rsidRPr="003A591C">
        <w:t xml:space="preserve"> za tímto účelem zejména eviduje údaje o klinickém </w:t>
      </w:r>
      <w:r w:rsidR="00B77D97" w:rsidRPr="003A591C">
        <w:t>zkoušení</w:t>
      </w:r>
      <w:r w:rsidR="00890724" w:rsidRPr="003A591C">
        <w:t xml:space="preserve"> anonymně, tj. aniž by byl subjekt </w:t>
      </w:r>
      <w:r w:rsidR="00B77D97" w:rsidRPr="003A591C">
        <w:t>zkoušení</w:t>
      </w:r>
      <w:r w:rsidR="00890724" w:rsidRPr="003A591C">
        <w:t xml:space="preserve"> jmenován. Bude-li z medicínských důvodů nezbytné jméno subjektu </w:t>
      </w:r>
      <w:r w:rsidR="00B77D97" w:rsidRPr="003A591C">
        <w:t>zkoušení</w:t>
      </w:r>
      <w:r w:rsidR="00B5662C" w:rsidRPr="003A591C">
        <w:t xml:space="preserve"> </w:t>
      </w:r>
      <w:r w:rsidR="00890724" w:rsidRPr="003A591C">
        <w:t>uvést, bude jeho totožnost vedena podle zásad ochrany osobních údajů a zachování mlčenlivosti jak zadavatelem,</w:t>
      </w:r>
      <w:r w:rsidR="00EB4CF1" w:rsidRPr="003A591C">
        <w:t xml:space="preserve"> tak poskytovatelem</w:t>
      </w:r>
      <w:r w:rsidR="00890724" w:rsidRPr="003A591C">
        <w:t xml:space="preserve"> a </w:t>
      </w:r>
      <w:r w:rsidR="00472D44" w:rsidRPr="003A591C">
        <w:t>z</w:t>
      </w:r>
      <w:r w:rsidR="001D5C98" w:rsidRPr="003A591C">
        <w:t>koušející</w:t>
      </w:r>
      <w:r w:rsidR="00EB4CF1" w:rsidRPr="003A591C">
        <w:t xml:space="preserve">m, a </w:t>
      </w:r>
      <w:r w:rsidR="00890724" w:rsidRPr="003A591C">
        <w:t>to v souladu s českými právními předpisy.</w:t>
      </w:r>
    </w:p>
    <w:p w14:paraId="2850CE4A" w14:textId="77777777" w:rsidR="00FF4825" w:rsidRPr="00BF2E4E" w:rsidRDefault="00890724" w:rsidP="00BF2E4E">
      <w:pPr>
        <w:pStyle w:val="Nadpis1"/>
      </w:pPr>
      <w:r w:rsidRPr="00BF2E4E">
        <w:lastRenderedPageBreak/>
        <w:t xml:space="preserve">Monitorování </w:t>
      </w:r>
      <w:r w:rsidR="00FF4825" w:rsidRPr="00BF2E4E">
        <w:t xml:space="preserve">a kontrola průběhu klinického </w:t>
      </w:r>
      <w:r w:rsidR="00B77D97" w:rsidRPr="00BF2E4E">
        <w:t>zkoušení</w:t>
      </w:r>
    </w:p>
    <w:p w14:paraId="3F06A275" w14:textId="2F9ED3BD" w:rsidR="00FF4825" w:rsidRPr="003A591C" w:rsidRDefault="00FF4825" w:rsidP="0080485B">
      <w:pPr>
        <w:pStyle w:val="Nadpis2"/>
      </w:pPr>
      <w:r w:rsidRPr="003A591C">
        <w:t xml:space="preserve">Průběh a provádění klinického </w:t>
      </w:r>
      <w:r w:rsidR="00B77D97" w:rsidRPr="003A591C">
        <w:t>zkoušení</w:t>
      </w:r>
      <w:r w:rsidRPr="003A591C">
        <w:t xml:space="preserve"> budou koordinovány, kontrolovány a</w:t>
      </w:r>
      <w:r w:rsidR="00F50242" w:rsidRPr="003A591C">
        <w:t> </w:t>
      </w:r>
      <w:r w:rsidRPr="003A591C">
        <w:t xml:space="preserve">sledovány pověřenými osobami zadavatele, kterým </w:t>
      </w:r>
      <w:r w:rsidR="001B416E" w:rsidRPr="003A591C">
        <w:t>poskytovatel</w:t>
      </w:r>
      <w:r w:rsidRPr="003A591C">
        <w:t xml:space="preserve"> umožní</w:t>
      </w:r>
      <w:r w:rsidR="00782ED9" w:rsidRPr="003A591C">
        <w:t xml:space="preserve"> za podmínek dle této smlouvy</w:t>
      </w:r>
      <w:r w:rsidRPr="003A591C">
        <w:t xml:space="preserve"> přístup ke všem informacím </w:t>
      </w:r>
      <w:r w:rsidR="00782ED9" w:rsidRPr="003A591C">
        <w:t xml:space="preserve">získaným v rámci klinického </w:t>
      </w:r>
      <w:r w:rsidR="00B77D97" w:rsidRPr="003A591C">
        <w:t>zkoušení</w:t>
      </w:r>
      <w:r w:rsidR="00782ED9" w:rsidRPr="003A591C">
        <w:t xml:space="preserve"> </w:t>
      </w:r>
      <w:r w:rsidRPr="003A591C">
        <w:t xml:space="preserve">i k výsledkům laboratorních testů, zkoušek a jiných záznamů o subjektech </w:t>
      </w:r>
      <w:r w:rsidR="00B77D97" w:rsidRPr="003A591C">
        <w:t>zkoušení</w:t>
      </w:r>
      <w:r w:rsidRPr="003A591C">
        <w:t xml:space="preserve"> zařazených do klinického </w:t>
      </w:r>
      <w:r w:rsidR="00B77D97" w:rsidRPr="003A591C">
        <w:t>zkoušení</w:t>
      </w:r>
      <w:r w:rsidRPr="003A591C">
        <w:t xml:space="preserve">. </w:t>
      </w:r>
      <w:r w:rsidR="00A91437" w:rsidRPr="003A591C">
        <w:t xml:space="preserve">Čl. </w:t>
      </w:r>
      <w:proofErr w:type="gramStart"/>
      <w:r w:rsidR="00A91437" w:rsidRPr="003A591C">
        <w:t>5.7.</w:t>
      </w:r>
      <w:r w:rsidR="00782ED9" w:rsidRPr="003A591C">
        <w:t xml:space="preserve"> této</w:t>
      </w:r>
      <w:proofErr w:type="gramEnd"/>
      <w:r w:rsidR="00782ED9" w:rsidRPr="003A591C">
        <w:t xml:space="preserve"> smlouvy není tímto ustanovením dotčen.</w:t>
      </w:r>
    </w:p>
    <w:p w14:paraId="7C933778" w14:textId="77777777" w:rsidR="00FF4825" w:rsidRPr="003A591C" w:rsidRDefault="00FF4825" w:rsidP="0080485B">
      <w:pPr>
        <w:pStyle w:val="Nadpis2"/>
      </w:pPr>
      <w:r w:rsidRPr="003A591C">
        <w:t>Pověřenou osobou</w:t>
      </w:r>
      <w:r w:rsidR="00BD3CCF">
        <w:t xml:space="preserve"> zadavatele</w:t>
      </w:r>
      <w:r w:rsidRPr="003A591C">
        <w:t xml:space="preserve"> pro sledování klinického </w:t>
      </w:r>
      <w:r w:rsidR="00B77D97" w:rsidRPr="003A591C">
        <w:t>zkoušení</w:t>
      </w:r>
      <w:r w:rsidRPr="003A591C">
        <w:t xml:space="preserve"> je:</w:t>
      </w:r>
    </w:p>
    <w:p w14:paraId="36C3F60C" w14:textId="5CCBD642" w:rsidR="000B54F3" w:rsidRPr="003A591C" w:rsidRDefault="00844AC2" w:rsidP="0080485B">
      <w:pPr>
        <w:pStyle w:val="odsaz10blok"/>
      </w:pPr>
      <w:proofErr w:type="spellStart"/>
      <w:r w:rsidRPr="00844AC2">
        <w:t>High</w:t>
      </w:r>
      <w:proofErr w:type="spellEnd"/>
      <w:r w:rsidRPr="00844AC2">
        <w:t xml:space="preserve"> </w:t>
      </w:r>
      <w:proofErr w:type="spellStart"/>
      <w:r w:rsidRPr="00844AC2">
        <w:t>Tech</w:t>
      </w:r>
      <w:proofErr w:type="spellEnd"/>
      <w:r w:rsidRPr="00844AC2">
        <w:t xml:space="preserve"> Med </w:t>
      </w:r>
      <w:proofErr w:type="spellStart"/>
      <w:r w:rsidRPr="00844AC2">
        <w:t>Consult</w:t>
      </w:r>
      <w:proofErr w:type="spellEnd"/>
      <w:r w:rsidRPr="00844AC2">
        <w:t xml:space="preserve">, s.r.o., </w:t>
      </w:r>
      <w:r>
        <w:t>IČ:</w:t>
      </w:r>
      <w:r w:rsidRPr="00844AC2">
        <w:t xml:space="preserve"> 28473221</w:t>
      </w:r>
      <w:r w:rsidR="0083614E">
        <w:t>.</w:t>
      </w:r>
    </w:p>
    <w:p w14:paraId="16C30327" w14:textId="561B4BDF" w:rsidR="000B54F3" w:rsidRPr="003A591C" w:rsidRDefault="000B54F3" w:rsidP="0080485B">
      <w:pPr>
        <w:pStyle w:val="Nadpis2"/>
      </w:pPr>
      <w:r w:rsidRPr="003A591C">
        <w:t xml:space="preserve">Průběh klinického </w:t>
      </w:r>
      <w:r w:rsidR="00B77D97" w:rsidRPr="003A591C">
        <w:t>zkoušení</w:t>
      </w:r>
      <w:r w:rsidRPr="003A591C">
        <w:t xml:space="preserve"> a jeho výsledek mohou být kontrolovány také pověřenými auditory zadavatele; tím není dotčeno právo kontroly pověřenými pracovníky příslušných státních orgánů České republiky a zahraničních kontrolních úřadů. </w:t>
      </w:r>
      <w:r w:rsidR="001B416E" w:rsidRPr="003A591C">
        <w:t>Poskytovatel</w:t>
      </w:r>
      <w:r w:rsidRPr="003A591C">
        <w:t xml:space="preserve"> a </w:t>
      </w:r>
      <w:r w:rsidR="00472D44" w:rsidRPr="003A591C">
        <w:t>z</w:t>
      </w:r>
      <w:r w:rsidR="001D5C98" w:rsidRPr="003A591C">
        <w:t>koušející</w:t>
      </w:r>
      <w:r w:rsidRPr="003A591C">
        <w:t xml:space="preserve"> vyvinou náležité úsilí k tomu, aby oddělili, a tak zároveň </w:t>
      </w:r>
      <w:r w:rsidR="0083614E">
        <w:t>z</w:t>
      </w:r>
      <w:r w:rsidRPr="003A591C">
        <w:t xml:space="preserve">nepřístupnili jakékoli </w:t>
      </w:r>
      <w:r w:rsidR="0083614E">
        <w:t>d</w:t>
      </w:r>
      <w:r w:rsidR="0083614E" w:rsidRPr="003A591C">
        <w:t xml:space="preserve">ůvěrné </w:t>
      </w:r>
      <w:r w:rsidRPr="003A591C">
        <w:t>údaje</w:t>
      </w:r>
      <w:r w:rsidR="00562B7F" w:rsidRPr="003A591C">
        <w:t xml:space="preserve"> (čl. 11 této smlouvy)</w:t>
      </w:r>
      <w:r w:rsidRPr="003A591C">
        <w:t xml:space="preserve">, jejichž poskytnutí není vyžadováno během takové kontroly. </w:t>
      </w:r>
      <w:r w:rsidR="00383659" w:rsidRPr="003A591C">
        <w:t>Zadavatel</w:t>
      </w:r>
      <w:r w:rsidRPr="003A591C">
        <w:t xml:space="preserve"> si vyhrazuj</w:t>
      </w:r>
      <w:r w:rsidR="00383659" w:rsidRPr="003A591C">
        <w:t>e</w:t>
      </w:r>
      <w:r w:rsidRPr="003A591C">
        <w:t xml:space="preserve"> právo na předběžnou revizi a schválení jakéhokoliv vyjádření, které se vztahuje ke klinickému </w:t>
      </w:r>
      <w:r w:rsidR="00B77D97" w:rsidRPr="003A591C">
        <w:t>zkoušení</w:t>
      </w:r>
      <w:r w:rsidRPr="003A591C">
        <w:t xml:space="preserve">. Jakékoli takové vyjádření nebude obsahovat žádnou nepravdivou či klamnou informaci vztahující se ke klinickému </w:t>
      </w:r>
      <w:r w:rsidR="00B77D97" w:rsidRPr="003A591C">
        <w:t>zkoušení</w:t>
      </w:r>
      <w:r w:rsidRPr="003A591C">
        <w:t xml:space="preserve">, </w:t>
      </w:r>
      <w:r w:rsidR="0001324E" w:rsidRPr="003A591C">
        <w:t>zdravotnickému prostředku</w:t>
      </w:r>
      <w:r w:rsidR="00BD3CCF">
        <w:t xml:space="preserve"> či</w:t>
      </w:r>
      <w:r w:rsidRPr="003A591C">
        <w:t xml:space="preserve"> zadavateli. </w:t>
      </w:r>
    </w:p>
    <w:p w14:paraId="75F9B72D" w14:textId="703A9349" w:rsidR="0083614E" w:rsidRDefault="00FF4825" w:rsidP="0080485B">
      <w:pPr>
        <w:pStyle w:val="Nadpis2"/>
      </w:pPr>
      <w:r w:rsidRPr="003A591C">
        <w:t xml:space="preserve">Zadavatel může pověřit kontrolou nebo monitorováním jiné osoby, než jsou </w:t>
      </w:r>
      <w:r w:rsidR="0083614E" w:rsidRPr="003A591C">
        <w:t>uveden</w:t>
      </w:r>
      <w:r w:rsidR="0083614E">
        <w:t>y</w:t>
      </w:r>
      <w:r w:rsidR="0083614E" w:rsidRPr="003A591C">
        <w:t xml:space="preserve"> </w:t>
      </w:r>
      <w:r w:rsidR="000B54F3" w:rsidRPr="003A591C">
        <w:t>čl.</w:t>
      </w:r>
      <w:r w:rsidR="00630396">
        <w:t> </w:t>
      </w:r>
      <w:proofErr w:type="gramStart"/>
      <w:r w:rsidR="000B54F3" w:rsidRPr="003A591C">
        <w:t xml:space="preserve">6.2. </w:t>
      </w:r>
      <w:r w:rsidRPr="003A591C">
        <w:t>jen</w:t>
      </w:r>
      <w:proofErr w:type="gramEnd"/>
      <w:r w:rsidRPr="003A591C">
        <w:t xml:space="preserve"> s předchozím písemným souhlasem </w:t>
      </w:r>
      <w:r w:rsidR="00DE3672" w:rsidRPr="003A591C">
        <w:t>poskytovatele</w:t>
      </w:r>
      <w:r w:rsidR="00844AC2">
        <w:t>, bez zbytečných podmínek a prodlení</w:t>
      </w:r>
      <w:r w:rsidRPr="003A591C">
        <w:t>.</w:t>
      </w:r>
    </w:p>
    <w:p w14:paraId="57D6087B" w14:textId="6F9FA85A" w:rsidR="00B85E6A" w:rsidRPr="00892363" w:rsidRDefault="00B85E6A" w:rsidP="00B85E6A">
      <w:pPr>
        <w:pStyle w:val="Nadpis2"/>
        <w:rPr>
          <w:rFonts w:cstheme="minorBidi"/>
          <w:szCs w:val="24"/>
        </w:rPr>
      </w:pPr>
      <w:bookmarkStart w:id="0" w:name="_cp_blt_1_68"/>
      <w:bookmarkStart w:id="1" w:name="_cp_text_1_66"/>
      <w:bookmarkStart w:id="2" w:name="_cp_text_4_67"/>
      <w:r w:rsidRPr="00892363">
        <w:rPr>
          <w:rFonts w:cstheme="minorBidi"/>
          <w:szCs w:val="24"/>
        </w:rPr>
        <w:t>Poskytovatel a zkoušející souhlasí s tím, aby zadavatel (nebo osoba, kterou určí) mohl v době platnosti této smlouvy a po dobu 3 (tří) let po jejím skončení, poté, co o tom s dostatečným předstihem písemně informuje poskytovatele, příp. zkoušejícího, i) provádět inspekci a kontrolovat v průběhu řádné pracovní doby prostory poskytovatele, které se používají k provádění klinického zkoušení nebo které jsou k</w:t>
      </w:r>
      <w:r w:rsidR="0051753F" w:rsidRPr="00892363">
        <w:rPr>
          <w:rFonts w:cstheme="minorBidi"/>
          <w:szCs w:val="24"/>
        </w:rPr>
        <w:t> jejímu provedení</w:t>
      </w:r>
      <w:r w:rsidRPr="00892363">
        <w:rPr>
          <w:rFonts w:cstheme="minorBidi"/>
          <w:szCs w:val="24"/>
        </w:rPr>
        <w:t xml:space="preserve"> zapotřebí, </w:t>
      </w:r>
      <w:proofErr w:type="spellStart"/>
      <w:r w:rsidRPr="00892363">
        <w:rPr>
          <w:rFonts w:cstheme="minorBidi"/>
          <w:szCs w:val="24"/>
        </w:rPr>
        <w:t>ii</w:t>
      </w:r>
      <w:proofErr w:type="spellEnd"/>
      <w:r w:rsidRPr="00892363">
        <w:rPr>
          <w:rFonts w:cstheme="minorBidi"/>
          <w:szCs w:val="24"/>
        </w:rPr>
        <w:t xml:space="preserve">) kontrolovat nebo pořizovat si kopie veškerých záznamů o klinickém zkoušení (pokud tomu nebrání příslušné platné zákony), </w:t>
      </w:r>
      <w:proofErr w:type="spellStart"/>
      <w:r w:rsidRPr="00892363">
        <w:rPr>
          <w:rFonts w:cstheme="minorBidi"/>
          <w:szCs w:val="24"/>
        </w:rPr>
        <w:t>iii</w:t>
      </w:r>
      <w:proofErr w:type="spellEnd"/>
      <w:r w:rsidRPr="00892363">
        <w:rPr>
          <w:rFonts w:cstheme="minorBidi"/>
          <w:szCs w:val="24"/>
        </w:rPr>
        <w:t xml:space="preserve">)  </w:t>
      </w:r>
      <w:r w:rsidR="0051753F" w:rsidRPr="00892363">
        <w:rPr>
          <w:rFonts w:cstheme="minorBidi"/>
          <w:szCs w:val="24"/>
        </w:rPr>
        <w:t xml:space="preserve">uchovávat přehledy na základě kterých je prováděna fakturace vztahující se ke klinické zkoušce na základě této smlouvy </w:t>
      </w:r>
      <w:r w:rsidRPr="00892363">
        <w:rPr>
          <w:rFonts w:cstheme="minorBidi"/>
          <w:szCs w:val="24"/>
        </w:rPr>
        <w:t>a provádět jejich audit a </w:t>
      </w:r>
      <w:proofErr w:type="spellStart"/>
      <w:r w:rsidRPr="00892363">
        <w:rPr>
          <w:rFonts w:cstheme="minorBidi"/>
          <w:szCs w:val="24"/>
        </w:rPr>
        <w:t>iv</w:t>
      </w:r>
      <w:proofErr w:type="spellEnd"/>
      <w:r w:rsidRPr="00892363">
        <w:rPr>
          <w:rFonts w:cstheme="minorBidi"/>
          <w:szCs w:val="24"/>
        </w:rPr>
        <w:t xml:space="preserve">) ověřovat dodržování </w:t>
      </w:r>
      <w:r w:rsidR="0051753F" w:rsidRPr="00892363">
        <w:rPr>
          <w:rFonts w:cstheme="minorBidi"/>
          <w:szCs w:val="24"/>
        </w:rPr>
        <w:t>p</w:t>
      </w:r>
      <w:r w:rsidRPr="00892363">
        <w:rPr>
          <w:rFonts w:cstheme="minorBidi"/>
          <w:szCs w:val="24"/>
        </w:rPr>
        <w:t>lánu.</w:t>
      </w:r>
      <w:bookmarkEnd w:id="0"/>
      <w:bookmarkEnd w:id="1"/>
      <w:bookmarkEnd w:id="2"/>
    </w:p>
    <w:p w14:paraId="483FB573" w14:textId="229935B1" w:rsidR="00F50242" w:rsidRPr="00BF2E4E" w:rsidRDefault="00F50C29" w:rsidP="00BF2E4E">
      <w:pPr>
        <w:pStyle w:val="Nadpis1"/>
      </w:pPr>
      <w:r w:rsidRPr="00BF2E4E">
        <w:t>Další p</w:t>
      </w:r>
      <w:r w:rsidR="00F50242" w:rsidRPr="00BF2E4E">
        <w:t xml:space="preserve">ovinnosti </w:t>
      </w:r>
      <w:r w:rsidR="00472D44" w:rsidRPr="00BF2E4E">
        <w:t>z</w:t>
      </w:r>
      <w:r w:rsidR="001D5C98" w:rsidRPr="00BF2E4E">
        <w:t>koušející</w:t>
      </w:r>
      <w:r w:rsidR="00F50242" w:rsidRPr="00BF2E4E">
        <w:t>ho</w:t>
      </w:r>
      <w:r w:rsidR="00EB4CF1" w:rsidRPr="00BF2E4E">
        <w:t xml:space="preserve"> </w:t>
      </w:r>
    </w:p>
    <w:p w14:paraId="26159EB7" w14:textId="7B30EF3E" w:rsidR="009B2326" w:rsidRDefault="009B2326" w:rsidP="009B2326">
      <w:pPr>
        <w:pStyle w:val="Nadpis2"/>
        <w:rPr>
          <w:rFonts w:cstheme="minorBidi"/>
          <w:szCs w:val="24"/>
        </w:rPr>
      </w:pPr>
      <w:r>
        <w:rPr>
          <w:rFonts w:cstheme="minorBidi"/>
          <w:szCs w:val="24"/>
        </w:rPr>
        <w:t>Zkoušející a poskytovatel jsou povinni plnit veškeré své povinnosti uložené jim obecně závaznými právními předpisy, zejm. zákonem o zdravotnických prostředcích a jeho prováděcími předpisy</w:t>
      </w:r>
      <w:r w:rsidRPr="00892363">
        <w:rPr>
          <w:rFonts w:cstheme="minorBidi"/>
          <w:szCs w:val="24"/>
        </w:rPr>
        <w:t xml:space="preserve">. </w:t>
      </w:r>
      <w:r w:rsidR="00310501" w:rsidRPr="00892363">
        <w:rPr>
          <w:rFonts w:cstheme="minorBidi"/>
          <w:szCs w:val="24"/>
        </w:rPr>
        <w:t>Strany se shodují v tom, že účast zkoušejícího je důležitá z hlediska úspěšného provedení a dokončení klinického zkoušení. Pokud se zkoušející z jakýchkoli důvodů vyváže ze svých povinností stanovených v této smlouvě nebo pokud je není schopen plnit, poskytovatel o tom okamžitě informuje zadavatele a bude se spolu se zadavatelem snažit dohodnout se na osobě, která by jej nahradila. Pokud by se však v tomto případě poskytovatel a zadavatel z jakéhokoli důvodu na osobě náhradníka společně nedohodli, může zadavatel tuto smlouvu v souladu s ustanoveními oddílu 16.2 níže vypovědět.</w:t>
      </w:r>
    </w:p>
    <w:p w14:paraId="374F7A2B" w14:textId="77777777" w:rsidR="00303251" w:rsidRPr="003A591C" w:rsidRDefault="001D5C98" w:rsidP="0080485B">
      <w:pPr>
        <w:pStyle w:val="Nadpis2"/>
      </w:pPr>
      <w:r w:rsidRPr="003A591C">
        <w:t>Zkoušející</w:t>
      </w:r>
      <w:r w:rsidR="00F3567E" w:rsidRPr="003A591C">
        <w:t xml:space="preserve"> zejména:</w:t>
      </w:r>
    </w:p>
    <w:p w14:paraId="7F0EA387" w14:textId="77777777" w:rsidR="0021546A" w:rsidRPr="003A591C" w:rsidRDefault="00CD401A" w:rsidP="0080485B">
      <w:pPr>
        <w:pStyle w:val="Nadpis3"/>
        <w:rPr>
          <w:snapToGrid w:val="0"/>
        </w:rPr>
      </w:pPr>
      <w:r w:rsidRPr="003A591C">
        <w:t xml:space="preserve">před zahájením klinického zkoušení si vyžádá </w:t>
      </w:r>
      <w:r w:rsidR="0021546A" w:rsidRPr="003A591C">
        <w:t xml:space="preserve">od zadavatele příručku </w:t>
      </w:r>
      <w:r w:rsidR="00907A23" w:rsidRPr="003A591C">
        <w:t>z</w:t>
      </w:r>
      <w:r w:rsidR="001D5C98" w:rsidRPr="003A591C">
        <w:t>koušející</w:t>
      </w:r>
      <w:r w:rsidR="0021546A" w:rsidRPr="003A591C">
        <w:t>ho, popřípadě další informace, které považuje za nezbytně nutné pro provádění klinických zkoušek;</w:t>
      </w:r>
    </w:p>
    <w:p w14:paraId="6FA45F10" w14:textId="77777777" w:rsidR="00F3567E" w:rsidRPr="003A591C" w:rsidRDefault="00F3567E" w:rsidP="0080485B">
      <w:pPr>
        <w:pStyle w:val="Nadpis3"/>
        <w:rPr>
          <w:snapToGrid w:val="0"/>
        </w:rPr>
      </w:pPr>
      <w:r w:rsidRPr="003A591C">
        <w:rPr>
          <w:snapToGrid w:val="0"/>
        </w:rPr>
        <w:t xml:space="preserve">před zahájením </w:t>
      </w:r>
      <w:r w:rsidR="00CD401A" w:rsidRPr="003A591C">
        <w:t>klinického zkoušení</w:t>
      </w:r>
      <w:r w:rsidR="00CD401A" w:rsidRPr="003A591C">
        <w:rPr>
          <w:snapToGrid w:val="0"/>
        </w:rPr>
        <w:t xml:space="preserve"> </w:t>
      </w:r>
      <w:r w:rsidR="00335110" w:rsidRPr="003A591C">
        <w:rPr>
          <w:snapToGrid w:val="0"/>
        </w:rPr>
        <w:t xml:space="preserve">se </w:t>
      </w:r>
      <w:r w:rsidR="00A02DFB" w:rsidRPr="003A591C">
        <w:t>v odpovídajícím rozsahu seznám</w:t>
      </w:r>
      <w:r w:rsidR="00335110" w:rsidRPr="003A591C">
        <w:t>í</w:t>
      </w:r>
      <w:r w:rsidR="00A02DFB" w:rsidRPr="003A591C">
        <w:t xml:space="preserve"> s</w:t>
      </w:r>
      <w:r w:rsidR="00630396">
        <w:t> </w:t>
      </w:r>
      <w:r w:rsidR="00A02DFB" w:rsidRPr="003A591C">
        <w:t xml:space="preserve">používáním zdravotnického prostředku v souladu s jeho určeným účelem </w:t>
      </w:r>
      <w:r w:rsidR="00A02DFB" w:rsidRPr="003A591C">
        <w:lastRenderedPageBreak/>
        <w:t>použití,</w:t>
      </w:r>
      <w:r w:rsidR="00A02DFB" w:rsidRPr="003A591C">
        <w:rPr>
          <w:snapToGrid w:val="0"/>
        </w:rPr>
        <w:t xml:space="preserve"> </w:t>
      </w:r>
      <w:r w:rsidRPr="003A591C">
        <w:rPr>
          <w:snapToGrid w:val="0"/>
        </w:rPr>
        <w:t>jak jsou popsány v</w:t>
      </w:r>
      <w:r w:rsidR="00A02DFB" w:rsidRPr="003A591C">
        <w:rPr>
          <w:snapToGrid w:val="0"/>
        </w:rPr>
        <w:t xml:space="preserve"> příručce </w:t>
      </w:r>
      <w:r w:rsidR="00907A23" w:rsidRPr="003A591C">
        <w:rPr>
          <w:snapToGrid w:val="0"/>
        </w:rPr>
        <w:t>z</w:t>
      </w:r>
      <w:r w:rsidR="001D5C98" w:rsidRPr="003A591C">
        <w:rPr>
          <w:snapToGrid w:val="0"/>
        </w:rPr>
        <w:t>koušející</w:t>
      </w:r>
      <w:r w:rsidR="00A02DFB" w:rsidRPr="003A591C">
        <w:rPr>
          <w:snapToGrid w:val="0"/>
        </w:rPr>
        <w:t>ho, souboru informací</w:t>
      </w:r>
      <w:r w:rsidR="004D2554" w:rsidRPr="003A591C">
        <w:rPr>
          <w:snapToGrid w:val="0"/>
        </w:rPr>
        <w:t xml:space="preserve"> o</w:t>
      </w:r>
      <w:r w:rsidR="00630396">
        <w:rPr>
          <w:snapToGrid w:val="0"/>
        </w:rPr>
        <w:t> </w:t>
      </w:r>
      <w:r w:rsidR="004D2554" w:rsidRPr="003A591C">
        <w:rPr>
          <w:snapToGrid w:val="0"/>
        </w:rPr>
        <w:t>zdravotnickém prostředku</w:t>
      </w:r>
      <w:r w:rsidR="00A02DFB" w:rsidRPr="003A591C">
        <w:rPr>
          <w:snapToGrid w:val="0"/>
        </w:rPr>
        <w:t xml:space="preserve"> </w:t>
      </w:r>
      <w:r w:rsidRPr="003A591C">
        <w:rPr>
          <w:snapToGrid w:val="0"/>
        </w:rPr>
        <w:t>a v dalších informačních materiálech poskytnutých zadavatelem;</w:t>
      </w:r>
    </w:p>
    <w:p w14:paraId="0FDFCDBF" w14:textId="1F57097F" w:rsidR="0021546A" w:rsidRPr="003A591C" w:rsidRDefault="00CD401A" w:rsidP="0080485B">
      <w:pPr>
        <w:pStyle w:val="Nadpis3"/>
        <w:rPr>
          <w:snapToGrid w:val="0"/>
        </w:rPr>
      </w:pPr>
      <w:r w:rsidRPr="003A591C">
        <w:rPr>
          <w:snapToGrid w:val="0"/>
        </w:rPr>
        <w:t xml:space="preserve">před zahájením </w:t>
      </w:r>
      <w:r w:rsidRPr="003A591C">
        <w:t>klinického zkoušení</w:t>
      </w:r>
      <w:r w:rsidRPr="003A591C">
        <w:rPr>
          <w:snapToGrid w:val="0"/>
        </w:rPr>
        <w:t xml:space="preserve"> se </w:t>
      </w:r>
      <w:r w:rsidR="0021546A" w:rsidRPr="003A591C">
        <w:t>řádně</w:t>
      </w:r>
      <w:r w:rsidR="00335110" w:rsidRPr="003A591C">
        <w:t xml:space="preserve"> </w:t>
      </w:r>
      <w:r w:rsidR="00B7411A" w:rsidRPr="003A591C">
        <w:t>sez</w:t>
      </w:r>
      <w:r w:rsidR="002D751C" w:rsidRPr="003A591C">
        <w:t>nám</w:t>
      </w:r>
      <w:r w:rsidR="00335110" w:rsidRPr="003A591C">
        <w:t>í</w:t>
      </w:r>
      <w:r w:rsidR="0021546A" w:rsidRPr="003A591C">
        <w:t xml:space="preserve"> s plánem, a poté jej podep</w:t>
      </w:r>
      <w:r w:rsidR="00335110" w:rsidRPr="003A591C">
        <w:t>íše</w:t>
      </w:r>
      <w:r w:rsidR="00111235" w:rsidRPr="003A591C">
        <w:t>;</w:t>
      </w:r>
    </w:p>
    <w:p w14:paraId="17E4BF47" w14:textId="57015C27" w:rsidR="00F3567E" w:rsidRPr="003A591C" w:rsidRDefault="00F3567E" w:rsidP="0080485B">
      <w:pPr>
        <w:pStyle w:val="Nadpis3"/>
        <w:rPr>
          <w:snapToGrid w:val="0"/>
        </w:rPr>
      </w:pPr>
      <w:r w:rsidRPr="003A591C">
        <w:rPr>
          <w:snapToGrid w:val="0"/>
        </w:rPr>
        <w:t xml:space="preserve">před zařazením každého subjektu </w:t>
      </w:r>
      <w:r w:rsidR="00B77D97" w:rsidRPr="003A591C">
        <w:rPr>
          <w:snapToGrid w:val="0"/>
        </w:rPr>
        <w:t>zkoušení</w:t>
      </w:r>
      <w:r w:rsidRPr="003A591C">
        <w:rPr>
          <w:snapToGrid w:val="0"/>
        </w:rPr>
        <w:t xml:space="preserve"> do studie </w:t>
      </w:r>
      <w:r w:rsidR="009E0E0D" w:rsidRPr="003A591C">
        <w:rPr>
          <w:snapToGrid w:val="0"/>
        </w:rPr>
        <w:t>získ</w:t>
      </w:r>
      <w:r w:rsidR="002D751C" w:rsidRPr="003A591C">
        <w:rPr>
          <w:snapToGrid w:val="0"/>
        </w:rPr>
        <w:t>á</w:t>
      </w:r>
      <w:r w:rsidR="009E0E0D" w:rsidRPr="003A591C">
        <w:rPr>
          <w:snapToGrid w:val="0"/>
        </w:rPr>
        <w:t xml:space="preserve"> </w:t>
      </w:r>
      <w:r w:rsidRPr="003A591C">
        <w:rPr>
          <w:snapToGrid w:val="0"/>
        </w:rPr>
        <w:t xml:space="preserve">písemný informovaný souhlas subjektu </w:t>
      </w:r>
      <w:r w:rsidR="00B77D97" w:rsidRPr="003A591C">
        <w:rPr>
          <w:snapToGrid w:val="0"/>
        </w:rPr>
        <w:t>zkoušení</w:t>
      </w:r>
      <w:r w:rsidR="009757CD">
        <w:rPr>
          <w:snapToGrid w:val="0"/>
        </w:rPr>
        <w:t>,</w:t>
      </w:r>
      <w:r w:rsidRPr="003A591C">
        <w:rPr>
          <w:snapToGrid w:val="0"/>
        </w:rPr>
        <w:t xml:space="preserve"> jeho zákonného zástupce</w:t>
      </w:r>
      <w:r w:rsidR="009757CD">
        <w:rPr>
          <w:snapToGrid w:val="0"/>
        </w:rPr>
        <w:t xml:space="preserve"> či opatrovníka</w:t>
      </w:r>
      <w:r w:rsidRPr="003A591C">
        <w:rPr>
          <w:snapToGrid w:val="0"/>
        </w:rPr>
        <w:t xml:space="preserve">; </w:t>
      </w:r>
    </w:p>
    <w:p w14:paraId="3D8AC4AF" w14:textId="77777777" w:rsidR="00757A2F" w:rsidRPr="003A591C" w:rsidRDefault="00CD401A" w:rsidP="0080485B">
      <w:pPr>
        <w:pStyle w:val="Nadpis3"/>
        <w:rPr>
          <w:snapToGrid w:val="0"/>
        </w:rPr>
      </w:pPr>
      <w:r w:rsidRPr="003A591C">
        <w:rPr>
          <w:snapToGrid w:val="0"/>
        </w:rPr>
        <w:t xml:space="preserve">před zahájením </w:t>
      </w:r>
      <w:r w:rsidRPr="003A591C">
        <w:t>klinického zkoušení</w:t>
      </w:r>
      <w:r w:rsidRPr="003A591C">
        <w:rPr>
          <w:snapToGrid w:val="0"/>
        </w:rPr>
        <w:t xml:space="preserve"> </w:t>
      </w:r>
      <w:r w:rsidR="002D751C" w:rsidRPr="003A591C">
        <w:rPr>
          <w:snapToGrid w:val="0"/>
        </w:rPr>
        <w:t>s</w:t>
      </w:r>
      <w:r w:rsidR="00757A2F" w:rsidRPr="003A591C">
        <w:rPr>
          <w:snapToGrid w:val="0"/>
        </w:rPr>
        <w:t>ep</w:t>
      </w:r>
      <w:r w:rsidR="002D751C" w:rsidRPr="003A591C">
        <w:rPr>
          <w:snapToGrid w:val="0"/>
        </w:rPr>
        <w:t xml:space="preserve">íše </w:t>
      </w:r>
      <w:r w:rsidR="00757A2F" w:rsidRPr="003A591C">
        <w:rPr>
          <w:snapToGrid w:val="0"/>
        </w:rPr>
        <w:t xml:space="preserve">prohlášení, že </w:t>
      </w:r>
      <w:r w:rsidR="00472D44" w:rsidRPr="003A591C">
        <w:rPr>
          <w:snapToGrid w:val="0"/>
        </w:rPr>
        <w:t>z</w:t>
      </w:r>
      <w:r w:rsidR="001D5C98" w:rsidRPr="003A591C">
        <w:rPr>
          <w:snapToGrid w:val="0"/>
        </w:rPr>
        <w:t>koušející</w:t>
      </w:r>
      <w:r w:rsidRPr="003A591C">
        <w:rPr>
          <w:snapToGrid w:val="0"/>
        </w:rPr>
        <w:t xml:space="preserve"> a další osoby zúčastněné na výzkumu</w:t>
      </w:r>
      <w:r w:rsidR="00757A2F" w:rsidRPr="003A591C">
        <w:rPr>
          <w:snapToGrid w:val="0"/>
        </w:rPr>
        <w:t xml:space="preserve"> budou schopni provádět a dokončit klinické zkoušky a že nemají k předmětu klinických zkoušek osobní vztah, který by mohl vyvolat střet zájmů nebo narušit klinické zkoušky, jejichž prováděním je</w:t>
      </w:r>
      <w:r w:rsidRPr="003A591C">
        <w:rPr>
          <w:snapToGrid w:val="0"/>
        </w:rPr>
        <w:t xml:space="preserve"> </w:t>
      </w:r>
      <w:r w:rsidR="00472D44" w:rsidRPr="003A591C">
        <w:rPr>
          <w:snapToGrid w:val="0"/>
        </w:rPr>
        <w:t>z</w:t>
      </w:r>
      <w:r w:rsidR="001D5C98" w:rsidRPr="003A591C">
        <w:rPr>
          <w:snapToGrid w:val="0"/>
        </w:rPr>
        <w:t>koušející</w:t>
      </w:r>
      <w:r w:rsidR="00757A2F" w:rsidRPr="003A591C">
        <w:rPr>
          <w:snapToGrid w:val="0"/>
        </w:rPr>
        <w:t xml:space="preserve"> pověřen, zejména provádí-li se souběžně jiné klinické zkoušky, na nichž má osobní účast, </w:t>
      </w:r>
      <w:r w:rsidR="00AB3811" w:rsidRPr="003A591C">
        <w:rPr>
          <w:snapToGrid w:val="0"/>
        </w:rPr>
        <w:t>a</w:t>
      </w:r>
      <w:r w:rsidR="00630396">
        <w:rPr>
          <w:snapToGrid w:val="0"/>
        </w:rPr>
        <w:t> </w:t>
      </w:r>
      <w:r w:rsidR="00AB3811" w:rsidRPr="003A591C">
        <w:rPr>
          <w:snapToGrid w:val="0"/>
        </w:rPr>
        <w:t>zajistí podpis prohlášení ze strany těchto osob. T</w:t>
      </w:r>
      <w:r w:rsidR="00757A2F" w:rsidRPr="003A591C">
        <w:rPr>
          <w:snapToGrid w:val="0"/>
        </w:rPr>
        <w:t xml:space="preserve">oto prohlášení je </w:t>
      </w:r>
      <w:r w:rsidR="00AB3811" w:rsidRPr="0080485B">
        <w:t>p</w:t>
      </w:r>
      <w:r w:rsidR="00757A2F" w:rsidRPr="0080485B">
        <w:t xml:space="preserve">řílohou </w:t>
      </w:r>
      <w:r w:rsidR="00A94D14" w:rsidRPr="0080485B">
        <w:t>č.</w:t>
      </w:r>
      <w:r w:rsidR="00630396">
        <w:t> </w:t>
      </w:r>
      <w:r w:rsidR="00291E1C">
        <w:t>1</w:t>
      </w:r>
      <w:r w:rsidR="00757A2F" w:rsidRPr="003A591C">
        <w:rPr>
          <w:snapToGrid w:val="0"/>
        </w:rPr>
        <w:t xml:space="preserve"> této smlouvy;</w:t>
      </w:r>
    </w:p>
    <w:p w14:paraId="0FA848C4" w14:textId="6A3939CE" w:rsidR="00111235" w:rsidRPr="003A591C" w:rsidRDefault="00CD401A" w:rsidP="0080485B">
      <w:pPr>
        <w:pStyle w:val="Nadpis3"/>
        <w:rPr>
          <w:snapToGrid w:val="0"/>
        </w:rPr>
      </w:pPr>
      <w:r w:rsidRPr="003A591C">
        <w:rPr>
          <w:snapToGrid w:val="0"/>
        </w:rPr>
        <w:t xml:space="preserve">před zahájením </w:t>
      </w:r>
      <w:r w:rsidRPr="003A591C">
        <w:t>klinického zkoušení</w:t>
      </w:r>
      <w:r w:rsidRPr="003A591C">
        <w:rPr>
          <w:snapToGrid w:val="0"/>
        </w:rPr>
        <w:t xml:space="preserve"> </w:t>
      </w:r>
      <w:r w:rsidR="00111235" w:rsidRPr="003A591C">
        <w:t xml:space="preserve">zajistí nezbytnou přípravu, včetně opatření pro případ výskytu nepředvídaných situací, včetně </w:t>
      </w:r>
      <w:r w:rsidR="009757CD">
        <w:t>nepříznivých událostí</w:t>
      </w:r>
      <w:r w:rsidR="00111235" w:rsidRPr="003A591C">
        <w:t>, v rámci později prováděných klinických zkoušek;</w:t>
      </w:r>
    </w:p>
    <w:p w14:paraId="45FC3CDA" w14:textId="255E0BE2" w:rsidR="00111235" w:rsidRPr="003A591C" w:rsidRDefault="00CD401A" w:rsidP="0080485B">
      <w:pPr>
        <w:pStyle w:val="Nadpis3"/>
      </w:pPr>
      <w:r w:rsidRPr="003A591C">
        <w:rPr>
          <w:snapToGrid w:val="0"/>
        </w:rPr>
        <w:t xml:space="preserve">před zahájením </w:t>
      </w:r>
      <w:r w:rsidRPr="003A591C">
        <w:t>klinického zkoušení</w:t>
      </w:r>
      <w:r w:rsidRPr="003A591C">
        <w:rPr>
          <w:snapToGrid w:val="0"/>
        </w:rPr>
        <w:t xml:space="preserve"> </w:t>
      </w:r>
      <w:r w:rsidR="00111235" w:rsidRPr="003A591C">
        <w:t>zabezpečí posouzení zdravotního stavu subjektů</w:t>
      </w:r>
      <w:r w:rsidR="009757CD">
        <w:t xml:space="preserve"> zkoušení</w:t>
      </w:r>
      <w:r w:rsidR="00C336B9">
        <w:t xml:space="preserve"> </w:t>
      </w:r>
      <w:r w:rsidR="00AB3811" w:rsidRPr="003A591C">
        <w:t>a pod</w:t>
      </w:r>
      <w:r w:rsidR="00111235" w:rsidRPr="003A591C">
        <w:t>p</w:t>
      </w:r>
      <w:r w:rsidR="00AB3811" w:rsidRPr="003A591C">
        <w:t>i</w:t>
      </w:r>
      <w:r w:rsidR="00111235" w:rsidRPr="003A591C">
        <w:t>s</w:t>
      </w:r>
      <w:r w:rsidR="00AB3811" w:rsidRPr="003A591C">
        <w:t xml:space="preserve"> </w:t>
      </w:r>
      <w:r w:rsidR="00111235" w:rsidRPr="003A591C">
        <w:t>zpráv o</w:t>
      </w:r>
      <w:r w:rsidR="00AB3811" w:rsidRPr="003A591C">
        <w:t xml:space="preserve"> jejich</w:t>
      </w:r>
      <w:r w:rsidR="00111235" w:rsidRPr="003A591C">
        <w:t xml:space="preserve"> vyšetření</w:t>
      </w:r>
      <w:r w:rsidR="00AB3811" w:rsidRPr="003A591C">
        <w:t xml:space="preserve"> ze strany </w:t>
      </w:r>
      <w:r w:rsidR="00472D44" w:rsidRPr="003A591C">
        <w:t>z</w:t>
      </w:r>
      <w:r w:rsidR="001D5C98" w:rsidRPr="003A591C">
        <w:t>koušející</w:t>
      </w:r>
      <w:r w:rsidR="00AB3811" w:rsidRPr="003A591C">
        <w:t>ho</w:t>
      </w:r>
      <w:r w:rsidR="00111235" w:rsidRPr="003A591C">
        <w:t>;</w:t>
      </w:r>
    </w:p>
    <w:p w14:paraId="78B75321" w14:textId="77777777" w:rsidR="00CD401A" w:rsidRPr="003A591C" w:rsidRDefault="00CD401A" w:rsidP="0080485B">
      <w:pPr>
        <w:pStyle w:val="Nadpis3"/>
      </w:pPr>
      <w:r w:rsidRPr="003A591C">
        <w:rPr>
          <w:snapToGrid w:val="0"/>
        </w:rPr>
        <w:t xml:space="preserve">před zahájením </w:t>
      </w:r>
      <w:r w:rsidRPr="003A591C">
        <w:t xml:space="preserve">klinického zkoušení seznámí subjekt </w:t>
      </w:r>
      <w:r w:rsidR="00836671">
        <w:t xml:space="preserve">zkoušení </w:t>
      </w:r>
      <w:r w:rsidRPr="003A591C">
        <w:t>s jeho zdravotním stavem, popřípadě s předepsanými léčivy a způsobem jejich podání;</w:t>
      </w:r>
    </w:p>
    <w:p w14:paraId="2BFD1452" w14:textId="77777777" w:rsidR="00111235" w:rsidRDefault="00111235" w:rsidP="0080485B">
      <w:pPr>
        <w:pStyle w:val="Nadpis3"/>
      </w:pPr>
      <w:r w:rsidRPr="003A591C">
        <w:t xml:space="preserve">v průběhu </w:t>
      </w:r>
      <w:r w:rsidR="00711549" w:rsidRPr="003A591C">
        <w:t xml:space="preserve">klinického zkoušení </w:t>
      </w:r>
      <w:r w:rsidRPr="003A591C">
        <w:t>zajistí odpovídající výběr subjektů</w:t>
      </w:r>
      <w:r w:rsidR="00836671">
        <w:t xml:space="preserve"> zkoušení</w:t>
      </w:r>
      <w:r w:rsidRPr="003A591C">
        <w:t>, bude je evidovat podle jejich účasti na klinických zkouškách, evidovat jejich adresy, způsob telefonického nebo jiného spojení a lékařské zprávy o zdravotním stavu každého subjektu;</w:t>
      </w:r>
    </w:p>
    <w:p w14:paraId="7BDA5E31" w14:textId="0158A389" w:rsidR="00377998" w:rsidRPr="00A84F0D" w:rsidRDefault="00836671" w:rsidP="00377998">
      <w:pPr>
        <w:pStyle w:val="Nadpis3"/>
      </w:pPr>
      <w:r>
        <w:t>v průběhu klinického zkoušení bude informovat o účasti subjektu zkoušení na klinické zkoušce jeho registrujícího poskytovatele v oboru všeobecné praktické lékařství nebo v oboru praktické lékařství pro děti a dorost</w:t>
      </w:r>
      <w:r w:rsidRPr="00A84F0D">
        <w:t>;</w:t>
      </w:r>
      <w:r w:rsidR="00892363">
        <w:t xml:space="preserve"> </w:t>
      </w:r>
      <w:r w:rsidR="00377998">
        <w:t xml:space="preserve">v průběhu klinického zkoušení bude informovat zadavatele klinické zkoušky </w:t>
      </w:r>
      <w:r w:rsidR="00A07F7C">
        <w:t xml:space="preserve">a etickou komisi </w:t>
      </w:r>
      <w:r w:rsidR="00377998">
        <w:t>o vzniku všech nepříznivých událostí a závažných nepříznivých událostí vzniklých</w:t>
      </w:r>
      <w:r w:rsidR="00E80AB8">
        <w:t xml:space="preserve"> při zkoušení zdravotnického prostředku a o učiněných opatřeních</w:t>
      </w:r>
      <w:r w:rsidR="00377998" w:rsidRPr="00A84F0D">
        <w:t>;</w:t>
      </w:r>
    </w:p>
    <w:p w14:paraId="035C782A" w14:textId="408671DF" w:rsidR="00E80AB8" w:rsidRPr="00836671" w:rsidRDefault="00E80AB8" w:rsidP="00E80AB8">
      <w:pPr>
        <w:pStyle w:val="Nadpis3"/>
      </w:pPr>
      <w:r>
        <w:t xml:space="preserve">v průběhu klinického zkoušení bude projednávat se zadavatelem potřebné změny </w:t>
      </w:r>
      <w:r w:rsidR="00294928">
        <w:t>p</w:t>
      </w:r>
      <w:r>
        <w:t>lánu</w:t>
      </w:r>
      <w:r w:rsidRPr="00A84F0D">
        <w:t>; be</w:t>
      </w:r>
      <w:r>
        <w:t>z jeho písemného souhlasu nelze tyto změny realizovat</w:t>
      </w:r>
      <w:r w:rsidRPr="00A84F0D">
        <w:t>;</w:t>
      </w:r>
      <w:r>
        <w:t xml:space="preserve"> tento postup se však nepoužije v případě vzniku kritické </w:t>
      </w:r>
      <w:r w:rsidR="00B07ED3">
        <w:t xml:space="preserve">zdravotní </w:t>
      </w:r>
      <w:r>
        <w:t xml:space="preserve">situace směřující k ohrožení zdraví subjektů zkoušení </w:t>
      </w:r>
      <w:r w:rsidR="00B07ED3">
        <w:t xml:space="preserve">a vyžadující odchýlení se od </w:t>
      </w:r>
      <w:r w:rsidR="00294928">
        <w:t>p</w:t>
      </w:r>
      <w:r w:rsidR="00B07ED3">
        <w:t>lánu</w:t>
      </w:r>
      <w:r w:rsidR="00892363">
        <w:t xml:space="preserve"> </w:t>
      </w:r>
      <w:r>
        <w:t xml:space="preserve">– takové odchylky od </w:t>
      </w:r>
      <w:r w:rsidR="00650F67">
        <w:t xml:space="preserve">plánu </w:t>
      </w:r>
      <w:r>
        <w:t>rovněž nevyžadují souhlas etické komise a zadavatele, musí však být zadavateli neodkladně oznámeny</w:t>
      </w:r>
      <w:r w:rsidRPr="00A84F0D">
        <w:t>;</w:t>
      </w:r>
    </w:p>
    <w:p w14:paraId="0D7A8833" w14:textId="5143407E" w:rsidR="00F3567E" w:rsidRPr="003A591C" w:rsidRDefault="00111235" w:rsidP="0080485B">
      <w:pPr>
        <w:pStyle w:val="Nadpis3"/>
        <w:rPr>
          <w:snapToGrid w:val="0"/>
        </w:rPr>
      </w:pPr>
      <w:r w:rsidRPr="003A591C">
        <w:rPr>
          <w:snapToGrid w:val="0"/>
        </w:rPr>
        <w:t>v průběhu klinick</w:t>
      </w:r>
      <w:r w:rsidR="002D381A" w:rsidRPr="003A591C">
        <w:rPr>
          <w:snapToGrid w:val="0"/>
        </w:rPr>
        <w:t>ého</w:t>
      </w:r>
      <w:r w:rsidRPr="003A591C">
        <w:rPr>
          <w:snapToGrid w:val="0"/>
        </w:rPr>
        <w:t xml:space="preserve"> zkouše</w:t>
      </w:r>
      <w:r w:rsidR="002D381A" w:rsidRPr="003A591C">
        <w:rPr>
          <w:snapToGrid w:val="0"/>
        </w:rPr>
        <w:t>ní</w:t>
      </w:r>
      <w:r w:rsidRPr="003A591C">
        <w:rPr>
          <w:snapToGrid w:val="0"/>
        </w:rPr>
        <w:t xml:space="preserve"> bude </w:t>
      </w:r>
      <w:r w:rsidR="00F3567E" w:rsidRPr="003A591C">
        <w:rPr>
          <w:snapToGrid w:val="0"/>
        </w:rPr>
        <w:t>zajišť</w:t>
      </w:r>
      <w:r w:rsidRPr="003A591C">
        <w:rPr>
          <w:snapToGrid w:val="0"/>
        </w:rPr>
        <w:t>ovat</w:t>
      </w:r>
      <w:r w:rsidR="00F3567E" w:rsidRPr="003A591C">
        <w:rPr>
          <w:snapToGrid w:val="0"/>
        </w:rPr>
        <w:t xml:space="preserve">, aby všechny osoby </w:t>
      </w:r>
      <w:r w:rsidR="00A92000" w:rsidRPr="003A591C">
        <w:rPr>
          <w:snapToGrid w:val="0"/>
        </w:rPr>
        <w:t>zúčastněné</w:t>
      </w:r>
      <w:r w:rsidR="00F3567E" w:rsidRPr="003A591C">
        <w:rPr>
          <w:snapToGrid w:val="0"/>
        </w:rPr>
        <w:t xml:space="preserve"> na provádění </w:t>
      </w:r>
      <w:r w:rsidR="00F3567E" w:rsidRPr="003A591C">
        <w:t>klinického</w:t>
      </w:r>
      <w:r w:rsidR="00F3567E" w:rsidRPr="003A591C">
        <w:rPr>
          <w:snapToGrid w:val="0"/>
        </w:rPr>
        <w:t xml:space="preserve"> </w:t>
      </w:r>
      <w:r w:rsidR="00B77D97" w:rsidRPr="003A591C">
        <w:rPr>
          <w:snapToGrid w:val="0"/>
        </w:rPr>
        <w:t>zkoušení</w:t>
      </w:r>
      <w:r w:rsidR="00F3567E" w:rsidRPr="003A591C">
        <w:rPr>
          <w:snapToGrid w:val="0"/>
        </w:rPr>
        <w:t xml:space="preserve"> v daném místě byly dostatečně zkušené a</w:t>
      </w:r>
      <w:r w:rsidR="00630396">
        <w:rPr>
          <w:snapToGrid w:val="0"/>
        </w:rPr>
        <w:t> </w:t>
      </w:r>
      <w:r w:rsidR="00F3567E" w:rsidRPr="003A591C">
        <w:rPr>
          <w:snapToGrid w:val="0"/>
        </w:rPr>
        <w:t xml:space="preserve">přiměřeně kvalifikované a byly náležitě informovány o </w:t>
      </w:r>
      <w:r w:rsidR="000A3C8A" w:rsidRPr="003A591C">
        <w:rPr>
          <w:snapToGrid w:val="0"/>
        </w:rPr>
        <w:t xml:space="preserve">příručce </w:t>
      </w:r>
      <w:r w:rsidR="00907A23" w:rsidRPr="003A591C">
        <w:rPr>
          <w:snapToGrid w:val="0"/>
        </w:rPr>
        <w:t>z</w:t>
      </w:r>
      <w:r w:rsidR="001D5C98" w:rsidRPr="003A591C">
        <w:rPr>
          <w:snapToGrid w:val="0"/>
        </w:rPr>
        <w:t>koušející</w:t>
      </w:r>
      <w:r w:rsidR="000A3C8A" w:rsidRPr="003A591C">
        <w:rPr>
          <w:snapToGrid w:val="0"/>
        </w:rPr>
        <w:t>ho</w:t>
      </w:r>
      <w:r w:rsidR="00B07ED3">
        <w:rPr>
          <w:snapToGrid w:val="0"/>
        </w:rPr>
        <w:t>,</w:t>
      </w:r>
      <w:r w:rsidR="00F3567E" w:rsidRPr="003A591C">
        <w:rPr>
          <w:snapToGrid w:val="0"/>
        </w:rPr>
        <w:t xml:space="preserve"> o</w:t>
      </w:r>
      <w:r w:rsidR="00630396">
        <w:rPr>
          <w:snapToGrid w:val="0"/>
        </w:rPr>
        <w:t> </w:t>
      </w:r>
      <w:r w:rsidR="000A3C8A" w:rsidRPr="003A591C">
        <w:rPr>
          <w:snapToGrid w:val="0"/>
        </w:rPr>
        <w:t>zkoušených zdravotn</w:t>
      </w:r>
      <w:r w:rsidR="00247B45" w:rsidRPr="003A591C">
        <w:rPr>
          <w:snapToGrid w:val="0"/>
        </w:rPr>
        <w:t>ický</w:t>
      </w:r>
      <w:r w:rsidR="000A3C8A" w:rsidRPr="003A591C">
        <w:rPr>
          <w:snapToGrid w:val="0"/>
        </w:rPr>
        <w:t>ch prostřed</w:t>
      </w:r>
      <w:r w:rsidR="00F3567E" w:rsidRPr="003A591C">
        <w:rPr>
          <w:snapToGrid w:val="0"/>
        </w:rPr>
        <w:t>cích a o svých úkolech v souvislosti s</w:t>
      </w:r>
      <w:r w:rsidR="00630396">
        <w:rPr>
          <w:snapToGrid w:val="0"/>
        </w:rPr>
        <w:t> </w:t>
      </w:r>
      <w:r w:rsidR="00F3567E" w:rsidRPr="003A591C">
        <w:rPr>
          <w:snapToGrid w:val="0"/>
        </w:rPr>
        <w:t xml:space="preserve">klinickým </w:t>
      </w:r>
      <w:r w:rsidR="00B77D97" w:rsidRPr="003A591C">
        <w:rPr>
          <w:snapToGrid w:val="0"/>
        </w:rPr>
        <w:t>zkoušení</w:t>
      </w:r>
      <w:r w:rsidR="00F3567E" w:rsidRPr="003A591C">
        <w:rPr>
          <w:snapToGrid w:val="0"/>
        </w:rPr>
        <w:t>m</w:t>
      </w:r>
      <w:r w:rsidR="009E0E0D" w:rsidRPr="003A591C">
        <w:rPr>
          <w:snapToGrid w:val="0"/>
        </w:rPr>
        <w:t>;</w:t>
      </w:r>
    </w:p>
    <w:p w14:paraId="30C7D50F" w14:textId="25A1A89D" w:rsidR="00111235" w:rsidRPr="003A591C" w:rsidRDefault="00111235" w:rsidP="0080485B">
      <w:pPr>
        <w:pStyle w:val="Nadpis3"/>
        <w:rPr>
          <w:snapToGrid w:val="0"/>
        </w:rPr>
      </w:pPr>
      <w:r w:rsidRPr="003A591C">
        <w:t>bude v průběhu klinických zkoušek kontrolovat, zda se stále postupuje v souladu s</w:t>
      </w:r>
      <w:r w:rsidR="00630396">
        <w:t> </w:t>
      </w:r>
      <w:r w:rsidR="00294928">
        <w:t>p</w:t>
      </w:r>
      <w:r w:rsidR="00E80AB8">
        <w:t>lánem</w:t>
      </w:r>
      <w:r w:rsidRPr="003A591C">
        <w:t xml:space="preserve"> zkoušek a zda osoby, které provádějí a zajišťují klinické zkoušky, plní řádně úkoly, které na ně přenesl;</w:t>
      </w:r>
    </w:p>
    <w:p w14:paraId="7D4573B1" w14:textId="7EBE24EB" w:rsidR="00A02B32" w:rsidRPr="003A591C" w:rsidRDefault="009E0E0D" w:rsidP="0080485B">
      <w:pPr>
        <w:pStyle w:val="Nadpis3"/>
        <w:rPr>
          <w:snapToGrid w:val="0"/>
        </w:rPr>
      </w:pPr>
      <w:r w:rsidRPr="003A591C">
        <w:rPr>
          <w:snapToGrid w:val="0"/>
        </w:rPr>
        <w:t xml:space="preserve">zajišťuje, že subjektu </w:t>
      </w:r>
      <w:r w:rsidR="00B77D97" w:rsidRPr="003A591C">
        <w:rPr>
          <w:snapToGrid w:val="0"/>
        </w:rPr>
        <w:t>zkoušení</w:t>
      </w:r>
      <w:r w:rsidRPr="003A591C">
        <w:rPr>
          <w:snapToGrid w:val="0"/>
        </w:rPr>
        <w:t xml:space="preserve"> je poskytnuta přiměřená lékařská péče v případě nežádoucí příhody</w:t>
      </w:r>
      <w:r w:rsidR="00E80AB8">
        <w:rPr>
          <w:snapToGrid w:val="0"/>
        </w:rPr>
        <w:t xml:space="preserve"> (či nepříznivé události)</w:t>
      </w:r>
      <w:r w:rsidRPr="003A591C">
        <w:rPr>
          <w:snapToGrid w:val="0"/>
        </w:rPr>
        <w:t xml:space="preserve">, včetně klinicky významné odchylky laboratorních hodnot od hodnot normálních, ke které došlo v souvislosti s účastí subjektu </w:t>
      </w:r>
      <w:r w:rsidR="00B77D97" w:rsidRPr="003A591C">
        <w:rPr>
          <w:snapToGrid w:val="0"/>
        </w:rPr>
        <w:t>zkoušení</w:t>
      </w:r>
      <w:r w:rsidRPr="003A591C">
        <w:rPr>
          <w:snapToGrid w:val="0"/>
        </w:rPr>
        <w:t xml:space="preserve"> v</w:t>
      </w:r>
      <w:r w:rsidR="00630396">
        <w:rPr>
          <w:snapToGrid w:val="0"/>
        </w:rPr>
        <w:t> </w:t>
      </w:r>
      <w:r w:rsidRPr="003A591C">
        <w:rPr>
          <w:snapToGrid w:val="0"/>
        </w:rPr>
        <w:t xml:space="preserve">klinickém </w:t>
      </w:r>
      <w:r w:rsidR="00B77D97" w:rsidRPr="003A591C">
        <w:rPr>
          <w:snapToGrid w:val="0"/>
        </w:rPr>
        <w:t>zkoušení</w:t>
      </w:r>
      <w:r w:rsidR="00A02B32" w:rsidRPr="003A591C">
        <w:rPr>
          <w:snapToGrid w:val="0"/>
        </w:rPr>
        <w:t>;</w:t>
      </w:r>
    </w:p>
    <w:p w14:paraId="6C7445EF" w14:textId="77777777" w:rsidR="009E0E0D" w:rsidRPr="003A591C" w:rsidRDefault="009E0E0D" w:rsidP="0080485B">
      <w:pPr>
        <w:pStyle w:val="Nadpis3"/>
        <w:rPr>
          <w:snapToGrid w:val="0"/>
        </w:rPr>
      </w:pPr>
      <w:r w:rsidRPr="003A591C">
        <w:rPr>
          <w:snapToGrid w:val="0"/>
        </w:rPr>
        <w:lastRenderedPageBreak/>
        <w:t>zjistí-li nebo je-li informován o souběžně p</w:t>
      </w:r>
      <w:r w:rsidR="00BA161F" w:rsidRPr="003A591C">
        <w:rPr>
          <w:snapToGrid w:val="0"/>
        </w:rPr>
        <w:t>robíhajícím onemocnění subjektu</w:t>
      </w:r>
      <w:r w:rsidR="00711549" w:rsidRPr="003A591C">
        <w:rPr>
          <w:snapToGrid w:val="0"/>
        </w:rPr>
        <w:t xml:space="preserve"> </w:t>
      </w:r>
      <w:r w:rsidR="00B77D97" w:rsidRPr="003A591C">
        <w:rPr>
          <w:snapToGrid w:val="0"/>
        </w:rPr>
        <w:t>zkoušení</w:t>
      </w:r>
      <w:r w:rsidRPr="003A591C">
        <w:rPr>
          <w:snapToGrid w:val="0"/>
        </w:rPr>
        <w:t xml:space="preserve">, informuje subjekt </w:t>
      </w:r>
      <w:r w:rsidR="00B77D97" w:rsidRPr="003A591C">
        <w:rPr>
          <w:snapToGrid w:val="0"/>
        </w:rPr>
        <w:t>zkoušení</w:t>
      </w:r>
      <w:r w:rsidRPr="003A591C">
        <w:rPr>
          <w:snapToGrid w:val="0"/>
        </w:rPr>
        <w:t xml:space="preserve"> o této skutečnosti;</w:t>
      </w:r>
    </w:p>
    <w:p w14:paraId="43ABCCBF" w14:textId="77777777" w:rsidR="009E0E0D" w:rsidRPr="003A591C" w:rsidRDefault="009E0E0D" w:rsidP="0080485B">
      <w:pPr>
        <w:pStyle w:val="Nadpis3"/>
        <w:rPr>
          <w:snapToGrid w:val="0"/>
        </w:rPr>
      </w:pPr>
      <w:r w:rsidRPr="003A591C">
        <w:rPr>
          <w:snapToGrid w:val="0"/>
        </w:rPr>
        <w:t xml:space="preserve">v případě souhlasu subjektu </w:t>
      </w:r>
      <w:r w:rsidR="00B77D97" w:rsidRPr="003A591C">
        <w:rPr>
          <w:snapToGrid w:val="0"/>
        </w:rPr>
        <w:t>zkoušení</w:t>
      </w:r>
      <w:r w:rsidRPr="003A591C">
        <w:rPr>
          <w:snapToGrid w:val="0"/>
        </w:rPr>
        <w:t xml:space="preserve"> informuje o jeho účasti v klinickém </w:t>
      </w:r>
      <w:r w:rsidR="00B77D97" w:rsidRPr="003A591C">
        <w:rPr>
          <w:snapToGrid w:val="0"/>
        </w:rPr>
        <w:t>zkoušení</w:t>
      </w:r>
      <w:r w:rsidRPr="003A591C">
        <w:rPr>
          <w:snapToGrid w:val="0"/>
        </w:rPr>
        <w:t xml:space="preserve"> jeho ošetřujícího lékaře;</w:t>
      </w:r>
    </w:p>
    <w:p w14:paraId="30DA9D05" w14:textId="77777777" w:rsidR="00111235" w:rsidRPr="003A591C" w:rsidRDefault="00111235" w:rsidP="0080485B">
      <w:pPr>
        <w:pStyle w:val="Nadpis3"/>
        <w:rPr>
          <w:snapToGrid w:val="0"/>
        </w:rPr>
      </w:pPr>
      <w:r w:rsidRPr="003A591C">
        <w:t>seznámí subjekt s možnými zdravotními důsledky pro případ odstoupení od klinických zkoušek, jestliže se tak rozhodl v průběhu jejich provádění;</w:t>
      </w:r>
    </w:p>
    <w:p w14:paraId="4DC6964B" w14:textId="19A8B5EA" w:rsidR="00111235" w:rsidRPr="003A591C" w:rsidRDefault="00111235" w:rsidP="0080485B">
      <w:pPr>
        <w:pStyle w:val="Nadpis3"/>
        <w:rPr>
          <w:snapToGrid w:val="0"/>
        </w:rPr>
      </w:pPr>
      <w:r w:rsidRPr="003A591C">
        <w:t xml:space="preserve">informuje etickou komisi o změně v plánu </w:t>
      </w:r>
      <w:proofErr w:type="spellStart"/>
      <w:r w:rsidRPr="003A591C">
        <w:t>s</w:t>
      </w:r>
      <w:r w:rsidR="00197FA5" w:rsidRPr="003A591C">
        <w:t>schválen</w:t>
      </w:r>
      <w:r w:rsidR="00197FA5">
        <w:t>ého</w:t>
      </w:r>
      <w:proofErr w:type="spellEnd"/>
      <w:r w:rsidR="00197FA5" w:rsidRPr="003A591C">
        <w:t xml:space="preserve"> </w:t>
      </w:r>
      <w:r w:rsidRPr="003A591C">
        <w:t>již zadavatelem a vyžád</w:t>
      </w:r>
      <w:r w:rsidR="00A07F7C">
        <w:t>á</w:t>
      </w:r>
      <w:r w:rsidRPr="003A591C">
        <w:t xml:space="preserve"> si její stanovisko;</w:t>
      </w:r>
    </w:p>
    <w:p w14:paraId="56808E0A" w14:textId="15CC449F" w:rsidR="00A07F7C" w:rsidRPr="00836671" w:rsidRDefault="00197FA5" w:rsidP="00A07F7C">
      <w:pPr>
        <w:pStyle w:val="Nadpis3"/>
      </w:pPr>
      <w:r>
        <w:t xml:space="preserve">do 90 dnů </w:t>
      </w:r>
      <w:r w:rsidR="00A07F7C">
        <w:t xml:space="preserve">po </w:t>
      </w:r>
      <w:r>
        <w:t xml:space="preserve">řádném nebo předčasném </w:t>
      </w:r>
      <w:r w:rsidR="00A07F7C">
        <w:t>ukončení klinického zkoušení odsouhlasí a podpisem potvrdí závěrečnou zprávu o klinické zkoušce</w:t>
      </w:r>
      <w:r w:rsidR="00A07F7C" w:rsidRPr="00A84F0D">
        <w:t>;</w:t>
      </w:r>
    </w:p>
    <w:p w14:paraId="1CD60AD3" w14:textId="587147D3" w:rsidR="00303251" w:rsidRPr="003A591C" w:rsidRDefault="001D5C98" w:rsidP="0080485B">
      <w:pPr>
        <w:pStyle w:val="Nadpis2"/>
        <w:rPr>
          <w:snapToGrid w:val="0"/>
          <w:szCs w:val="24"/>
        </w:rPr>
      </w:pPr>
      <w:r w:rsidRPr="003A591C">
        <w:t>Zkoušející</w:t>
      </w:r>
      <w:r w:rsidR="00711549" w:rsidRPr="003A591C">
        <w:t xml:space="preserve"> je</w:t>
      </w:r>
      <w:r w:rsidR="00303251" w:rsidRPr="003A591C">
        <w:t xml:space="preserve"> dále povinen zajistit</w:t>
      </w:r>
      <w:r w:rsidR="00197FA5">
        <w:t>:</w:t>
      </w:r>
    </w:p>
    <w:p w14:paraId="5A69F76C" w14:textId="77777777" w:rsidR="00303251" w:rsidRPr="003A591C" w:rsidRDefault="00303251" w:rsidP="0080485B">
      <w:pPr>
        <w:pStyle w:val="Nadpis3"/>
      </w:pPr>
      <w:r w:rsidRPr="003A591C">
        <w:t>aby rizika při provádění klinic</w:t>
      </w:r>
      <w:r w:rsidR="00A94D14" w:rsidRPr="003A591C">
        <w:t>kých zkoušek neohrozila subjekt</w:t>
      </w:r>
      <w:r w:rsidR="00A07F7C">
        <w:t xml:space="preserve"> zkoušení</w:t>
      </w:r>
      <w:r w:rsidR="00A94D14" w:rsidRPr="003A591C">
        <w:t>;</w:t>
      </w:r>
    </w:p>
    <w:p w14:paraId="2E45E1F9" w14:textId="71DEE00B" w:rsidR="00303251" w:rsidRPr="003A591C" w:rsidRDefault="00303251" w:rsidP="0080485B">
      <w:pPr>
        <w:pStyle w:val="Nadpis3"/>
      </w:pPr>
      <w:r w:rsidRPr="003A591C">
        <w:t xml:space="preserve">posouzení, zda </w:t>
      </w:r>
      <w:r w:rsidR="00A07F7C">
        <w:t>zdravotní</w:t>
      </w:r>
      <w:r w:rsidR="00A07F7C" w:rsidRPr="003A591C">
        <w:t xml:space="preserve"> </w:t>
      </w:r>
      <w:r w:rsidRPr="003A591C">
        <w:t>stav subjektu umožň</w:t>
      </w:r>
      <w:r w:rsidR="00A94D14" w:rsidRPr="003A591C">
        <w:t>uje zahájení klinických zkoušek;</w:t>
      </w:r>
    </w:p>
    <w:p w14:paraId="49FACAF9" w14:textId="77777777" w:rsidR="00303251" w:rsidRPr="003A591C" w:rsidRDefault="00A94D14" w:rsidP="0080485B">
      <w:pPr>
        <w:pStyle w:val="Nadpis3"/>
      </w:pPr>
      <w:r w:rsidRPr="003A591C">
        <w:t>získání informovaného souhlasu;</w:t>
      </w:r>
    </w:p>
    <w:p w14:paraId="3549912B" w14:textId="785785EE" w:rsidR="008E39A6" w:rsidRPr="003A591C" w:rsidRDefault="008E39A6" w:rsidP="0080485B">
      <w:pPr>
        <w:pStyle w:val="Nadpis3"/>
      </w:pPr>
      <w:r w:rsidRPr="003A591C">
        <w:t>přesnost, čitelnost a ochranu údajů o klinických zkouškách, údajů v dokumentech a záznamech o subjektech, a to jak v průběhu, tak i po ukončení klinických zkoušek</w:t>
      </w:r>
      <w:r w:rsidR="00593F9F">
        <w:t>;</w:t>
      </w:r>
    </w:p>
    <w:p w14:paraId="6252E8E0" w14:textId="77777777" w:rsidR="008E39A6" w:rsidRPr="003A591C" w:rsidRDefault="008E39A6" w:rsidP="0080485B">
      <w:pPr>
        <w:pStyle w:val="Nadpis3"/>
      </w:pPr>
      <w:r w:rsidRPr="003A591C">
        <w:t>a dále provedení změn těchto údajů; tyto změny musí být provedeny tak, aby původní zápis zůstal čitelný, u každé změny musí být uvedeno datum jejího provedení a pod</w:t>
      </w:r>
      <w:r w:rsidR="00A94D14" w:rsidRPr="003A591C">
        <w:t>pis osoby, která změnu provedla;</w:t>
      </w:r>
    </w:p>
    <w:p w14:paraId="66D49EC8" w14:textId="11A91D18" w:rsidR="00593F9F" w:rsidRDefault="008E39A6" w:rsidP="0080485B">
      <w:pPr>
        <w:pStyle w:val="Nadpis3"/>
      </w:pPr>
      <w:r w:rsidRPr="003A591C">
        <w:t xml:space="preserve">oznámení </w:t>
      </w:r>
      <w:r w:rsidR="00A07F7C">
        <w:t>nepříznivé události</w:t>
      </w:r>
      <w:r w:rsidRPr="003A591C">
        <w:t xml:space="preserve"> zadavateli, její dokumentaci a odstranění jejích negativních dopadů na zdraví subjektů, popřípadě dalších fyzických osob, které se na provádění klinických zkoušek podílejí</w:t>
      </w:r>
      <w:r w:rsidR="00593F9F">
        <w:t>;</w:t>
      </w:r>
    </w:p>
    <w:p w14:paraId="1667CD71" w14:textId="14BF3228" w:rsidR="00570DC8" w:rsidRPr="00B07460" w:rsidRDefault="00B07460" w:rsidP="00570DC8">
      <w:pPr>
        <w:pStyle w:val="Nadpis3"/>
        <w:rPr>
          <w:rFonts w:cstheme="minorBidi"/>
          <w:szCs w:val="24"/>
        </w:rPr>
      </w:pPr>
      <w:bookmarkStart w:id="3" w:name="_cp_blt_1_103"/>
      <w:bookmarkStart w:id="4" w:name="_cp_text_1_97"/>
      <w:bookmarkStart w:id="5" w:name="_cp_text_4_98"/>
      <w:bookmarkStart w:id="6" w:name="_cp_text_1_99"/>
      <w:bookmarkStart w:id="7" w:name="_cp_text_4_100"/>
      <w:bookmarkStart w:id="8" w:name="_cp_text_1_101"/>
      <w:bookmarkStart w:id="9" w:name="_cp_blt_1_95"/>
      <w:bookmarkStart w:id="10" w:name="_cp_text_1_91"/>
      <w:bookmarkStart w:id="11" w:name="_cp_text_4_92"/>
      <w:bookmarkStart w:id="12" w:name="_cp_text_1_93"/>
      <w:bookmarkStart w:id="13" w:name="_cp_text_4_94"/>
      <w:r w:rsidRPr="00B07460">
        <w:rPr>
          <w:rFonts w:cstheme="minorBidi"/>
          <w:szCs w:val="24"/>
        </w:rPr>
        <w:t>shromažďování a uchovávání úplných, přesných a aktuálních záznamů o klinické</w:t>
      </w:r>
      <w:r w:rsidR="00294928">
        <w:rPr>
          <w:rFonts w:cstheme="minorBidi"/>
          <w:szCs w:val="24"/>
        </w:rPr>
        <w:t xml:space="preserve"> zkoušce</w:t>
      </w:r>
      <w:r w:rsidRPr="00B07460">
        <w:rPr>
          <w:rFonts w:cstheme="minorBidi"/>
          <w:szCs w:val="24"/>
        </w:rPr>
        <w:t>. Pro účely této smlouvy zahrnují „záznamy o klinické zkouš</w:t>
      </w:r>
      <w:r w:rsidR="00294928">
        <w:rPr>
          <w:rFonts w:cstheme="minorBidi"/>
          <w:szCs w:val="24"/>
        </w:rPr>
        <w:t>ce</w:t>
      </w:r>
      <w:r w:rsidRPr="00B07460">
        <w:rPr>
          <w:rFonts w:cstheme="minorBidi"/>
          <w:szCs w:val="24"/>
        </w:rPr>
        <w:t>“ veškeré dokumenty, záznamy a formuláře vzniklé v souvislosti s prováděním klinického zkoušení, včetně zdrojových dokumentů, informovaných souhlasů (definovaných níže), laboratorních údajů a veškeré korespondence s etickou komisí nebo jakýmkoli jiným regulačním orgánem vztahující se ke klinické zkouš</w:t>
      </w:r>
      <w:r w:rsidR="00294928">
        <w:rPr>
          <w:rFonts w:cstheme="minorBidi"/>
          <w:szCs w:val="24"/>
        </w:rPr>
        <w:t>ce</w:t>
      </w:r>
      <w:r w:rsidRPr="00B07460">
        <w:rPr>
          <w:rFonts w:cstheme="minorBidi"/>
          <w:szCs w:val="24"/>
        </w:rPr>
        <w:t>. Poskytovatel poskytne zadavateli (nebo osobě, kterou zadavatel určí) na jeho žádost veškeré záznamy o klinickém zkoušení;</w:t>
      </w:r>
    </w:p>
    <w:bookmarkEnd w:id="3"/>
    <w:bookmarkEnd w:id="4"/>
    <w:bookmarkEnd w:id="5"/>
    <w:bookmarkEnd w:id="6"/>
    <w:bookmarkEnd w:id="7"/>
    <w:bookmarkEnd w:id="8"/>
    <w:bookmarkEnd w:id="9"/>
    <w:bookmarkEnd w:id="10"/>
    <w:bookmarkEnd w:id="11"/>
    <w:bookmarkEnd w:id="12"/>
    <w:bookmarkEnd w:id="13"/>
    <w:p w14:paraId="7E196651" w14:textId="4B329A33" w:rsidR="00B07F7F" w:rsidRDefault="00B07F7F" w:rsidP="00B07F7F">
      <w:pPr>
        <w:pStyle w:val="Nadpis3"/>
        <w:rPr>
          <w:rFonts w:cstheme="minorBidi"/>
          <w:vanish/>
          <w:szCs w:val="24"/>
        </w:rPr>
      </w:pPr>
      <w:r>
        <w:rPr>
          <w:rFonts w:cstheme="minorBidi"/>
          <w:szCs w:val="24"/>
        </w:rPr>
        <w:t>Zkoušející v souladu s </w:t>
      </w:r>
      <w:r w:rsidR="00294928">
        <w:rPr>
          <w:rFonts w:cstheme="minorBidi"/>
          <w:szCs w:val="24"/>
        </w:rPr>
        <w:t>p</w:t>
      </w:r>
      <w:r>
        <w:rPr>
          <w:rFonts w:cstheme="minorBidi"/>
          <w:szCs w:val="24"/>
        </w:rPr>
        <w:t xml:space="preserve">lánem dokončí v případě každého subjektu zkoušení kompletní klinické vyšetření a vyplní originál formuláře pro záznam údajů o subjektech zkoušení (dále jen „formulář CRF“ [Case Report </w:t>
      </w:r>
      <w:proofErr w:type="spellStart"/>
      <w:r>
        <w:rPr>
          <w:rFonts w:cstheme="minorBidi"/>
          <w:szCs w:val="24"/>
        </w:rPr>
        <w:t>Form</w:t>
      </w:r>
      <w:proofErr w:type="spellEnd"/>
      <w:r>
        <w:rPr>
          <w:rFonts w:cstheme="minorBidi"/>
          <w:szCs w:val="24"/>
        </w:rPr>
        <w:t>]).</w:t>
      </w:r>
    </w:p>
    <w:p w14:paraId="2F772531" w14:textId="77777777" w:rsidR="00B07F7F" w:rsidRDefault="00B07F7F" w:rsidP="00B07F7F">
      <w:pPr>
        <w:pStyle w:val="Nadpis3"/>
        <w:rPr>
          <w:rFonts w:cstheme="minorBidi"/>
          <w:szCs w:val="24"/>
        </w:rPr>
      </w:pPr>
      <w:r>
        <w:rPr>
          <w:rFonts w:cstheme="minorBidi"/>
          <w:szCs w:val="24"/>
        </w:rPr>
        <w:t xml:space="preserve"> Zkoušející kromě toho zadavateli nebo osobě, kterou zadavatel určí, dodá do 30 (třiceti) dnů po vyšetření subjektu klinického hodnocení všechny vyplněné formuláře CRF a do 30 (třiceti) dnů po ukončení klinického zkoušejí veškeré nevyplněné formuláře CRF.</w:t>
      </w:r>
    </w:p>
    <w:p w14:paraId="2FD31E61" w14:textId="49C1F8A8" w:rsidR="00593F9F" w:rsidRPr="00593F9F" w:rsidRDefault="00593F9F" w:rsidP="00294928">
      <w:pPr>
        <w:pStyle w:val="Nzev"/>
        <w:ind w:left="1134" w:hanging="1134"/>
        <w:jc w:val="both"/>
        <w:rPr>
          <w:rFonts w:cstheme="minorBidi"/>
          <w:szCs w:val="24"/>
        </w:rPr>
      </w:pPr>
    </w:p>
    <w:p w14:paraId="5F3CB643" w14:textId="3962C713" w:rsidR="00464F5C" w:rsidRPr="00BF2E4E" w:rsidRDefault="00134C7A" w:rsidP="00BF2E4E">
      <w:pPr>
        <w:pStyle w:val="Nadpis1"/>
      </w:pPr>
      <w:r>
        <w:t>Další povinnosti zadavatele</w:t>
      </w:r>
      <w:r w:rsidR="00B07460">
        <w:t xml:space="preserve"> a poskytovatele</w:t>
      </w:r>
    </w:p>
    <w:p w14:paraId="37291BBB" w14:textId="200985BE" w:rsidR="00F85AED" w:rsidRPr="003A591C" w:rsidRDefault="00464F5C" w:rsidP="0080485B">
      <w:pPr>
        <w:pStyle w:val="Nadpis2"/>
      </w:pPr>
      <w:r w:rsidRPr="003A591C">
        <w:t xml:space="preserve">Zadavatel </w:t>
      </w:r>
      <w:r w:rsidR="00B07460">
        <w:t xml:space="preserve">nebo jeho asistent </w:t>
      </w:r>
      <w:r w:rsidRPr="003A591C">
        <w:t xml:space="preserve">poskytne </w:t>
      </w:r>
      <w:r w:rsidR="00DE3672" w:rsidRPr="003A591C">
        <w:t>poskytovateli</w:t>
      </w:r>
      <w:r w:rsidRPr="003A591C">
        <w:t xml:space="preserve"> formuláře </w:t>
      </w:r>
      <w:r w:rsidR="0060726E">
        <w:t>CRF schválené zadavatelem</w:t>
      </w:r>
      <w:r w:rsidR="00383659" w:rsidRPr="003A591C">
        <w:t>.</w:t>
      </w:r>
    </w:p>
    <w:p w14:paraId="3F19A448" w14:textId="6FB3B24F" w:rsidR="00AE5B52" w:rsidRPr="003A591C" w:rsidRDefault="00AE5B52" w:rsidP="0080485B">
      <w:pPr>
        <w:pStyle w:val="Nadpis2"/>
      </w:pPr>
      <w:r w:rsidRPr="003A591C">
        <w:t>Zadavatelem</w:t>
      </w:r>
      <w:r w:rsidR="0060726E">
        <w:t xml:space="preserve">, příp. jeho asistentem </w:t>
      </w:r>
      <w:r w:rsidRPr="003A591C">
        <w:t xml:space="preserve">poskytnuté </w:t>
      </w:r>
      <w:r w:rsidR="002C67DD" w:rsidRPr="003A591C">
        <w:t>zdravotnické prostředky</w:t>
      </w:r>
      <w:r w:rsidRPr="003A591C">
        <w:t xml:space="preserve"> i ostatní materiál, </w:t>
      </w:r>
      <w:r w:rsidR="0060726E">
        <w:t>jehož</w:t>
      </w:r>
      <w:r w:rsidR="0060726E" w:rsidRPr="003A591C">
        <w:t xml:space="preserve"> </w:t>
      </w:r>
      <w:r w:rsidRPr="003A591C">
        <w:t>specifikace je uvedena v</w:t>
      </w:r>
      <w:r w:rsidR="002C67DD" w:rsidRPr="003A591C">
        <w:t> dokumentaci klinického zkoušení</w:t>
      </w:r>
      <w:r w:rsidR="00C15649" w:rsidRPr="003A591C">
        <w:t>,</w:t>
      </w:r>
      <w:r w:rsidRPr="003A591C">
        <w:t xml:space="preserve"> </w:t>
      </w:r>
      <w:r w:rsidR="00C15649" w:rsidRPr="003A591C">
        <w:t>p</w:t>
      </w:r>
      <w:r w:rsidRPr="003A591C">
        <w:t xml:space="preserve">oužije </w:t>
      </w:r>
      <w:r w:rsidR="001B416E" w:rsidRPr="003A591C">
        <w:t>poskytovatel</w:t>
      </w:r>
      <w:r w:rsidRPr="003A591C">
        <w:t xml:space="preserve"> pouze </w:t>
      </w:r>
      <w:r w:rsidR="0060726E">
        <w:t>k</w:t>
      </w:r>
      <w:r w:rsidR="0060726E" w:rsidRPr="003A591C">
        <w:t xml:space="preserve"> </w:t>
      </w:r>
      <w:r w:rsidRPr="003A591C">
        <w:t xml:space="preserve">provedení klinického </w:t>
      </w:r>
      <w:r w:rsidR="00B77D97" w:rsidRPr="003A591C">
        <w:t>zkoušení</w:t>
      </w:r>
      <w:r w:rsidRPr="003A591C">
        <w:t xml:space="preserve">. Zadavatel je vlastníkem veškerého hodnoceného </w:t>
      </w:r>
      <w:r w:rsidR="002C67DD" w:rsidRPr="003A591C">
        <w:t>materiálu</w:t>
      </w:r>
      <w:r w:rsidRPr="003A591C">
        <w:t xml:space="preserve">. Všechny materiály, které nebudou použity v rámci klinického </w:t>
      </w:r>
      <w:r w:rsidR="00B77D97" w:rsidRPr="003A591C">
        <w:t>zkoušení</w:t>
      </w:r>
      <w:r w:rsidRPr="003A591C">
        <w:t xml:space="preserve">, vrátí </w:t>
      </w:r>
      <w:r w:rsidR="001B416E" w:rsidRPr="003A591C">
        <w:t>poskytovatel</w:t>
      </w:r>
      <w:r w:rsidRPr="003A591C">
        <w:t xml:space="preserve"> zadavateli nebo je zlikvidují podle instrukcí zadavatele.</w:t>
      </w:r>
    </w:p>
    <w:p w14:paraId="55C045B5" w14:textId="37448568" w:rsidR="00EB4CF1" w:rsidRPr="003A591C" w:rsidRDefault="00310850" w:rsidP="0080485B">
      <w:pPr>
        <w:pStyle w:val="Nadpis2"/>
        <w:rPr>
          <w:szCs w:val="24"/>
        </w:rPr>
      </w:pPr>
      <w:r w:rsidRPr="003A591C">
        <w:rPr>
          <w:szCs w:val="24"/>
        </w:rPr>
        <w:t>Zadavatel</w:t>
      </w:r>
      <w:r w:rsidR="0060726E">
        <w:rPr>
          <w:szCs w:val="24"/>
        </w:rPr>
        <w:t>, příp. jeho asistent</w:t>
      </w:r>
      <w:r w:rsidRPr="003A591C">
        <w:rPr>
          <w:szCs w:val="24"/>
        </w:rPr>
        <w:t xml:space="preserve"> je povinen</w:t>
      </w:r>
      <w:r w:rsidR="00EB4CF1" w:rsidRPr="003A591C">
        <w:rPr>
          <w:szCs w:val="24"/>
        </w:rPr>
        <w:t>:</w:t>
      </w:r>
    </w:p>
    <w:p w14:paraId="4C3F0BA4" w14:textId="5BCC67E0" w:rsidR="00006075" w:rsidRPr="003A591C" w:rsidRDefault="00006075" w:rsidP="0080485B">
      <w:pPr>
        <w:pStyle w:val="Nadpis3"/>
      </w:pPr>
      <w:r w:rsidRPr="003A591C">
        <w:lastRenderedPageBreak/>
        <w:t xml:space="preserve">předat </w:t>
      </w:r>
      <w:r w:rsidR="00472D44" w:rsidRPr="003A591C">
        <w:t>z</w:t>
      </w:r>
      <w:r w:rsidR="001D5C98" w:rsidRPr="003A591C">
        <w:t>koušející</w:t>
      </w:r>
      <w:r w:rsidRPr="003A591C">
        <w:t>mu zdravotnický prostředek určený pro klinické zkoušky a</w:t>
      </w:r>
      <w:r w:rsidR="00630396">
        <w:t> </w:t>
      </w:r>
      <w:r w:rsidRPr="003A591C">
        <w:t xml:space="preserve">uvedený v </w:t>
      </w:r>
      <w:r w:rsidR="00383CBA" w:rsidRPr="003A591C">
        <w:t>dokumentaci</w:t>
      </w:r>
      <w:r w:rsidR="00773D79" w:rsidRPr="003A591C">
        <w:t xml:space="preserve"> klinických zkoušek</w:t>
      </w:r>
      <w:r w:rsidR="00C061D6">
        <w:t>,</w:t>
      </w:r>
    </w:p>
    <w:p w14:paraId="29AE7915" w14:textId="5D907B7A" w:rsidR="00310850" w:rsidRPr="003A591C" w:rsidRDefault="00493030" w:rsidP="0080485B">
      <w:pPr>
        <w:pStyle w:val="Nadpis3"/>
      </w:pPr>
      <w:r>
        <w:t xml:space="preserve">v nezbytném rozsahu </w:t>
      </w:r>
      <w:r w:rsidR="009156CE" w:rsidRPr="003A591C">
        <w:t xml:space="preserve">zajistit </w:t>
      </w:r>
      <w:r w:rsidR="00310850" w:rsidRPr="003A591C">
        <w:t xml:space="preserve">přípravu, uchovávání, bezpečnost a úplnost dokumentů, zejména (i) </w:t>
      </w:r>
      <w:r w:rsidR="00080D8C">
        <w:t>p</w:t>
      </w:r>
      <w:r w:rsidR="00310850" w:rsidRPr="003A591C">
        <w:t>lánu, (</w:t>
      </w:r>
      <w:proofErr w:type="spellStart"/>
      <w:r w:rsidR="00310850" w:rsidRPr="003A591C">
        <w:t>ii</w:t>
      </w:r>
      <w:proofErr w:type="spellEnd"/>
      <w:r w:rsidR="00310850" w:rsidRPr="003A591C">
        <w:t>) zpráv o vyšetření subjektů, (</w:t>
      </w:r>
      <w:proofErr w:type="spellStart"/>
      <w:r w:rsidR="00310850" w:rsidRPr="003A591C">
        <w:t>ii</w:t>
      </w:r>
      <w:r w:rsidR="00B13D62">
        <w:t>i</w:t>
      </w:r>
      <w:proofErr w:type="spellEnd"/>
      <w:r w:rsidR="00B13D62">
        <w:t xml:space="preserve">) </w:t>
      </w:r>
      <w:r w:rsidR="0094760A">
        <w:t xml:space="preserve">písemného </w:t>
      </w:r>
      <w:r w:rsidR="00B13D62">
        <w:t>souhlasu etické komise</w:t>
      </w:r>
      <w:r w:rsidR="0094760A">
        <w:t>,</w:t>
      </w:r>
      <w:r w:rsidR="00B13D62">
        <w:t xml:space="preserve"> </w:t>
      </w:r>
      <w:r w:rsidR="0094760A">
        <w:t>(</w:t>
      </w:r>
      <w:proofErr w:type="spellStart"/>
      <w:r w:rsidR="0094760A">
        <w:t>iv</w:t>
      </w:r>
      <w:proofErr w:type="spellEnd"/>
      <w:r w:rsidR="0094760A">
        <w:t>) povolení Státního ú</w:t>
      </w:r>
      <w:r w:rsidR="0094760A" w:rsidRPr="003A591C">
        <w:t>stav</w:t>
      </w:r>
      <w:r w:rsidR="0094760A">
        <w:t>u</w:t>
      </w:r>
      <w:r w:rsidR="0094760A" w:rsidRPr="003A591C">
        <w:t xml:space="preserve"> pro kontrolu léčiv</w:t>
      </w:r>
      <w:r w:rsidR="0094760A">
        <w:t>, doklad</w:t>
      </w:r>
      <w:r w:rsidR="008054ED">
        <w:t>u</w:t>
      </w:r>
      <w:r w:rsidR="0094760A">
        <w:t xml:space="preserve"> o sjednání pojištění</w:t>
      </w:r>
      <w:r w:rsidR="00A73B31">
        <w:t>,</w:t>
      </w:r>
      <w:r w:rsidR="0094760A">
        <w:t xml:space="preserve"> </w:t>
      </w:r>
      <w:r w:rsidR="008054ED">
        <w:t>uvedeného v </w:t>
      </w:r>
      <w:r w:rsidR="0007118A">
        <w:t>odd</w:t>
      </w:r>
      <w:r w:rsidR="008054ED">
        <w:t>íle 10</w:t>
      </w:r>
      <w:r w:rsidR="00A73B31">
        <w:t xml:space="preserve">, </w:t>
      </w:r>
      <w:r w:rsidR="0094760A">
        <w:t xml:space="preserve">celého průběhu klinické zkoušky pro případ škody, újmy na zdraví nebo smrti, (v) prohlášení, zda zdravotnický prostředek obsahuje jako svou </w:t>
      </w:r>
      <w:r w:rsidR="008054ED">
        <w:t xml:space="preserve">nedílnou </w:t>
      </w:r>
      <w:r w:rsidR="0094760A">
        <w:t>součást léčivou látku nebo derivát z lidské krve nebo plazmy, (</w:t>
      </w:r>
      <w:proofErr w:type="spellStart"/>
      <w:r w:rsidR="0094760A">
        <w:t>vi</w:t>
      </w:r>
      <w:proofErr w:type="spellEnd"/>
      <w:r w:rsidR="0094760A">
        <w:t>) prohlášení, zda je zdravotnický prostředek z hlediska minimalizace rizika přenosu TSE na člověka vyroben s použitím tkání zvířecího původu, (</w:t>
      </w:r>
      <w:proofErr w:type="spellStart"/>
      <w:r w:rsidR="0094760A">
        <w:t>vii</w:t>
      </w:r>
      <w:proofErr w:type="spellEnd"/>
      <w:r w:rsidR="0094760A">
        <w:t xml:space="preserve">) </w:t>
      </w:r>
      <w:r w:rsidR="0094760A" w:rsidRPr="0094760A">
        <w:t>prohlášení, že příslušný zdravotnický prostředek splňuje základní požadavky stanovené pro zdravotnické prostředky při posuzování shody podle jiných právních předpisů upravujících technické požadavky na výrobky, s výjimkou hledisek, která jsou předmětem klinických zkoušek, a že s ohledem na tato hlediska byla učiněna předběžná opatření k ochraně zdraví a bezpečnosti uživatele a pacienta</w:t>
      </w:r>
      <w:r w:rsidR="006B29AA">
        <w:t>,</w:t>
      </w:r>
      <w:r w:rsidR="0094760A">
        <w:t xml:space="preserve"> </w:t>
      </w:r>
      <w:r w:rsidR="00310850" w:rsidRPr="003A591C">
        <w:t>(</w:t>
      </w:r>
      <w:proofErr w:type="spellStart"/>
      <w:r w:rsidR="00310850" w:rsidRPr="003A591C">
        <w:t>v</w:t>
      </w:r>
      <w:r w:rsidR="0094760A">
        <w:t>iii</w:t>
      </w:r>
      <w:proofErr w:type="spellEnd"/>
      <w:r w:rsidR="00310850" w:rsidRPr="003A591C">
        <w:t xml:space="preserve">) informací o </w:t>
      </w:r>
      <w:r w:rsidR="0094760A">
        <w:t>nepříznivých událostech</w:t>
      </w:r>
      <w:r w:rsidR="00310850" w:rsidRPr="003A591C">
        <w:t>, které mu byly oznámeny,</w:t>
      </w:r>
      <w:r w:rsidR="006B29AA">
        <w:t xml:space="preserve"> (</w:t>
      </w:r>
      <w:proofErr w:type="spellStart"/>
      <w:r w:rsidR="006B29AA">
        <w:t>ix</w:t>
      </w:r>
      <w:proofErr w:type="spellEnd"/>
      <w:r w:rsidR="006B29AA">
        <w:t xml:space="preserve">) činnostech prováděných podle </w:t>
      </w:r>
      <w:r w:rsidR="00A73B31">
        <w:t>p</w:t>
      </w:r>
      <w:r w:rsidR="006B29AA">
        <w:t xml:space="preserve">lánu a předem nepředvídaných jevech a opatřeních provedených nad rámec </w:t>
      </w:r>
      <w:r w:rsidR="00B07F7F">
        <w:t>p</w:t>
      </w:r>
      <w:r w:rsidR="006B29AA">
        <w:t>lánu</w:t>
      </w:r>
      <w:r w:rsidR="00310850" w:rsidRPr="003A591C">
        <w:t xml:space="preserve"> (</w:t>
      </w:r>
      <w:r w:rsidR="006B29AA">
        <w:t>x</w:t>
      </w:r>
      <w:r w:rsidR="00310850" w:rsidRPr="003A591C">
        <w:t>) zprávy o klinických zkouškách, (</w:t>
      </w:r>
      <w:proofErr w:type="spellStart"/>
      <w:r w:rsidR="006B29AA">
        <w:t>x</w:t>
      </w:r>
      <w:r w:rsidR="00310850" w:rsidRPr="003A591C">
        <w:t>i</w:t>
      </w:r>
      <w:proofErr w:type="spellEnd"/>
      <w:r w:rsidR="00310850" w:rsidRPr="003A591C">
        <w:t>) dalších dokumentů obsahujících data, statistické analýzy, výsledky zkoušek, včetně údajů zpracovávaných osobami podílejícími se na klinických zkouškách;</w:t>
      </w:r>
    </w:p>
    <w:p w14:paraId="2567E0B0" w14:textId="035605A4" w:rsidR="00006075" w:rsidRPr="003A591C" w:rsidRDefault="00006075" w:rsidP="0080485B">
      <w:pPr>
        <w:pStyle w:val="Nadpis3"/>
      </w:pPr>
      <w:r w:rsidRPr="003A591C">
        <w:t xml:space="preserve">podepsat </w:t>
      </w:r>
      <w:r w:rsidR="0094760A">
        <w:t>P</w:t>
      </w:r>
      <w:r w:rsidRPr="003A591C">
        <w:t>lán klinických zkoušek</w:t>
      </w:r>
      <w:r w:rsidR="00773D79" w:rsidRPr="003A591C">
        <w:t>;</w:t>
      </w:r>
    </w:p>
    <w:p w14:paraId="1D239369" w14:textId="3E29E094" w:rsidR="009156CE" w:rsidRPr="003A591C" w:rsidRDefault="00493030" w:rsidP="0080485B">
      <w:pPr>
        <w:pStyle w:val="Nadpis3"/>
      </w:pPr>
      <w:r>
        <w:t xml:space="preserve">v nezbytném rozsahu </w:t>
      </w:r>
      <w:r w:rsidR="009156CE" w:rsidRPr="003A591C">
        <w:t xml:space="preserve">zajistit pro </w:t>
      </w:r>
      <w:r w:rsidR="00472D44" w:rsidRPr="003A591C">
        <w:t>z</w:t>
      </w:r>
      <w:r w:rsidR="001D5C98" w:rsidRPr="003A591C">
        <w:t>koušející</w:t>
      </w:r>
      <w:r w:rsidR="009156CE" w:rsidRPr="003A591C">
        <w:t>ho v</w:t>
      </w:r>
      <w:r w:rsidR="00A53AA1">
        <w:t> </w:t>
      </w:r>
      <w:r w:rsidR="009156CE" w:rsidRPr="003A591C">
        <w:t>českém</w:t>
      </w:r>
      <w:r w:rsidR="00A53AA1">
        <w:t xml:space="preserve"> nebo anglickém</w:t>
      </w:r>
      <w:r w:rsidR="009156CE" w:rsidRPr="003A591C">
        <w:t xml:space="preserve"> jazyce:</w:t>
      </w:r>
    </w:p>
    <w:p w14:paraId="78DAE3F4" w14:textId="77777777" w:rsidR="009156CE" w:rsidRPr="003A591C" w:rsidRDefault="009156CE" w:rsidP="0080485B">
      <w:pPr>
        <w:pStyle w:val="Nadpis4"/>
      </w:pPr>
      <w:r w:rsidRPr="003A591C">
        <w:t xml:space="preserve">písemnou příručku </w:t>
      </w:r>
      <w:r w:rsidR="00907A23" w:rsidRPr="003A591C">
        <w:t>z</w:t>
      </w:r>
      <w:r w:rsidR="001D5C98" w:rsidRPr="003A591C">
        <w:t>koušející</w:t>
      </w:r>
      <w:r w:rsidRPr="003A591C">
        <w:t>ho, popřípadě další informace potřebné pro provádění</w:t>
      </w:r>
      <w:r w:rsidR="00773D79" w:rsidRPr="003A591C">
        <w:t xml:space="preserve"> konkrétních klinických zkoušek;</w:t>
      </w:r>
    </w:p>
    <w:p w14:paraId="00680C6B" w14:textId="77777777" w:rsidR="009156CE" w:rsidRPr="003A591C" w:rsidRDefault="009156CE" w:rsidP="0080485B">
      <w:pPr>
        <w:pStyle w:val="Nadpis4"/>
      </w:pPr>
      <w:r w:rsidRPr="003A591C">
        <w:t>pokyny, návody, popřípadě instruktáže zaměřené k určenému účelu po</w:t>
      </w:r>
      <w:r w:rsidR="00773D79" w:rsidRPr="003A591C">
        <w:t>užití zdravotnického prostředku;</w:t>
      </w:r>
    </w:p>
    <w:p w14:paraId="32B11341" w14:textId="359E39C5" w:rsidR="009156CE" w:rsidRPr="003A591C" w:rsidRDefault="009156CE" w:rsidP="0080485B">
      <w:pPr>
        <w:pStyle w:val="Nadpis4"/>
      </w:pPr>
      <w:r w:rsidRPr="003A591C">
        <w:t>technické a další údaje o zko</w:t>
      </w:r>
      <w:r w:rsidR="00773D79" w:rsidRPr="003A591C">
        <w:t>ušeném zdravotnickém prostředku</w:t>
      </w:r>
      <w:r w:rsidRPr="003A591C">
        <w:t xml:space="preserve"> a</w:t>
      </w:r>
    </w:p>
    <w:p w14:paraId="4E3C68CD" w14:textId="77777777" w:rsidR="009156CE" w:rsidRDefault="009156CE" w:rsidP="0080485B">
      <w:pPr>
        <w:pStyle w:val="Nadpis4"/>
      </w:pPr>
      <w:r w:rsidRPr="003A591C">
        <w:t xml:space="preserve">informace získané z </w:t>
      </w:r>
      <w:proofErr w:type="spellStart"/>
      <w:r w:rsidRPr="003A591C">
        <w:t>předklinických</w:t>
      </w:r>
      <w:proofErr w:type="spellEnd"/>
      <w:r w:rsidRPr="003A591C">
        <w:t xml:space="preserve"> zkoušek vztahující se k předmětu klinických zkoušek;</w:t>
      </w:r>
    </w:p>
    <w:p w14:paraId="7E8D4D92" w14:textId="24D0BF67" w:rsidR="00C72183" w:rsidRPr="00C061D6" w:rsidRDefault="00C72183" w:rsidP="0080485B">
      <w:pPr>
        <w:pStyle w:val="Nadpis4"/>
      </w:pPr>
      <w:r w:rsidRPr="00C72183">
        <w:t xml:space="preserve">prohlášení od výrobce nebo zplnomocněného zástupce, že daný zdravotnický prostředek splňuje </w:t>
      </w:r>
      <w:r w:rsidR="0007118A">
        <w:t xml:space="preserve">veškeré </w:t>
      </w:r>
      <w:r w:rsidRPr="00C72183">
        <w:t>základní požadavky</w:t>
      </w:r>
      <w:r w:rsidR="0007118A">
        <w:t xml:space="preserve"> na bezpečnost výrobku</w:t>
      </w:r>
      <w:r w:rsidRPr="00C72183">
        <w:t>, kromě hledisek, která tvoří předmět zkoušky, a že s ohledem na tato hlediska byla přijata všechna předběžná opatření k ochraně zdraví a bezpečnosti subjektu hodnocení klinické zkoušky</w:t>
      </w:r>
      <w:r w:rsidR="001A0478" w:rsidRPr="00C061D6">
        <w:t>;</w:t>
      </w:r>
    </w:p>
    <w:p w14:paraId="0DE5D6B9" w14:textId="0ADDDE33" w:rsidR="001A0478" w:rsidRPr="00C061D6" w:rsidRDefault="001A0478" w:rsidP="001A0478">
      <w:pPr>
        <w:pStyle w:val="Nadpis4"/>
      </w:pPr>
      <w:r>
        <w:t>informace o tom, zda zdravotnický prostředek obsahuje léčivou látku, deriváty z lidské krve nebo plazmy, nebo zda je vyroben s použitím neživých tkání nebo buněk lidského nebo zvířecího původu nebo jejich derivátů</w:t>
      </w:r>
      <w:r w:rsidR="00C061D6">
        <w:t>,</w:t>
      </w:r>
    </w:p>
    <w:p w14:paraId="456B3446" w14:textId="77777777" w:rsidR="001A0478" w:rsidRPr="00C061D6" w:rsidRDefault="001A0478" w:rsidP="001A0478"/>
    <w:p w14:paraId="3CC13CB1" w14:textId="125DBD5A" w:rsidR="00006075" w:rsidRPr="003A591C" w:rsidRDefault="008E365C" w:rsidP="0080485B">
      <w:pPr>
        <w:pStyle w:val="Nadpis3"/>
      </w:pPr>
      <w:r w:rsidRPr="003A591C">
        <w:t xml:space="preserve">zajistit písemné informování </w:t>
      </w:r>
      <w:r w:rsidR="00472D44" w:rsidRPr="003A591C">
        <w:t>z</w:t>
      </w:r>
      <w:r w:rsidR="001D5C98" w:rsidRPr="003A591C">
        <w:t>koušející</w:t>
      </w:r>
      <w:r w:rsidR="00006075" w:rsidRPr="003A591C">
        <w:t xml:space="preserve">ch o </w:t>
      </w:r>
      <w:r w:rsidR="001A0478">
        <w:t>nepříznivých událostech</w:t>
      </w:r>
      <w:r w:rsidR="00006075" w:rsidRPr="003A591C">
        <w:t xml:space="preserve"> při k</w:t>
      </w:r>
      <w:r w:rsidR="00892363">
        <w:t>linických zkouškách prováděných</w:t>
      </w:r>
      <w:r w:rsidR="00A73B31">
        <w:t xml:space="preserve"> i </w:t>
      </w:r>
      <w:r w:rsidR="0007118A">
        <w:t>na jiném pracovišti, než je pracoviště poskytovatele</w:t>
      </w:r>
      <w:r w:rsidR="00006075" w:rsidRPr="003A591C">
        <w:t>, a to do 10 dnů ode dne, kdy byl o nich informován</w:t>
      </w:r>
      <w:r w:rsidR="00C061D6">
        <w:t>,</w:t>
      </w:r>
    </w:p>
    <w:p w14:paraId="5C423548" w14:textId="6693DCC1" w:rsidR="00383CBA" w:rsidRPr="003A591C" w:rsidRDefault="001A0478" w:rsidP="0080485B">
      <w:pPr>
        <w:pStyle w:val="Nadpis3"/>
      </w:pPr>
      <w:r>
        <w:t>podepsat</w:t>
      </w:r>
      <w:r w:rsidR="00383CBA" w:rsidRPr="003A591C">
        <w:t xml:space="preserve"> závěrečnou zprávu o klinických zkouškách</w:t>
      </w:r>
      <w:r w:rsidR="00C061D6">
        <w:t>,</w:t>
      </w:r>
      <w:r w:rsidR="00383CBA" w:rsidRPr="003A591C">
        <w:t xml:space="preserve"> </w:t>
      </w:r>
    </w:p>
    <w:p w14:paraId="7302E2F8" w14:textId="33CB4CAA" w:rsidR="001A0478" w:rsidRDefault="001A0478" w:rsidP="001A0478">
      <w:pPr>
        <w:pStyle w:val="Nadpis3"/>
      </w:pPr>
      <w:r>
        <w:t>sjednat pojištění pro případ škody, újmy na zdraví nebo smrti, platné po celou dobu provádění klinické zkoušky,</w:t>
      </w:r>
      <w:r w:rsidR="00C061D6">
        <w:t xml:space="preserve"> jak je uvedeno v oddíle 10,</w:t>
      </w:r>
    </w:p>
    <w:p w14:paraId="50CA3FCD" w14:textId="5000CB7A" w:rsidR="001A0478" w:rsidRDefault="001A0478" w:rsidP="001A0478">
      <w:pPr>
        <w:pStyle w:val="Nadpis3"/>
      </w:pPr>
      <w:r>
        <w:t>předat zkoušejícímu zdravotnický prostředek určený pro klinické zkoušky a uvedený v plánu,</w:t>
      </w:r>
    </w:p>
    <w:p w14:paraId="79FE711D" w14:textId="77777777" w:rsidR="001A0478" w:rsidRDefault="001A0478" w:rsidP="001A0478">
      <w:pPr>
        <w:pStyle w:val="Nadpis3"/>
      </w:pPr>
      <w:r>
        <w:t>předem písemně oznámit příslušné etické komisi záměr provést klinickou zkoušku,</w:t>
      </w:r>
    </w:p>
    <w:p w14:paraId="314656FA" w14:textId="3C228631" w:rsidR="001A0478" w:rsidRDefault="001A0478" w:rsidP="001A0478">
      <w:pPr>
        <w:pStyle w:val="Nadpis3"/>
      </w:pPr>
      <w:r>
        <w:lastRenderedPageBreak/>
        <w:t>před zahájením klinické zkoušky, jde-li o zdravotnický prostředek, který není opatřen označením CE nebo který má být v rámci klinické zkoušky použit k jinému než původnímu určenému účelu, podat Státnímu ústavu pro kontrolu léčiv žádost o povolení provedení klinické zkoušky; pro změny podmínek klinické zkoušky v jejím průběhu platí povinnost podat žádost Státnímu ústavu pro kontrolu léčiv o povolení těchto změn obdobně,</w:t>
      </w:r>
    </w:p>
    <w:p w14:paraId="72838EF5" w14:textId="718AA0F1" w:rsidR="001A0478" w:rsidRDefault="001A0478" w:rsidP="001A0478">
      <w:pPr>
        <w:pStyle w:val="Nadpis3"/>
      </w:pPr>
      <w:r>
        <w:t xml:space="preserve">prověřit a v případě akceptace schválit jakoukoliv odchylku a změnu v </w:t>
      </w:r>
      <w:r w:rsidR="00A73B31">
        <w:t>p</w:t>
      </w:r>
      <w:r>
        <w:t>lánu a předložit etické komisi návrh na změny v dokumentaci klinické zkoušky k jejímu odsouhlasení,</w:t>
      </w:r>
    </w:p>
    <w:p w14:paraId="3C103A8D" w14:textId="77777777" w:rsidR="001A0478" w:rsidRDefault="001A0478" w:rsidP="001A0478">
      <w:pPr>
        <w:pStyle w:val="Nadpis3"/>
      </w:pPr>
      <w:r>
        <w:t>neprodleně informovat Státní ústav pro kontrolu léčiv a příslušnou etickou komisi o zahájení klinické zkoušky,</w:t>
      </w:r>
    </w:p>
    <w:p w14:paraId="55A2FC47" w14:textId="77777777" w:rsidR="001A0478" w:rsidRDefault="001A0478" w:rsidP="001A0478">
      <w:pPr>
        <w:pStyle w:val="Nadpis3"/>
      </w:pPr>
      <w:r>
        <w:t>v průběhu klinické zkoušky poskytovat Státnímu ústavu pro kontrolu léčiv a příslušné etické komisi roční zprávu o průběhu a hodnocení bezpečnosti klinické zkoušky, a to nejpozději do 31. ledna následujícího roku,</w:t>
      </w:r>
    </w:p>
    <w:p w14:paraId="68B50D74" w14:textId="77777777" w:rsidR="001A0478" w:rsidRDefault="001A0478" w:rsidP="001A0478">
      <w:pPr>
        <w:pStyle w:val="Nadpis3"/>
      </w:pPr>
      <w:r>
        <w:t>nejpozději do 30 dnů informovat Státní ústav pro kontrolu léčiv a příslušnou etickou komisi o přerušení nebo ukončení klinické zkoušky, a to včetně odůvodnění v případě předčasného ukončení,</w:t>
      </w:r>
    </w:p>
    <w:p w14:paraId="04D1F6EF" w14:textId="77777777" w:rsidR="001A0478" w:rsidRDefault="001A0478" w:rsidP="001A0478">
      <w:pPr>
        <w:pStyle w:val="Nadpis3"/>
      </w:pPr>
      <w:r>
        <w:t xml:space="preserve">po ukončení klinické zkoušky předložit </w:t>
      </w:r>
      <w:r w:rsidR="0049758D">
        <w:t>Státnímu ústavu pro kontrolu léčiv</w:t>
      </w:r>
      <w:r>
        <w:t xml:space="preserve"> a příslušné etické komisi zprávu o klinické zkoušce,</w:t>
      </w:r>
    </w:p>
    <w:p w14:paraId="05FACF7F" w14:textId="02CFF60D" w:rsidR="001A0478" w:rsidRDefault="001A0478" w:rsidP="001A0478">
      <w:pPr>
        <w:pStyle w:val="Nadpis3"/>
      </w:pPr>
      <w:r>
        <w:t xml:space="preserve">uchovávat záznamy o všech nepříznivých událostech a závažných nepříznivých událostech vzniklých při zkoušení zdravotnického prostředku, které mu byly oznámeny v průběhu klinické zkoušky, po dobu nejméně 5 let a v případě </w:t>
      </w:r>
      <w:proofErr w:type="spellStart"/>
      <w:r>
        <w:t>implantabilního</w:t>
      </w:r>
      <w:proofErr w:type="spellEnd"/>
      <w:r>
        <w:t xml:space="preserve"> zdravotnického prostředku nejméně 15 let ode dne výroby posledního výrobku</w:t>
      </w:r>
      <w:r w:rsidR="0049758D">
        <w:t>,</w:t>
      </w:r>
      <w:r>
        <w:t xml:space="preserve"> </w:t>
      </w:r>
    </w:p>
    <w:p w14:paraId="01F6F61C" w14:textId="7F1F0C70" w:rsidR="00C73EB1" w:rsidRDefault="00C73EB1" w:rsidP="00C73EB1">
      <w:pPr>
        <w:pStyle w:val="Nadpis3"/>
      </w:pPr>
      <w:r>
        <w:t xml:space="preserve">posoudit společně se zkoušejícím všechny závažné nepříznivé události vzniklé při zkoušení zdravotnického prostředku a informovat o nich ostatní zkoušející, Státní ústav pro kontrolu léčiv a etickou komisi neprodleně po jejich vzniku. </w:t>
      </w:r>
    </w:p>
    <w:p w14:paraId="7A4C41C5" w14:textId="2E988B0C" w:rsidR="00AE5B52" w:rsidRPr="00BF2E4E" w:rsidRDefault="00AE5B52" w:rsidP="00BF2E4E">
      <w:pPr>
        <w:pStyle w:val="Nadpis1"/>
      </w:pPr>
      <w:r w:rsidRPr="00BF2E4E">
        <w:t xml:space="preserve">Závažné </w:t>
      </w:r>
      <w:r w:rsidR="00C73EB1">
        <w:t>nepříznivé události</w:t>
      </w:r>
      <w:r w:rsidRPr="00BF2E4E">
        <w:t xml:space="preserve"> v průběhu klinického </w:t>
      </w:r>
      <w:r w:rsidR="00B77D97" w:rsidRPr="00BF2E4E">
        <w:t>zkoušení</w:t>
      </w:r>
    </w:p>
    <w:p w14:paraId="5A842C36" w14:textId="0AF57041" w:rsidR="00AE5B52" w:rsidRPr="003A591C" w:rsidRDefault="001B416E" w:rsidP="000453AA">
      <w:pPr>
        <w:pStyle w:val="Nadpis2"/>
        <w:numPr>
          <w:ilvl w:val="0"/>
          <w:numId w:val="0"/>
        </w:numPr>
        <w:ind w:left="567"/>
      </w:pPr>
      <w:r w:rsidRPr="003A591C">
        <w:t>Poskytovatel</w:t>
      </w:r>
      <w:r w:rsidR="00AD593E" w:rsidRPr="003A591C">
        <w:t xml:space="preserve"> je povin</w:t>
      </w:r>
      <w:r w:rsidRPr="003A591C">
        <w:t>e</w:t>
      </w:r>
      <w:r w:rsidR="00AE5B52" w:rsidRPr="003A591C">
        <w:t xml:space="preserve">n neprodleně hlásit zadavateli způsobem a ve lhůtě stanovené souboru informací pro </w:t>
      </w:r>
      <w:r w:rsidR="00472D44" w:rsidRPr="003A591C">
        <w:t>z</w:t>
      </w:r>
      <w:r w:rsidR="001D5C98" w:rsidRPr="003A591C">
        <w:t>koušející</w:t>
      </w:r>
      <w:r w:rsidR="00AE5B52" w:rsidRPr="003A591C">
        <w:t xml:space="preserve">ho každou závažnou </w:t>
      </w:r>
      <w:r w:rsidR="00C73EB1">
        <w:t>nepříznivou událost</w:t>
      </w:r>
      <w:r w:rsidR="00AE5B52" w:rsidRPr="003A591C">
        <w:t xml:space="preserve">, ke které dojde v průběhu klinického </w:t>
      </w:r>
      <w:r w:rsidR="00B77D97" w:rsidRPr="003A591C">
        <w:t>zkoušení</w:t>
      </w:r>
      <w:r w:rsidR="00AE5B52" w:rsidRPr="003A591C">
        <w:t xml:space="preserve">. </w:t>
      </w:r>
    </w:p>
    <w:p w14:paraId="1BA0F7F3" w14:textId="4B27DBB0" w:rsidR="00AE5B52" w:rsidRPr="00BF2E4E" w:rsidRDefault="00AE5B52" w:rsidP="00BF2E4E">
      <w:pPr>
        <w:pStyle w:val="Nadpis1"/>
      </w:pPr>
      <w:r w:rsidRPr="00BF2E4E">
        <w:t xml:space="preserve">Náhrada </w:t>
      </w:r>
      <w:r w:rsidR="005C4DE6">
        <w:t xml:space="preserve">a odškodnění </w:t>
      </w:r>
      <w:r w:rsidRPr="00BF2E4E">
        <w:t xml:space="preserve">za poškození zdraví subjektu </w:t>
      </w:r>
      <w:r w:rsidR="00B77D97" w:rsidRPr="00BF2E4E">
        <w:t>zkoušení</w:t>
      </w:r>
    </w:p>
    <w:p w14:paraId="0954E113" w14:textId="04E02597" w:rsidR="00710C2E" w:rsidRPr="003A591C" w:rsidRDefault="00383659" w:rsidP="0080485B">
      <w:pPr>
        <w:pStyle w:val="Nadpis2"/>
      </w:pPr>
      <w:r w:rsidRPr="003A591C">
        <w:t xml:space="preserve">Zadavatel prohlašuje, že v souladu s § </w:t>
      </w:r>
      <w:r w:rsidR="007063EA" w:rsidRPr="003A591C">
        <w:t>1</w:t>
      </w:r>
      <w:r w:rsidR="00E821CE">
        <w:t>4 odst. 2 písm. l)</w:t>
      </w:r>
      <w:r w:rsidRPr="003A591C">
        <w:t xml:space="preserve"> zákona </w:t>
      </w:r>
      <w:r w:rsidR="00E4543E" w:rsidRPr="003A591C">
        <w:t>o</w:t>
      </w:r>
      <w:r w:rsidRPr="003A591C">
        <w:t xml:space="preserve"> </w:t>
      </w:r>
      <w:r w:rsidR="007063EA" w:rsidRPr="003A591C">
        <w:t xml:space="preserve">zdravotnických prostředcích </w:t>
      </w:r>
      <w:r w:rsidRPr="003A591C">
        <w:t xml:space="preserve">zajistil na celou dobu provádění klinického </w:t>
      </w:r>
      <w:r w:rsidR="00B77D97" w:rsidRPr="003A591C">
        <w:t>zkoušení</w:t>
      </w:r>
      <w:r w:rsidRPr="003A591C">
        <w:t xml:space="preserve"> pojištění odpovědnosti za škodu pro zadavatele,</w:t>
      </w:r>
      <w:r w:rsidR="00186DB5" w:rsidRPr="003A591C">
        <w:t xml:space="preserve"> poskytovatele a</w:t>
      </w:r>
      <w:r w:rsidRPr="003A591C">
        <w:t xml:space="preserve"> </w:t>
      </w:r>
      <w:r w:rsidR="00472D44" w:rsidRPr="003A591C">
        <w:t>z</w:t>
      </w:r>
      <w:r w:rsidR="001D5C98" w:rsidRPr="003A591C">
        <w:t>koušející</w:t>
      </w:r>
      <w:r w:rsidR="00186DB5" w:rsidRPr="003A591C">
        <w:t xml:space="preserve">ho, </w:t>
      </w:r>
      <w:r w:rsidRPr="003A591C">
        <w:t xml:space="preserve">jehož prostřednictvím je zajištěno i odškodnění v případě smrti subjektu </w:t>
      </w:r>
      <w:r w:rsidR="00B77D97" w:rsidRPr="003A591C">
        <w:t>zkoušení</w:t>
      </w:r>
      <w:r w:rsidRPr="003A591C">
        <w:t xml:space="preserve"> nebo v případě škody vzniklé na zdraví subjektu</w:t>
      </w:r>
      <w:r w:rsidR="00E4543E" w:rsidRPr="003A591C">
        <w:t xml:space="preserve">, vše v důsledku provádění klinického </w:t>
      </w:r>
      <w:r w:rsidR="00B77D97" w:rsidRPr="003A591C">
        <w:t>zkoušení</w:t>
      </w:r>
      <w:r w:rsidR="00493030">
        <w:t>, jak je uvedeno v oddíle 10.4 níže</w:t>
      </w:r>
      <w:r w:rsidR="00E4543E" w:rsidRPr="003A591C">
        <w:t xml:space="preserve"> (dále jen „</w:t>
      </w:r>
      <w:r w:rsidR="00E4543E" w:rsidRPr="004448DA">
        <w:rPr>
          <w:rStyle w:val="Siln"/>
        </w:rPr>
        <w:t xml:space="preserve">pojištění odpovědnosti za škodu </w:t>
      </w:r>
      <w:r w:rsidR="00B70FF4">
        <w:rPr>
          <w:rStyle w:val="Siln"/>
        </w:rPr>
        <w:t xml:space="preserve">vzniklou </w:t>
      </w:r>
      <w:r w:rsidR="00E4543E" w:rsidRPr="004448DA">
        <w:rPr>
          <w:rStyle w:val="Siln"/>
        </w:rPr>
        <w:t xml:space="preserve">v důsledku klinického </w:t>
      </w:r>
      <w:r w:rsidR="00B77D97" w:rsidRPr="004448DA">
        <w:rPr>
          <w:rStyle w:val="Siln"/>
        </w:rPr>
        <w:t>zkoušení</w:t>
      </w:r>
      <w:r w:rsidR="00E4543E" w:rsidRPr="003A591C">
        <w:t xml:space="preserve">“). </w:t>
      </w:r>
      <w:r w:rsidR="00992CDC">
        <w:t xml:space="preserve">Pojištění se vztahuje i na případy, kdy nebude možné prokázat zavinění konkrétní osoby. </w:t>
      </w:r>
      <w:r w:rsidR="00B5638A" w:rsidRPr="003A591C">
        <w:t xml:space="preserve">Kopie pojistné smlouvy je </w:t>
      </w:r>
      <w:r w:rsidR="00B5638A" w:rsidRPr="00347AA2">
        <w:t xml:space="preserve">přílohou č. </w:t>
      </w:r>
      <w:r w:rsidR="00B70FF4" w:rsidRPr="00347AA2">
        <w:t>4</w:t>
      </w:r>
      <w:r w:rsidR="00B5638A" w:rsidRPr="003A591C">
        <w:t xml:space="preserve"> </w:t>
      </w:r>
      <w:proofErr w:type="gramStart"/>
      <w:r w:rsidR="00B5638A" w:rsidRPr="003A591C">
        <w:t>této</w:t>
      </w:r>
      <w:proofErr w:type="gramEnd"/>
      <w:r w:rsidR="00B5638A" w:rsidRPr="003A591C">
        <w:t xml:space="preserve"> smlouvy.</w:t>
      </w:r>
    </w:p>
    <w:p w14:paraId="184B476F" w14:textId="662F25F3" w:rsidR="00E4543E" w:rsidRPr="003A591C" w:rsidRDefault="00E4543E" w:rsidP="0080485B">
      <w:pPr>
        <w:pStyle w:val="Nadpis2"/>
      </w:pPr>
      <w:r w:rsidRPr="003A591C">
        <w:t xml:space="preserve">Zadavatel je povinen zajistit, aby nároky z pojištění odpovědnosti za škodu </w:t>
      </w:r>
      <w:r w:rsidR="00B70FF4">
        <w:t xml:space="preserve">vzniklou </w:t>
      </w:r>
      <w:r w:rsidRPr="003A591C">
        <w:t xml:space="preserve">v důsledku klinického </w:t>
      </w:r>
      <w:r w:rsidR="00B77D97" w:rsidRPr="003A591C">
        <w:t>zkoušení</w:t>
      </w:r>
      <w:r w:rsidRPr="003A591C">
        <w:t xml:space="preserve"> bylo možné u pojistitele účinně uplatnit po celou dobu provádění klinického </w:t>
      </w:r>
      <w:r w:rsidR="00B77D97" w:rsidRPr="003A591C">
        <w:t>zkoušení</w:t>
      </w:r>
      <w:r w:rsidR="00B70FF4">
        <w:t>, jak je uvedeno v oddíle 10.4 níže,</w:t>
      </w:r>
      <w:r w:rsidRPr="003A591C">
        <w:t xml:space="preserve"> a dále minimálně po dobu 3 let po ukončení klinického </w:t>
      </w:r>
      <w:r w:rsidR="00B77D97" w:rsidRPr="003A591C">
        <w:t>zkoušení</w:t>
      </w:r>
      <w:r w:rsidRPr="003A591C">
        <w:t>.</w:t>
      </w:r>
    </w:p>
    <w:p w14:paraId="1B002346" w14:textId="77777777" w:rsidR="008E39A6" w:rsidRPr="003A591C" w:rsidRDefault="008E39A6" w:rsidP="0080485B">
      <w:pPr>
        <w:pStyle w:val="Nadpis2"/>
      </w:pPr>
      <w:r w:rsidRPr="003A591C">
        <w:rPr>
          <w:szCs w:val="24"/>
        </w:rPr>
        <w:lastRenderedPageBreak/>
        <w:t xml:space="preserve">Rozsah pojištění musí být v přiměřeném poměru k rizikům spojeným s konkrétními klinickými zkouškami a </w:t>
      </w:r>
      <w:r w:rsidR="00AA4667">
        <w:rPr>
          <w:szCs w:val="24"/>
        </w:rPr>
        <w:t xml:space="preserve">odpovídat právní úpravou požadovanému rozsahu </w:t>
      </w:r>
      <w:r w:rsidRPr="003A591C">
        <w:rPr>
          <w:szCs w:val="24"/>
        </w:rPr>
        <w:t>pojištění pro případ smrti nebo trvalého poškození zdraví anebo d</w:t>
      </w:r>
      <w:r w:rsidR="00AA4667">
        <w:rPr>
          <w:szCs w:val="24"/>
        </w:rPr>
        <w:t>louhodobé pracovní neschopnosti</w:t>
      </w:r>
      <w:r w:rsidRPr="003A591C">
        <w:rPr>
          <w:szCs w:val="24"/>
        </w:rPr>
        <w:t xml:space="preserve">. </w:t>
      </w:r>
    </w:p>
    <w:p w14:paraId="6F5605E0" w14:textId="1C80743E" w:rsidR="007D3B29" w:rsidRPr="003A591C" w:rsidRDefault="00E4543E" w:rsidP="00347AA2">
      <w:pPr>
        <w:pStyle w:val="Nadpis2"/>
        <w:rPr>
          <w:snapToGrid w:val="0"/>
          <w:szCs w:val="24"/>
        </w:rPr>
      </w:pPr>
      <w:r w:rsidRPr="003A591C">
        <w:t xml:space="preserve">Zadavatel se zavazuje poskytnout </w:t>
      </w:r>
      <w:r w:rsidR="0022789D" w:rsidRPr="003A591C">
        <w:t>poskytovateli</w:t>
      </w:r>
      <w:r w:rsidR="00710C2E" w:rsidRPr="003A591C">
        <w:rPr>
          <w:snapToGrid w:val="0"/>
          <w:szCs w:val="24"/>
        </w:rPr>
        <w:t xml:space="preserve"> </w:t>
      </w:r>
      <w:r w:rsidR="00B5638A" w:rsidRPr="003A591C">
        <w:rPr>
          <w:snapToGrid w:val="0"/>
          <w:szCs w:val="24"/>
        </w:rPr>
        <w:t xml:space="preserve">plnou kompenzaci za </w:t>
      </w:r>
      <w:r w:rsidR="00710C2E" w:rsidRPr="003A591C">
        <w:rPr>
          <w:snapToGrid w:val="0"/>
          <w:szCs w:val="24"/>
        </w:rPr>
        <w:t>škod</w:t>
      </w:r>
      <w:r w:rsidR="00686F30" w:rsidRPr="003A591C">
        <w:rPr>
          <w:snapToGrid w:val="0"/>
          <w:szCs w:val="24"/>
        </w:rPr>
        <w:t>u či imateriální újmu</w:t>
      </w:r>
      <w:r w:rsidR="00710C2E" w:rsidRPr="003A591C">
        <w:rPr>
          <w:snapToGrid w:val="0"/>
          <w:szCs w:val="24"/>
        </w:rPr>
        <w:t xml:space="preserve">, </w:t>
      </w:r>
      <w:r w:rsidR="00B5638A" w:rsidRPr="003A591C">
        <w:rPr>
          <w:snapToGrid w:val="0"/>
          <w:szCs w:val="24"/>
        </w:rPr>
        <w:t xml:space="preserve">která subjektu </w:t>
      </w:r>
      <w:r w:rsidR="00B77D97" w:rsidRPr="003A591C">
        <w:rPr>
          <w:snapToGrid w:val="0"/>
          <w:szCs w:val="24"/>
        </w:rPr>
        <w:t>zkoušení</w:t>
      </w:r>
      <w:r w:rsidR="00B5638A" w:rsidRPr="003A591C">
        <w:rPr>
          <w:snapToGrid w:val="0"/>
          <w:szCs w:val="24"/>
        </w:rPr>
        <w:t xml:space="preserve"> a/nebo třetím osobám vznikla v důsledku </w:t>
      </w:r>
      <w:r w:rsidR="00DF638E" w:rsidRPr="003A591C">
        <w:rPr>
          <w:snapToGrid w:val="0"/>
          <w:szCs w:val="24"/>
        </w:rPr>
        <w:t>klinického zkoušení</w:t>
      </w:r>
      <w:r w:rsidR="00B5638A" w:rsidRPr="003A591C">
        <w:rPr>
          <w:snapToGrid w:val="0"/>
          <w:szCs w:val="24"/>
        </w:rPr>
        <w:t>, a jejíž náhradu</w:t>
      </w:r>
      <w:r w:rsidR="00710C2E" w:rsidRPr="003A591C">
        <w:rPr>
          <w:snapToGrid w:val="0"/>
          <w:szCs w:val="24"/>
        </w:rPr>
        <w:t xml:space="preserve"> </w:t>
      </w:r>
      <w:r w:rsidR="001B416E" w:rsidRPr="003A591C">
        <w:rPr>
          <w:snapToGrid w:val="0"/>
          <w:szCs w:val="24"/>
        </w:rPr>
        <w:t>byl poskytovatel</w:t>
      </w:r>
      <w:r w:rsidR="00710C2E" w:rsidRPr="003A591C">
        <w:rPr>
          <w:snapToGrid w:val="0"/>
          <w:szCs w:val="24"/>
        </w:rPr>
        <w:t xml:space="preserve"> </w:t>
      </w:r>
      <w:r w:rsidR="001B416E" w:rsidRPr="003A591C">
        <w:rPr>
          <w:snapToGrid w:val="0"/>
          <w:szCs w:val="24"/>
        </w:rPr>
        <w:t>p</w:t>
      </w:r>
      <w:r w:rsidR="00710C2E" w:rsidRPr="003A591C">
        <w:rPr>
          <w:snapToGrid w:val="0"/>
          <w:szCs w:val="24"/>
        </w:rPr>
        <w:t>ovin</w:t>
      </w:r>
      <w:r w:rsidR="001B416E" w:rsidRPr="003A591C">
        <w:rPr>
          <w:snapToGrid w:val="0"/>
          <w:szCs w:val="24"/>
        </w:rPr>
        <w:t>e</w:t>
      </w:r>
      <w:r w:rsidR="00710C2E" w:rsidRPr="003A591C">
        <w:rPr>
          <w:snapToGrid w:val="0"/>
          <w:szCs w:val="24"/>
        </w:rPr>
        <w:t xml:space="preserve">n poskytnout </w:t>
      </w:r>
      <w:r w:rsidR="007D3B29" w:rsidRPr="003A591C">
        <w:rPr>
          <w:snapToGrid w:val="0"/>
          <w:szCs w:val="24"/>
        </w:rPr>
        <w:t xml:space="preserve">podle pravomocného soudního rozhodnutí nebo podle mimosoudní dohody schválené zadavatelem </w:t>
      </w:r>
      <w:r w:rsidR="00710C2E" w:rsidRPr="003A591C">
        <w:rPr>
          <w:snapToGrid w:val="0"/>
          <w:szCs w:val="24"/>
        </w:rPr>
        <w:t xml:space="preserve">subjektům </w:t>
      </w:r>
      <w:r w:rsidR="00B77D97" w:rsidRPr="003A591C">
        <w:rPr>
          <w:snapToGrid w:val="0"/>
          <w:szCs w:val="24"/>
        </w:rPr>
        <w:t>zkoušení</w:t>
      </w:r>
      <w:r w:rsidR="00710C2E" w:rsidRPr="003A591C">
        <w:rPr>
          <w:snapToGrid w:val="0"/>
          <w:szCs w:val="24"/>
        </w:rPr>
        <w:t xml:space="preserve"> či třetím osobám</w:t>
      </w:r>
      <w:r w:rsidR="00B5638A" w:rsidRPr="003A591C">
        <w:rPr>
          <w:snapToGrid w:val="0"/>
          <w:szCs w:val="24"/>
        </w:rPr>
        <w:t xml:space="preserve"> </w:t>
      </w:r>
      <w:r w:rsidR="007D3B29" w:rsidRPr="003A591C">
        <w:rPr>
          <w:snapToGrid w:val="0"/>
          <w:szCs w:val="24"/>
        </w:rPr>
        <w:t>nad rámec pojistného plnění nebo která nebyla</w:t>
      </w:r>
      <w:r w:rsidR="00C15649" w:rsidRPr="003A591C">
        <w:rPr>
          <w:snapToGrid w:val="0"/>
          <w:szCs w:val="24"/>
        </w:rPr>
        <w:t xml:space="preserve"> v plné výši</w:t>
      </w:r>
      <w:r w:rsidR="007D3B29" w:rsidRPr="003A591C">
        <w:rPr>
          <w:snapToGrid w:val="0"/>
          <w:szCs w:val="24"/>
        </w:rPr>
        <w:t xml:space="preserve"> kryta pojistnou smlouvou. Zadavatel se dále zavazuje, že </w:t>
      </w:r>
      <w:r w:rsidR="0022789D" w:rsidRPr="003A591C">
        <w:rPr>
          <w:snapToGrid w:val="0"/>
          <w:szCs w:val="24"/>
        </w:rPr>
        <w:t>poskytovateli</w:t>
      </w:r>
      <w:r w:rsidR="007D3B29" w:rsidRPr="003A591C">
        <w:rPr>
          <w:snapToGrid w:val="0"/>
          <w:szCs w:val="24"/>
        </w:rPr>
        <w:t xml:space="preserve"> </w:t>
      </w:r>
      <w:r w:rsidR="00686F30" w:rsidRPr="003A591C">
        <w:rPr>
          <w:snapToGrid w:val="0"/>
          <w:szCs w:val="24"/>
        </w:rPr>
        <w:t xml:space="preserve">rovněž </w:t>
      </w:r>
      <w:r w:rsidR="00C15649" w:rsidRPr="003A591C">
        <w:rPr>
          <w:snapToGrid w:val="0"/>
          <w:szCs w:val="24"/>
        </w:rPr>
        <w:t>poskytne</w:t>
      </w:r>
      <w:r w:rsidR="00B5638A" w:rsidRPr="003A591C">
        <w:rPr>
          <w:snapToGrid w:val="0"/>
          <w:szCs w:val="24"/>
        </w:rPr>
        <w:t xml:space="preserve"> v plné výši </w:t>
      </w:r>
      <w:r w:rsidR="007D3B29" w:rsidRPr="003A591C">
        <w:rPr>
          <w:snapToGrid w:val="0"/>
          <w:szCs w:val="24"/>
        </w:rPr>
        <w:t>náhradu nákladů právního zastoupení v řízení podle věty prvé tohoto článku.</w:t>
      </w:r>
      <w:r w:rsidR="002A4EB3" w:rsidRPr="003A591C">
        <w:rPr>
          <w:snapToGrid w:val="0"/>
          <w:szCs w:val="24"/>
        </w:rPr>
        <w:t xml:space="preserve"> Zadavatel se dále zavazuje, že poskytne </w:t>
      </w:r>
      <w:r w:rsidR="0022789D" w:rsidRPr="003A591C">
        <w:rPr>
          <w:snapToGrid w:val="0"/>
          <w:szCs w:val="24"/>
        </w:rPr>
        <w:t>poskytovateli</w:t>
      </w:r>
      <w:r w:rsidR="002A4EB3" w:rsidRPr="003A591C">
        <w:rPr>
          <w:snapToGrid w:val="0"/>
          <w:szCs w:val="24"/>
        </w:rPr>
        <w:t xml:space="preserve"> v plné výši náhradu nákladů na léčení v případě poškození zdraví subjektu v souvislosti s jeho účastí na klinickém </w:t>
      </w:r>
      <w:r w:rsidR="00B77D97" w:rsidRPr="003A591C">
        <w:rPr>
          <w:snapToGrid w:val="0"/>
          <w:szCs w:val="24"/>
        </w:rPr>
        <w:t>zkoušení</w:t>
      </w:r>
      <w:r w:rsidR="004642D0" w:rsidRPr="003A591C">
        <w:rPr>
          <w:snapToGrid w:val="0"/>
          <w:szCs w:val="24"/>
        </w:rPr>
        <w:t>, včetně případného regresního nároku zdravotní pojišťovny</w:t>
      </w:r>
      <w:r w:rsidR="002A4EB3" w:rsidRPr="003A591C">
        <w:rPr>
          <w:snapToGrid w:val="0"/>
          <w:szCs w:val="24"/>
        </w:rPr>
        <w:t>.</w:t>
      </w:r>
    </w:p>
    <w:p w14:paraId="522C4D39" w14:textId="77777777" w:rsidR="0012789F" w:rsidRPr="00BF2E4E" w:rsidRDefault="0012789F" w:rsidP="00BF2E4E">
      <w:pPr>
        <w:pStyle w:val="Nadpis1"/>
      </w:pPr>
      <w:r w:rsidRPr="00BF2E4E">
        <w:t xml:space="preserve">Ochrana </w:t>
      </w:r>
      <w:r w:rsidR="00EE4AC9" w:rsidRPr="00BF2E4E">
        <w:t>D</w:t>
      </w:r>
      <w:r w:rsidRPr="00BF2E4E">
        <w:t xml:space="preserve">ůvěrných </w:t>
      </w:r>
      <w:r w:rsidR="0002772B" w:rsidRPr="00BF2E4E">
        <w:t>údajů</w:t>
      </w:r>
    </w:p>
    <w:p w14:paraId="240B441C" w14:textId="3135EA08" w:rsidR="007A2A25" w:rsidRPr="00892363" w:rsidRDefault="007A2A25" w:rsidP="007A2A25">
      <w:pPr>
        <w:pStyle w:val="Nadpis2"/>
        <w:rPr>
          <w:rFonts w:cstheme="minorBidi"/>
          <w:szCs w:val="24"/>
        </w:rPr>
      </w:pPr>
      <w:bookmarkStart w:id="14" w:name="_cp_blt_1_231"/>
      <w:bookmarkStart w:id="15" w:name="_cp_text_1_227"/>
      <w:bookmarkStart w:id="16" w:name="_cp_text_4_228"/>
      <w:bookmarkStart w:id="17" w:name="_cp_text_1_229"/>
      <w:bookmarkStart w:id="18" w:name="_cp_text_4_230"/>
      <w:bookmarkStart w:id="19" w:name="_cp_text_1_197"/>
      <w:bookmarkStart w:id="20" w:name="_cp_text_1_199"/>
      <w:bookmarkStart w:id="21" w:name="_cp_text_1_205"/>
      <w:bookmarkStart w:id="22" w:name="_cp_text_4_206"/>
      <w:bookmarkStart w:id="23" w:name="_cp_text_1_207"/>
      <w:bookmarkStart w:id="24" w:name="_cp_text_4_208"/>
      <w:bookmarkStart w:id="25" w:name="_cp_text_1_209"/>
      <w:bookmarkStart w:id="26" w:name="_cp_text_4_210"/>
      <w:bookmarkStart w:id="27" w:name="_cp_text_4_211"/>
      <w:bookmarkStart w:id="28" w:name="_cp_text_1_212"/>
      <w:bookmarkStart w:id="29" w:name="_cp_text_4_213"/>
      <w:bookmarkStart w:id="30" w:name="_cp_text_1_214"/>
      <w:bookmarkStart w:id="31" w:name="_cp_field_47_215"/>
      <w:bookmarkStart w:id="32" w:name="_cp_text_1_216"/>
      <w:r>
        <w:rPr>
          <w:rFonts w:cstheme="minorBidi"/>
          <w:szCs w:val="24"/>
        </w:rPr>
        <w:t xml:space="preserve">Důvěrnými údaji se pro účely této smlouvy rozumí veškeré </w:t>
      </w:r>
      <w:proofErr w:type="spellStart"/>
      <w:r>
        <w:rPr>
          <w:rFonts w:cstheme="minorBidi"/>
          <w:szCs w:val="24"/>
        </w:rPr>
        <w:t>udaje</w:t>
      </w:r>
      <w:proofErr w:type="spellEnd"/>
      <w:r>
        <w:rPr>
          <w:rFonts w:cstheme="minorBidi"/>
          <w:szCs w:val="24"/>
        </w:rPr>
        <w:t>, o kterých se strany této smlouvy dozvěděli na základě spolupráce dle této smlouvy, včetně informací o struktuře, složení, ingrediencích, vzorcích, know-how, technických postupech a proces</w:t>
      </w:r>
      <w:r w:rsidRPr="00892363">
        <w:rPr>
          <w:rFonts w:cstheme="minorBidi"/>
          <w:szCs w:val="24"/>
        </w:rPr>
        <w:t xml:space="preserve">ech. </w:t>
      </w:r>
      <w:r w:rsidR="00F45A5D" w:rsidRPr="00892363">
        <w:rPr>
          <w:rFonts w:cstheme="minorBidi"/>
          <w:szCs w:val="24"/>
        </w:rPr>
        <w:t xml:space="preserve">V době platnosti této smlouvy může zadavatel poskytnout v souvislosti s prováděním klinického zkoušení poskytovateli, zadavateli, příp. dalším osobám účastnícím se na klinickém zkoušení jimi vlastněné, příp. důvěrné informace (dále jen „důvěrné informace“). Tyto informace budou písemně označeny jako důvěrné a pokud se budou poskytovat ústně, budou též označeny za důvěrné. </w:t>
      </w:r>
      <w:r w:rsidR="006053E3" w:rsidRPr="00892363">
        <w:rPr>
          <w:rFonts w:cstheme="minorBidi"/>
          <w:szCs w:val="24"/>
        </w:rPr>
        <w:t xml:space="preserve">Strany, </w:t>
      </w:r>
      <w:r w:rsidR="00F45A5D" w:rsidRPr="00892363">
        <w:rPr>
          <w:rFonts w:cstheme="minorBidi"/>
          <w:szCs w:val="24"/>
        </w:rPr>
        <w:t>příp. další osoby účastnící se na klinickém zkoušení nesmějí důvěrné informace používat nebo sdělovat žádné třetí straně k jinému účelu, než za účelem provádění klinického zkoušení.</w:t>
      </w:r>
      <w:r w:rsidR="00892363" w:rsidRPr="00892363">
        <w:rPr>
          <w:rFonts w:cstheme="minorBidi"/>
          <w:szCs w:val="24"/>
        </w:rPr>
        <w:t xml:space="preserve"> </w:t>
      </w:r>
      <w:r w:rsidR="006053E3" w:rsidRPr="00892363">
        <w:rPr>
          <w:rFonts w:cstheme="minorBidi"/>
          <w:szCs w:val="24"/>
        </w:rPr>
        <w:t>Strany</w:t>
      </w:r>
      <w:r w:rsidR="00F45A5D" w:rsidRPr="00892363">
        <w:rPr>
          <w:rFonts w:cstheme="minorBidi"/>
          <w:szCs w:val="24"/>
        </w:rPr>
        <w:t>, příp. další osoby účastnící se na klinickém zkoušení se musejí svědomitě snažit o to, aby zabránily zveřejnění nebo nedovolenému používání důvěrných informací. Uvedené povinnosti podle tohoto oddílu </w:t>
      </w:r>
      <w:r w:rsidR="006053E3" w:rsidRPr="00892363">
        <w:rPr>
          <w:rFonts w:cstheme="minorBidi"/>
          <w:szCs w:val="24"/>
        </w:rPr>
        <w:t>11</w:t>
      </w:r>
      <w:r w:rsidR="00F45A5D" w:rsidRPr="00892363">
        <w:rPr>
          <w:rFonts w:cstheme="minorBidi"/>
          <w:szCs w:val="24"/>
        </w:rPr>
        <w:t xml:space="preserve"> se nevztahují na informace, které a) byly v době svého zveřejnění obecně známy a přístupné veřejnosti nebo které se stanou obecně známými nebo přístupnými veřejnosti jinak, než na základě kroku nebo opomenutí ze strany poskytovatele, zkoušejícího nebo </w:t>
      </w:r>
      <w:r w:rsidR="006053E3" w:rsidRPr="00892363">
        <w:rPr>
          <w:rFonts w:cstheme="minorBidi"/>
          <w:szCs w:val="24"/>
        </w:rPr>
        <w:t>osob zúčastněných na studii</w:t>
      </w:r>
      <w:r w:rsidR="00F45A5D" w:rsidRPr="00892363">
        <w:rPr>
          <w:rFonts w:cstheme="minorBidi"/>
          <w:szCs w:val="24"/>
        </w:rPr>
        <w:t>, b) byly známy již před svým zveřejněním před datem účinnosti této smlouvy, jak dokládají písemné záznamy, nebo c) byly zákonně získány od třetí strany, která není vázána povinností zachovávat důvěrnost informací.</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1FCBF6AE" w14:textId="0DBD4EF7" w:rsidR="00F45A5D" w:rsidRPr="00892363" w:rsidRDefault="00F45A5D" w:rsidP="00F45A5D">
      <w:pPr>
        <w:pStyle w:val="Nadpis2"/>
        <w:rPr>
          <w:rFonts w:cstheme="minorBidi"/>
          <w:szCs w:val="24"/>
        </w:rPr>
      </w:pPr>
      <w:r w:rsidRPr="00892363">
        <w:rPr>
          <w:rFonts w:cstheme="minorBidi"/>
          <w:szCs w:val="24"/>
        </w:rPr>
        <w:t>Předtím, než poskytovatel poskytne komukoli přístup k důvěrným informacím podle této smlouvy nebo je zveřejní, musí zajistit, aby tato osoba, mj. zakoušející a pracovníci, ředitel a zaměstnanci poskytovatele, uzavřela smlouvu o zachování důvěrnosti, zákazu zveřejňování informací a vlastnictví výsledků výzkumu, která bude alespoň stejně restriktivní, jako jsou ustanovení uvedená v této smlouvě. Poskytovatel a zkoušející se dále zavazují, že budou tuto smlouvu považovat za důvěrnou informaci a bez předchozího písemného souhlasu zadavatele nesdělí její podmínky třetím stranám</w:t>
      </w:r>
      <w:r w:rsidR="006053E3" w:rsidRPr="00892363">
        <w:rPr>
          <w:rFonts w:cstheme="minorBidi"/>
          <w:szCs w:val="24"/>
        </w:rPr>
        <w:t>; nestanoví-li relevantní právní předpisy nebo rozhodnutí soudu či regulatorního orgánu jinak</w:t>
      </w:r>
    </w:p>
    <w:p w14:paraId="7EA2527B" w14:textId="77777777" w:rsidR="00861448" w:rsidRPr="00BF2E4E" w:rsidRDefault="00861448" w:rsidP="00BF2E4E">
      <w:pPr>
        <w:pStyle w:val="Nadpis1"/>
      </w:pPr>
      <w:r w:rsidRPr="00BF2E4E">
        <w:t>Uchování údajů</w:t>
      </w:r>
    </w:p>
    <w:p w14:paraId="344331C5" w14:textId="77777777" w:rsidR="00861448" w:rsidRPr="003A591C" w:rsidRDefault="000708CE" w:rsidP="0080485B">
      <w:pPr>
        <w:pStyle w:val="Nadpis2"/>
      </w:pPr>
      <w:r>
        <w:t>Po dobu patnácti</w:t>
      </w:r>
      <w:r w:rsidR="00B13D62">
        <w:t xml:space="preserve"> (15</w:t>
      </w:r>
      <w:r w:rsidR="00861448" w:rsidRPr="003A591C">
        <w:t>) let po splnění veškerých povinností poskytovatele ve vztahu k</w:t>
      </w:r>
      <w:r w:rsidR="00630396">
        <w:t> </w:t>
      </w:r>
      <w:r w:rsidR="00861448" w:rsidRPr="003A591C">
        <w:t>provádění klinického zkoušení či po jeho předčasném ukončení, poskytovatel</w:t>
      </w:r>
    </w:p>
    <w:p w14:paraId="10D91A6D" w14:textId="2E069244" w:rsidR="00861448" w:rsidRPr="003A591C" w:rsidRDefault="00861448" w:rsidP="0080485B">
      <w:pPr>
        <w:pStyle w:val="Nadpis3"/>
      </w:pPr>
      <w:r w:rsidRPr="003A591C">
        <w:lastRenderedPageBreak/>
        <w:t xml:space="preserve">vyhotoví, bude udržovat a uchovávat kompletní, aktuální, </w:t>
      </w:r>
      <w:r w:rsidR="0000388E" w:rsidRPr="003A591C">
        <w:t>přesn</w:t>
      </w:r>
      <w:r w:rsidR="0000388E">
        <w:t>é</w:t>
      </w:r>
      <w:r w:rsidRPr="003A591C">
        <w:t xml:space="preserve">, </w:t>
      </w:r>
      <w:r w:rsidR="0000388E" w:rsidRPr="003A591C">
        <w:t>uspořádan</w:t>
      </w:r>
      <w:r w:rsidR="0000388E">
        <w:t>é</w:t>
      </w:r>
      <w:r w:rsidR="0000388E" w:rsidRPr="003A591C">
        <w:t xml:space="preserve"> </w:t>
      </w:r>
      <w:r w:rsidRPr="003A591C">
        <w:t>a</w:t>
      </w:r>
      <w:r w:rsidR="00630396">
        <w:t> </w:t>
      </w:r>
      <w:r w:rsidRPr="003A591C">
        <w:t xml:space="preserve">ve srozumitelné formě </w:t>
      </w:r>
      <w:r w:rsidR="0000388E" w:rsidRPr="003A591C">
        <w:t>veden</w:t>
      </w:r>
      <w:r w:rsidR="0000388E">
        <w:t>é záznamy o klinickém zkoušení, včetně veškeré</w:t>
      </w:r>
      <w:r w:rsidR="0000388E" w:rsidRPr="003A591C">
        <w:t xml:space="preserve"> dokumentac</w:t>
      </w:r>
      <w:r w:rsidR="0000388E">
        <w:t>e</w:t>
      </w:r>
      <w:r w:rsidR="0000388E" w:rsidRPr="003A591C">
        <w:t xml:space="preserve"> </w:t>
      </w:r>
      <w:r w:rsidRPr="003A591C">
        <w:t>vztahující se ke klinickému zkoušení</w:t>
      </w:r>
      <w:r w:rsidR="0000388E">
        <w:t>,</w:t>
      </w:r>
      <w:r w:rsidRPr="003A591C">
        <w:t xml:space="preserve"> v plném souladu s touto smlouvou a příslušnými předpisy a přijme přiměřená opatření, jež zabrání náhodnému nebo předčasnému zničení těchto dokumentů;</w:t>
      </w:r>
    </w:p>
    <w:p w14:paraId="73D7827D" w14:textId="77777777" w:rsidR="00861448" w:rsidRPr="003A591C" w:rsidRDefault="00861448" w:rsidP="0080485B">
      <w:pPr>
        <w:pStyle w:val="Nadpis3"/>
      </w:pPr>
      <w:r w:rsidRPr="003A591C">
        <w:t>v případě zániku etické komise poskytovatele uchová významné záznamy o její činnosti, zejména písemné pracovní postupy, seznam členů s uvedením jejich kvalifikace, předložené žádosti o souhlas se zahájením klinických zkoušek, dokumentaci, zápisy z jednání, zprávy a korespondenci týkající se klinických zkoušek;</w:t>
      </w:r>
    </w:p>
    <w:p w14:paraId="2DB5ECC6" w14:textId="3DC9C4DA" w:rsidR="00861448" w:rsidRPr="003A591C" w:rsidRDefault="00861448" w:rsidP="0080485B">
      <w:pPr>
        <w:pStyle w:val="Nadpis3"/>
      </w:pPr>
      <w:r w:rsidRPr="003A591C">
        <w:t xml:space="preserve">uchová </w:t>
      </w:r>
      <w:r w:rsidR="0000388E">
        <w:t xml:space="preserve">záznamy o klinickém zkoušení, včetně veškeré </w:t>
      </w:r>
      <w:r w:rsidR="0000388E" w:rsidRPr="003A591C">
        <w:t>dokumentac</w:t>
      </w:r>
      <w:r w:rsidR="0000388E">
        <w:t>e</w:t>
      </w:r>
      <w:r w:rsidR="0000388E" w:rsidRPr="003A591C">
        <w:t xml:space="preserve"> </w:t>
      </w:r>
      <w:r w:rsidRPr="003A591C">
        <w:t xml:space="preserve">klinických zkoušek, </w:t>
      </w:r>
      <w:r w:rsidR="00954677" w:rsidRPr="003A591C">
        <w:t>tvořen</w:t>
      </w:r>
      <w:r w:rsidR="00954677">
        <w:t>é</w:t>
      </w:r>
      <w:r w:rsidR="00954677" w:rsidRPr="003A591C">
        <w:t xml:space="preserve"> </w:t>
      </w:r>
      <w:r w:rsidRPr="003A591C">
        <w:t xml:space="preserve">záznamy o činnostech prováděných podle plánu, záznamy o předem nepředvídaných </w:t>
      </w:r>
      <w:r w:rsidR="00954677">
        <w:t>příhodách</w:t>
      </w:r>
      <w:r w:rsidR="00954677" w:rsidRPr="003A591C">
        <w:t xml:space="preserve"> </w:t>
      </w:r>
      <w:r w:rsidRPr="003A591C">
        <w:t>a opatřeních provedených nad rámec plánu, záznamy o</w:t>
      </w:r>
      <w:r w:rsidR="00630396">
        <w:t> </w:t>
      </w:r>
      <w:r w:rsidR="00A2201D">
        <w:t>nepříznivých událostech</w:t>
      </w:r>
      <w:r w:rsidRPr="003A591C">
        <w:t>, pokud došlo k jejich vzniku a závěrečnou zprávu o</w:t>
      </w:r>
      <w:r w:rsidR="00630396">
        <w:t> </w:t>
      </w:r>
      <w:r w:rsidRPr="003A591C">
        <w:t>klinických zkouškách a to tak, aby se totožnost subjektu nestala známou bez jeho předchozího souhlasu osobám, které s touto dokumentací nebyly seznámeny v</w:t>
      </w:r>
      <w:r w:rsidR="00630396">
        <w:t> </w:t>
      </w:r>
      <w:r w:rsidRPr="003A591C">
        <w:t>průběhu klinických zkoušek.</w:t>
      </w:r>
    </w:p>
    <w:p w14:paraId="3749290B" w14:textId="20C9D914" w:rsidR="00861448" w:rsidRPr="003A591C" w:rsidRDefault="00861448" w:rsidP="0080485B">
      <w:pPr>
        <w:pStyle w:val="Nadpis2"/>
      </w:pPr>
      <w:r w:rsidRPr="003A591C">
        <w:t>Zadavatel je povinen po dobu nejméně patnácti (15) let uchovávat záznamy o</w:t>
      </w:r>
      <w:r w:rsidR="00630396">
        <w:t> </w:t>
      </w:r>
      <w:r w:rsidR="00A2201D">
        <w:t>nepříznivých událostech</w:t>
      </w:r>
      <w:r w:rsidRPr="003A591C">
        <w:t>, které mu byly oznámeny v průběhu klinických zkoušek;</w:t>
      </w:r>
    </w:p>
    <w:p w14:paraId="0CB85EEB" w14:textId="5156BB38" w:rsidR="00644563" w:rsidRPr="00BF2E4E" w:rsidRDefault="00644563" w:rsidP="00BF2E4E">
      <w:pPr>
        <w:pStyle w:val="Nadpis1"/>
      </w:pPr>
      <w:r w:rsidRPr="00BF2E4E">
        <w:t xml:space="preserve">Vlastnictví </w:t>
      </w:r>
      <w:r w:rsidR="00954677">
        <w:t xml:space="preserve">vynálezů, </w:t>
      </w:r>
      <w:r w:rsidRPr="00BF2E4E">
        <w:t xml:space="preserve">výsledků studie, jeho ochrana a publikování </w:t>
      </w:r>
      <w:r w:rsidR="00954677">
        <w:t xml:space="preserve">a používání těchto </w:t>
      </w:r>
      <w:r w:rsidRPr="00BF2E4E">
        <w:t>výsledků</w:t>
      </w:r>
    </w:p>
    <w:p w14:paraId="6459E594" w14:textId="28053D68" w:rsidR="00F45A5D" w:rsidRPr="00892363" w:rsidRDefault="00F45A5D" w:rsidP="00F45A5D">
      <w:pPr>
        <w:pStyle w:val="Nadpis2"/>
        <w:rPr>
          <w:rFonts w:cstheme="minorBidi"/>
          <w:szCs w:val="24"/>
        </w:rPr>
      </w:pPr>
      <w:bookmarkStart w:id="33" w:name="_cp_blt_1_272"/>
      <w:bookmarkStart w:id="34" w:name="OLE_LINK4"/>
      <w:bookmarkStart w:id="35" w:name="OLE_LINK3"/>
      <w:bookmarkStart w:id="36" w:name="_cp_text_1_270"/>
      <w:bookmarkStart w:id="37" w:name="_cp_blt_1_268"/>
      <w:bookmarkStart w:id="38" w:name="_cp_text_1_264"/>
      <w:bookmarkStart w:id="39" w:name="_cp_text_4_265"/>
      <w:bookmarkStart w:id="40" w:name="_cp_text_1_266"/>
      <w:bookmarkStart w:id="41" w:name="_cp_text_4_267"/>
      <w:bookmarkStart w:id="42" w:name="_cp_text_1_257"/>
      <w:bookmarkStart w:id="43" w:name="_cp_text_4_258"/>
      <w:bookmarkStart w:id="44" w:name="_cp_text_1_259"/>
      <w:r>
        <w:rPr>
          <w:rFonts w:cstheme="minorBidi"/>
          <w:szCs w:val="24"/>
        </w:rPr>
        <w:t xml:space="preserve">Výsledky klinického zkoušení jsou výlučným vlastnictvím zadavatele. Výsledky klinického zkoušení nebo jejich části nebudou poskytovatelem, zkoušejícím či dalšími osobami zúčastněnými na klinickém zkoušení publikovány, zveřejňovány nebo jinak zpřístupňovány (dále jen „publikace“) v rámci publikace, abstraktu nebo prohlášení bez předchozího písemného souhlasu zadavatele. Zadavatel není oprávněn souhlas bezdůvodně odepřít. Důvodem pro odepření souhlasu je především skutečnost, že zkoušející neposkytne zadavateli k připomínkování návrh publikace nebo pokud připomínky zadavatele sdělené do </w:t>
      </w:r>
      <w:r w:rsidR="00DE45A7">
        <w:rPr>
          <w:rFonts w:cstheme="minorBidi"/>
          <w:szCs w:val="24"/>
        </w:rPr>
        <w:t>60</w:t>
      </w:r>
      <w:r>
        <w:rPr>
          <w:rFonts w:cstheme="minorBidi"/>
          <w:szCs w:val="24"/>
        </w:rPr>
        <w:t xml:space="preserve"> dnů od takového předložení, zkoušející do </w:t>
      </w:r>
      <w:r w:rsidRPr="00892363">
        <w:rPr>
          <w:rFonts w:cstheme="minorBidi"/>
          <w:szCs w:val="24"/>
        </w:rPr>
        <w:t xml:space="preserve">publikace nezahrne, nebo pokud klinické zkoušení nebude dosud ukončeno. </w:t>
      </w:r>
      <w:r w:rsidR="002F3B3E" w:rsidRPr="00892363">
        <w:rPr>
          <w:rFonts w:cstheme="minorBidi"/>
          <w:szCs w:val="24"/>
        </w:rPr>
        <w:t xml:space="preserve">Stejně tak nesmí dojít k žádné publikaci do doby, než zkoušející předloží zadavateli návrh publikace k revizi. Zadavatel bude mít na revizi publikace 60 (šedesát) dní. Pokud zadavatel v době určené k této revizi zjistí, že publikace obsahuje materiál, který lze patentovat, dojde k prodloužení doby </w:t>
      </w:r>
      <w:r w:rsidR="00DE45A7" w:rsidRPr="00892363">
        <w:rPr>
          <w:rFonts w:cstheme="minorBidi"/>
          <w:szCs w:val="24"/>
        </w:rPr>
        <w:t xml:space="preserve">z </w:t>
      </w:r>
      <w:r w:rsidR="002F3B3E" w:rsidRPr="00892363">
        <w:rPr>
          <w:rFonts w:cstheme="minorBidi"/>
          <w:szCs w:val="24"/>
        </w:rPr>
        <w:t xml:space="preserve">60 (šedesáti) dnů na 120 (sto dvacet) dnů, tak aby bylo možné připravit žádosti o patenty, které by se vztahovaly na uvedený </w:t>
      </w:r>
      <w:proofErr w:type="spellStart"/>
      <w:r w:rsidR="002F3B3E" w:rsidRPr="00892363">
        <w:rPr>
          <w:rFonts w:cstheme="minorBidi"/>
          <w:szCs w:val="24"/>
        </w:rPr>
        <w:t>patentovatelný</w:t>
      </w:r>
      <w:proofErr w:type="spellEnd"/>
      <w:r w:rsidR="00892363" w:rsidRPr="00892363">
        <w:rPr>
          <w:rFonts w:cstheme="minorBidi"/>
          <w:szCs w:val="24"/>
        </w:rPr>
        <w:t xml:space="preserve"> </w:t>
      </w:r>
      <w:r w:rsidR="00DE45A7" w:rsidRPr="00892363">
        <w:rPr>
          <w:rFonts w:cstheme="minorBidi"/>
          <w:szCs w:val="24"/>
        </w:rPr>
        <w:t>výsledek studie</w:t>
      </w:r>
      <w:r w:rsidR="002F3B3E" w:rsidRPr="00892363">
        <w:rPr>
          <w:rFonts w:cstheme="minorBidi"/>
          <w:szCs w:val="24"/>
        </w:rPr>
        <w:t>. Bez písemného souhlasu zadavatele nesmí žádná publikace obsahovat důvěrné informace. Aniž by došlo k omezení předchozích ustanovení, poskytovatel a zkoušející musejí řádně zohlednit legitimní zájmy zadavatele, jako je koordinace a zachování důvěr</w:t>
      </w:r>
      <w:r w:rsidR="00892363" w:rsidRPr="00892363">
        <w:rPr>
          <w:rFonts w:cstheme="minorBidi"/>
          <w:szCs w:val="24"/>
        </w:rPr>
        <w:t>né povahy dokumentů podaných u </w:t>
      </w:r>
      <w:r w:rsidR="00DE45A7" w:rsidRPr="00892363">
        <w:rPr>
          <w:rFonts w:cstheme="minorBidi"/>
          <w:szCs w:val="24"/>
        </w:rPr>
        <w:t>relevantních</w:t>
      </w:r>
      <w:r w:rsidR="002F3B3E" w:rsidRPr="00892363">
        <w:rPr>
          <w:rFonts w:cstheme="minorBidi"/>
          <w:szCs w:val="24"/>
        </w:rPr>
        <w:t xml:space="preserve"> orgánů </w:t>
      </w:r>
      <w:r w:rsidR="00DE45A7" w:rsidRPr="00892363">
        <w:rPr>
          <w:rFonts w:cstheme="minorBidi"/>
          <w:szCs w:val="24"/>
        </w:rPr>
        <w:t xml:space="preserve">státní správy </w:t>
      </w:r>
      <w:r w:rsidR="002F3B3E" w:rsidRPr="00892363">
        <w:rPr>
          <w:rFonts w:cstheme="minorBidi"/>
          <w:szCs w:val="24"/>
        </w:rPr>
        <w:t>a koordinace dalších probíhajících studií ve stejné oblasti, a přijmout a zapracovat přiměřené poznámky a návrhy zadavatele, pokud jde o tyto publikace.</w:t>
      </w:r>
    </w:p>
    <w:p w14:paraId="1D444735" w14:textId="6C1194F2" w:rsidR="002F3B3E" w:rsidRPr="00892363" w:rsidRDefault="002F3B3E" w:rsidP="002F3B3E">
      <w:pPr>
        <w:pStyle w:val="Nadpis2"/>
        <w:rPr>
          <w:rFonts w:cstheme="minorBidi"/>
          <w:szCs w:val="24"/>
        </w:rPr>
      </w:pPr>
      <w:bookmarkStart w:id="45" w:name="_cp_text_4_271"/>
      <w:bookmarkEnd w:id="33"/>
      <w:bookmarkEnd w:id="34"/>
      <w:bookmarkEnd w:id="35"/>
      <w:bookmarkEnd w:id="36"/>
      <w:bookmarkEnd w:id="37"/>
      <w:bookmarkEnd w:id="38"/>
      <w:bookmarkEnd w:id="39"/>
      <w:bookmarkEnd w:id="40"/>
      <w:bookmarkEnd w:id="41"/>
      <w:bookmarkEnd w:id="42"/>
      <w:bookmarkEnd w:id="43"/>
      <w:bookmarkEnd w:id="44"/>
      <w:r w:rsidRPr="00892363">
        <w:rPr>
          <w:rFonts w:cstheme="minorBidi"/>
          <w:szCs w:val="24"/>
        </w:rPr>
        <w:t>Zadavatel smí použít v rámci žádostí předkládaných regulačním orgánům a k jejich vypracování veškeré informace a materiály, včetně záznamů o klinické</w:t>
      </w:r>
      <w:r w:rsidR="00892363" w:rsidRPr="00892363">
        <w:rPr>
          <w:rFonts w:cstheme="minorBidi"/>
          <w:szCs w:val="24"/>
        </w:rPr>
        <w:t xml:space="preserve"> </w:t>
      </w:r>
      <w:r w:rsidR="00DE45A7" w:rsidRPr="00892363">
        <w:rPr>
          <w:rFonts w:cstheme="minorBidi"/>
          <w:szCs w:val="24"/>
        </w:rPr>
        <w:t>zkoušce</w:t>
      </w:r>
      <w:r w:rsidRPr="00892363">
        <w:rPr>
          <w:rFonts w:cstheme="minorBidi"/>
          <w:szCs w:val="24"/>
        </w:rPr>
        <w:t>, které vyplývají z této smlouvy. Poskytovatel, zkoušející a jejich zaměstnanci se zadavatelem při vypracování odpovědi na dotazy regulačních orgánů týkající se klinického zkoušení přiměřeně spolupracují. Zadavateli je v rámci žádostí o další informace o klinické zkouš</w:t>
      </w:r>
      <w:r w:rsidR="00DE45A7" w:rsidRPr="00892363">
        <w:rPr>
          <w:rFonts w:cstheme="minorBidi"/>
          <w:szCs w:val="24"/>
        </w:rPr>
        <w:t>ce</w:t>
      </w:r>
      <w:r w:rsidRPr="00892363">
        <w:rPr>
          <w:rFonts w:cstheme="minorBidi"/>
          <w:szCs w:val="24"/>
        </w:rPr>
        <w:t xml:space="preserve"> umožněno obracet se </w:t>
      </w:r>
      <w:r w:rsidR="00DE45A7" w:rsidRPr="00892363">
        <w:rPr>
          <w:rFonts w:cstheme="minorBidi"/>
          <w:szCs w:val="24"/>
        </w:rPr>
        <w:t xml:space="preserve">přiměřeným způsobem </w:t>
      </w:r>
      <w:r w:rsidRPr="00892363">
        <w:rPr>
          <w:rFonts w:cstheme="minorBidi"/>
          <w:szCs w:val="24"/>
        </w:rPr>
        <w:t xml:space="preserve">na osoby provádějící klinické </w:t>
      </w:r>
      <w:r w:rsidRPr="00892363">
        <w:rPr>
          <w:rFonts w:cstheme="minorBidi"/>
          <w:szCs w:val="24"/>
        </w:rPr>
        <w:lastRenderedPageBreak/>
        <w:t xml:space="preserve">zkoušení přímo. Veškeré zdravotní záznamy vznikající v rámci klinického zkoušení zůstanou vlastnictvím poskytovatele. </w:t>
      </w:r>
    </w:p>
    <w:bookmarkEnd w:id="45"/>
    <w:p w14:paraId="325C97D2" w14:textId="52D5BC6A" w:rsidR="002F3B3E" w:rsidRPr="00892363" w:rsidRDefault="002F3B3E" w:rsidP="002F3B3E">
      <w:pPr>
        <w:pStyle w:val="Nadpis2"/>
        <w:rPr>
          <w:rFonts w:cstheme="minorBidi"/>
          <w:szCs w:val="24"/>
        </w:rPr>
      </w:pPr>
      <w:r w:rsidRPr="00892363">
        <w:rPr>
          <w:rFonts w:cstheme="minorBidi"/>
          <w:szCs w:val="24"/>
        </w:rPr>
        <w:t>Veškeré vynálezy a objevy (ať už je lze patentovat, či nikoli), materiál, inovace, návrhy, nápady a záznamy vytvořené, vypracované nebo prakticky využívané ze strany poskytovatele, zkoušejícího či jiných osob účastnících se na klinickém zkoušení samostatně nebo společně s jinými osobami v souvislosti s prováděním klinického zkoušení nebo v rámci jiného použití zdravotnického prostředk</w:t>
      </w:r>
      <w:r w:rsidR="00DE45A7" w:rsidRPr="00892363">
        <w:rPr>
          <w:rFonts w:cstheme="minorBidi"/>
          <w:szCs w:val="24"/>
        </w:rPr>
        <w:t>u</w:t>
      </w:r>
      <w:r w:rsidRPr="00892363">
        <w:rPr>
          <w:rFonts w:cstheme="minorBidi"/>
          <w:szCs w:val="24"/>
        </w:rPr>
        <w:t xml:space="preserve"> či které obsahují důvěrné informace jiným způsobem, a veškeré duševní vlastnictví a vlastnická práva k nim nebo spojená s nimi (dále společně jen „vynálezy“) se urychleně oznamují zadavateli, přičemž veškerá práva k nim vlastní zadavatel. V souladu s tím poskytovatel tímto převádí na zadavatele veškerá </w:t>
      </w:r>
      <w:r w:rsidR="00577F91" w:rsidRPr="00892363">
        <w:rPr>
          <w:rFonts w:cstheme="minorBidi"/>
          <w:szCs w:val="24"/>
        </w:rPr>
        <w:t xml:space="preserve">majetková </w:t>
      </w:r>
      <w:r w:rsidRPr="00892363">
        <w:rPr>
          <w:rFonts w:cstheme="minorBidi"/>
          <w:szCs w:val="24"/>
        </w:rPr>
        <w:t>práva na tyto vynálezy a nároky na ně, a to celosvětově. Poskytovatel a zadavatel podniknou veškeré kroky, které jsou nutné nebo nezbytné k tomu, aby bylo uvedené postoupení práv, příp. práv duševního vlastnictví a vlastnických práv (včetně vypracování dokumentů a pomoci a spolupráce v rámci právních postupů) zdokonaleno, získáno, zachováno, chráněno a prosazováno. Pokud není v této smlouvě výslovně stanoveno jinak, žádná ze smluvních stran nesmí jiné smluvní straně poskytnout žádná práva k patentovým právům nebo k jiným právům duševního vlastnictví nebo vlastnickým právům, ať už implicitně, na základě zásady „</w:t>
      </w:r>
      <w:proofErr w:type="spellStart"/>
      <w:r w:rsidRPr="00892363">
        <w:rPr>
          <w:rFonts w:cstheme="minorBidi"/>
          <w:szCs w:val="24"/>
        </w:rPr>
        <w:t>estoppel</w:t>
      </w:r>
      <w:proofErr w:type="spellEnd"/>
      <w:r w:rsidRPr="00892363">
        <w:rPr>
          <w:rFonts w:cstheme="minorBidi"/>
          <w:szCs w:val="24"/>
        </w:rPr>
        <w:t>“ nebo jinak.</w:t>
      </w:r>
    </w:p>
    <w:p w14:paraId="4463A3C3" w14:textId="77777777" w:rsidR="000161A1" w:rsidRPr="00BF2E4E" w:rsidRDefault="000161A1" w:rsidP="00BF2E4E">
      <w:pPr>
        <w:pStyle w:val="Nadpis1"/>
      </w:pPr>
      <w:r w:rsidRPr="00BF2E4E">
        <w:t>Finanční vyrovnání (odměna za poskytnuté služby)</w:t>
      </w:r>
    </w:p>
    <w:p w14:paraId="3D8E4542" w14:textId="46E123D5" w:rsidR="009352C2" w:rsidRPr="003A591C" w:rsidRDefault="000161A1" w:rsidP="0080485B">
      <w:pPr>
        <w:pStyle w:val="Nadpis2"/>
      </w:pPr>
      <w:r w:rsidRPr="003A591C">
        <w:rPr>
          <w:snapToGrid w:val="0"/>
        </w:rPr>
        <w:t xml:space="preserve">Zadavatel se zavazuje </w:t>
      </w:r>
      <w:r w:rsidR="00EC54EE">
        <w:rPr>
          <w:snapToGrid w:val="0"/>
        </w:rPr>
        <w:t xml:space="preserve">v souladu s tímto oddílem 14 </w:t>
      </w:r>
      <w:r w:rsidR="009352C2" w:rsidRPr="003A591C">
        <w:rPr>
          <w:snapToGrid w:val="0"/>
        </w:rPr>
        <w:t>hradit</w:t>
      </w:r>
      <w:r w:rsidRPr="003A591C">
        <w:rPr>
          <w:snapToGrid w:val="0"/>
        </w:rPr>
        <w:t xml:space="preserve"> </w:t>
      </w:r>
      <w:r w:rsidR="0022789D" w:rsidRPr="003A591C">
        <w:rPr>
          <w:snapToGrid w:val="0"/>
        </w:rPr>
        <w:t>poskytovateli</w:t>
      </w:r>
      <w:r w:rsidRPr="003A591C">
        <w:rPr>
          <w:snapToGrid w:val="0"/>
        </w:rPr>
        <w:t xml:space="preserve"> za </w:t>
      </w:r>
      <w:r w:rsidR="009352C2" w:rsidRPr="003A591C">
        <w:rPr>
          <w:snapToGrid w:val="0"/>
        </w:rPr>
        <w:t>provádění</w:t>
      </w:r>
      <w:r w:rsidRPr="003A591C">
        <w:rPr>
          <w:snapToGrid w:val="0"/>
        </w:rPr>
        <w:t xml:space="preserve"> klinického </w:t>
      </w:r>
      <w:r w:rsidR="00B77D97" w:rsidRPr="003A591C">
        <w:rPr>
          <w:snapToGrid w:val="0"/>
        </w:rPr>
        <w:t>zkoušení</w:t>
      </w:r>
      <w:r w:rsidRPr="003A591C">
        <w:rPr>
          <w:snapToGrid w:val="0"/>
        </w:rPr>
        <w:t xml:space="preserve"> odměnu</w:t>
      </w:r>
      <w:r w:rsidR="009352C2" w:rsidRPr="003A591C">
        <w:rPr>
          <w:snapToGrid w:val="0"/>
        </w:rPr>
        <w:t xml:space="preserve"> dle platebního schématu, které je </w:t>
      </w:r>
      <w:r w:rsidR="009352C2" w:rsidRPr="00DE45A7">
        <w:t>přílohou č.</w:t>
      </w:r>
      <w:r w:rsidR="002F3B3E">
        <w:rPr>
          <w:u w:val="single"/>
        </w:rPr>
        <w:t> </w:t>
      </w:r>
      <w:r w:rsidR="008D7070" w:rsidRPr="00DE45A7">
        <w:t>3</w:t>
      </w:r>
      <w:r w:rsidR="009352C2" w:rsidRPr="003A591C">
        <w:rPr>
          <w:snapToGrid w:val="0"/>
        </w:rPr>
        <w:t xml:space="preserve"> </w:t>
      </w:r>
      <w:proofErr w:type="gramStart"/>
      <w:r w:rsidR="009352C2" w:rsidRPr="003A591C">
        <w:rPr>
          <w:snapToGrid w:val="0"/>
        </w:rPr>
        <w:t>této</w:t>
      </w:r>
      <w:proofErr w:type="gramEnd"/>
      <w:r w:rsidR="009352C2" w:rsidRPr="003A591C">
        <w:rPr>
          <w:snapToGrid w:val="0"/>
        </w:rPr>
        <w:t xml:space="preserve"> smlouvy.</w:t>
      </w:r>
      <w:r w:rsidR="00664BF7" w:rsidRPr="003A591C">
        <w:rPr>
          <w:snapToGrid w:val="0"/>
        </w:rPr>
        <w:t xml:space="preserve"> </w:t>
      </w:r>
    </w:p>
    <w:p w14:paraId="1603D184" w14:textId="1E0951BE" w:rsidR="009352C2" w:rsidRPr="003A591C" w:rsidRDefault="009352C2" w:rsidP="0080485B">
      <w:pPr>
        <w:pStyle w:val="Nadpis2"/>
      </w:pPr>
      <w:r w:rsidRPr="003A591C">
        <w:rPr>
          <w:snapToGrid w:val="0"/>
        </w:rPr>
        <w:t xml:space="preserve">Nárok na příslušnou část odměny vznikne </w:t>
      </w:r>
      <w:r w:rsidR="00B15497" w:rsidRPr="003A591C">
        <w:rPr>
          <w:snapToGrid w:val="0"/>
        </w:rPr>
        <w:t>poskytovateli</w:t>
      </w:r>
      <w:r w:rsidRPr="003A591C">
        <w:rPr>
          <w:snapToGrid w:val="0"/>
        </w:rPr>
        <w:t xml:space="preserve"> v okamžiku poskytnutí plnění</w:t>
      </w:r>
      <w:r w:rsidR="00EC54EE">
        <w:rPr>
          <w:snapToGrid w:val="0"/>
        </w:rPr>
        <w:t xml:space="preserve"> v souladu s touto smlouvou</w:t>
      </w:r>
      <w:r w:rsidRPr="003A591C">
        <w:rPr>
          <w:snapToGrid w:val="0"/>
        </w:rPr>
        <w:t>, které je položkou platebního schématu.</w:t>
      </w:r>
    </w:p>
    <w:p w14:paraId="2B8974F2" w14:textId="77777777" w:rsidR="009352C2" w:rsidRPr="003A591C" w:rsidRDefault="009352C2" w:rsidP="0080485B">
      <w:pPr>
        <w:pStyle w:val="Nadpis2"/>
        <w:rPr>
          <w:snapToGrid w:val="0"/>
        </w:rPr>
      </w:pPr>
      <w:r w:rsidRPr="003A591C">
        <w:rPr>
          <w:snapToGrid w:val="0"/>
        </w:rPr>
        <w:t xml:space="preserve">Smluvní strany se dohodly, že finanční plnění budou </w:t>
      </w:r>
      <w:r w:rsidR="00B15497" w:rsidRPr="003A591C">
        <w:rPr>
          <w:snapToGrid w:val="0"/>
        </w:rPr>
        <w:t>poskytovateli</w:t>
      </w:r>
      <w:r w:rsidRPr="003A591C">
        <w:rPr>
          <w:snapToGrid w:val="0"/>
        </w:rPr>
        <w:t xml:space="preserve"> poskytována za minimálně devadesáti (90) denní a maximálně sto deseti (110) denní období počínaje dnem zahájení klinického </w:t>
      </w:r>
      <w:r w:rsidR="00B77D97" w:rsidRPr="003A591C">
        <w:rPr>
          <w:snapToGrid w:val="0"/>
        </w:rPr>
        <w:t>zkoušení</w:t>
      </w:r>
      <w:r w:rsidRPr="003A591C">
        <w:rPr>
          <w:snapToGrid w:val="0"/>
        </w:rPr>
        <w:t xml:space="preserve">, a to v souladu s výše uvedeným platebním schématem. </w:t>
      </w:r>
    </w:p>
    <w:p w14:paraId="53582009" w14:textId="6CAA092B" w:rsidR="009352C2" w:rsidRPr="003A591C" w:rsidRDefault="009352C2" w:rsidP="0080485B">
      <w:pPr>
        <w:pStyle w:val="Nadpis2"/>
        <w:rPr>
          <w:snapToGrid w:val="0"/>
        </w:rPr>
      </w:pPr>
      <w:r w:rsidRPr="003A591C">
        <w:rPr>
          <w:snapToGrid w:val="0"/>
        </w:rPr>
        <w:t xml:space="preserve">Finanční plnění budou ze strany zadavatele poskytována na základě faktury – daňového dokladu, vystaveného v souladu s touto smlouvou, jehož přílohou bude seznam uskutečněných činností rozhodných dle platebního schématu pro výpočet smluvní odměny. Daňový doklad musí obsahovat veškeré náležitosti stanovené obecně závaznými právními předpisy. Splatnost daňového dokladu bude činit nejméně 21 dní. </w:t>
      </w:r>
    </w:p>
    <w:p w14:paraId="76D1D4FB" w14:textId="522EAE95" w:rsidR="00FE3F55" w:rsidRPr="003A591C" w:rsidRDefault="00FE3F55" w:rsidP="0080485B">
      <w:pPr>
        <w:pStyle w:val="Nadpis2"/>
        <w:rPr>
          <w:snapToGrid w:val="0"/>
        </w:rPr>
      </w:pPr>
      <w:r w:rsidRPr="003A591C">
        <w:rPr>
          <w:snapToGrid w:val="0"/>
        </w:rPr>
        <w:t xml:space="preserve">Zadavatel se zavazuje uhradit </w:t>
      </w:r>
      <w:r w:rsidR="00B15497" w:rsidRPr="003A591C">
        <w:rPr>
          <w:snapToGrid w:val="0"/>
        </w:rPr>
        <w:t>poskytovateli</w:t>
      </w:r>
      <w:r w:rsidRPr="003A591C">
        <w:rPr>
          <w:snapToGrid w:val="0"/>
        </w:rPr>
        <w:t xml:space="preserve"> poměrnou část </w:t>
      </w:r>
      <w:r w:rsidR="00EC54EE">
        <w:rPr>
          <w:snapToGrid w:val="0"/>
        </w:rPr>
        <w:t xml:space="preserve">dlužné </w:t>
      </w:r>
      <w:r w:rsidRPr="003A591C">
        <w:rPr>
          <w:snapToGrid w:val="0"/>
        </w:rPr>
        <w:t xml:space="preserve">odměny i v případě, že subjekt </w:t>
      </w:r>
      <w:r w:rsidR="00B77D97" w:rsidRPr="003A591C">
        <w:rPr>
          <w:snapToGrid w:val="0"/>
        </w:rPr>
        <w:t>zkoušení</w:t>
      </w:r>
      <w:r w:rsidRPr="003A591C">
        <w:rPr>
          <w:snapToGrid w:val="0"/>
        </w:rPr>
        <w:t xml:space="preserve"> klinické </w:t>
      </w:r>
      <w:r w:rsidR="00B77D97" w:rsidRPr="003A591C">
        <w:rPr>
          <w:snapToGrid w:val="0"/>
        </w:rPr>
        <w:t>zkoušení</w:t>
      </w:r>
      <w:r w:rsidRPr="003A591C">
        <w:rPr>
          <w:snapToGrid w:val="0"/>
        </w:rPr>
        <w:t xml:space="preserve"> nedokončí nebo v případě, že klinické </w:t>
      </w:r>
      <w:r w:rsidR="00B77D97" w:rsidRPr="003A591C">
        <w:rPr>
          <w:snapToGrid w:val="0"/>
        </w:rPr>
        <w:t>zkoušení</w:t>
      </w:r>
      <w:r w:rsidRPr="003A591C">
        <w:rPr>
          <w:snapToGrid w:val="0"/>
        </w:rPr>
        <w:t xml:space="preserve"> bude </w:t>
      </w:r>
      <w:r w:rsidR="00EC54EE">
        <w:rPr>
          <w:snapToGrid w:val="0"/>
        </w:rPr>
        <w:t xml:space="preserve">v souladu s oddílem 16 </w:t>
      </w:r>
      <w:r w:rsidR="00EC54EE" w:rsidRPr="003A591C">
        <w:rPr>
          <w:snapToGrid w:val="0"/>
        </w:rPr>
        <w:t>ukončeno</w:t>
      </w:r>
      <w:r w:rsidR="00EC54EE">
        <w:rPr>
          <w:snapToGrid w:val="0"/>
        </w:rPr>
        <w:t xml:space="preserve"> </w:t>
      </w:r>
      <w:r w:rsidRPr="003A591C">
        <w:rPr>
          <w:snapToGrid w:val="0"/>
        </w:rPr>
        <w:t>předčasně.</w:t>
      </w:r>
      <w:r w:rsidR="004C4753" w:rsidRPr="003A591C">
        <w:rPr>
          <w:snapToGrid w:val="0"/>
        </w:rPr>
        <w:t xml:space="preserve"> Ustanovení čl. </w:t>
      </w:r>
      <w:proofErr w:type="gramStart"/>
      <w:r w:rsidR="004C4753" w:rsidRPr="003A591C">
        <w:rPr>
          <w:snapToGrid w:val="0"/>
        </w:rPr>
        <w:t>16.3. této</w:t>
      </w:r>
      <w:proofErr w:type="gramEnd"/>
      <w:r w:rsidR="004C4753" w:rsidRPr="003A591C">
        <w:rPr>
          <w:snapToGrid w:val="0"/>
        </w:rPr>
        <w:t xml:space="preserve"> smlouvy není tímto dotčeno.</w:t>
      </w:r>
      <w:r w:rsidRPr="003A591C">
        <w:rPr>
          <w:snapToGrid w:val="0"/>
        </w:rPr>
        <w:t xml:space="preserve"> </w:t>
      </w:r>
    </w:p>
    <w:p w14:paraId="6AE4879C" w14:textId="77777777" w:rsidR="00295DB4" w:rsidRPr="003A591C" w:rsidRDefault="000864DF" w:rsidP="0080485B">
      <w:pPr>
        <w:pStyle w:val="Nadpis2"/>
        <w:rPr>
          <w:snapToGrid w:val="0"/>
        </w:rPr>
      </w:pPr>
      <w:r w:rsidRPr="003A591C">
        <w:rPr>
          <w:snapToGrid w:val="0"/>
        </w:rPr>
        <w:t xml:space="preserve">Pokud je </w:t>
      </w:r>
      <w:r w:rsidR="001B416E" w:rsidRPr="003A591C">
        <w:rPr>
          <w:snapToGrid w:val="0"/>
        </w:rPr>
        <w:t>poskytovatel</w:t>
      </w:r>
      <w:r w:rsidRPr="003A591C">
        <w:rPr>
          <w:snapToGrid w:val="0"/>
        </w:rPr>
        <w:t xml:space="preserve"> plátcem DPH, bude ke všem výše uvedeným částkám připočteno DPH v zákonné výši.</w:t>
      </w:r>
      <w:r w:rsidR="00295DB4" w:rsidRPr="003A591C">
        <w:rPr>
          <w:snapToGrid w:val="0"/>
        </w:rPr>
        <w:t xml:space="preserve"> </w:t>
      </w:r>
    </w:p>
    <w:p w14:paraId="5C335133" w14:textId="7DAA3F70" w:rsidR="00295DB4" w:rsidRPr="003A591C" w:rsidRDefault="00295DB4" w:rsidP="0080485B">
      <w:pPr>
        <w:pStyle w:val="Nadpis2"/>
        <w:rPr>
          <w:snapToGrid w:val="0"/>
        </w:rPr>
      </w:pPr>
      <w:r w:rsidRPr="003A591C">
        <w:rPr>
          <w:snapToGrid w:val="0"/>
        </w:rPr>
        <w:t xml:space="preserve">Odměnu </w:t>
      </w:r>
      <w:r w:rsidR="00EC54EE">
        <w:rPr>
          <w:snapToGrid w:val="0"/>
        </w:rPr>
        <w:t>z</w:t>
      </w:r>
      <w:r w:rsidR="00EC54EE" w:rsidRPr="003A591C">
        <w:rPr>
          <w:snapToGrid w:val="0"/>
        </w:rPr>
        <w:t xml:space="preserve">koušejícímu </w:t>
      </w:r>
      <w:r w:rsidRPr="003A591C">
        <w:rPr>
          <w:snapToGrid w:val="0"/>
        </w:rPr>
        <w:t xml:space="preserve">a členům </w:t>
      </w:r>
      <w:r w:rsidR="00A92000" w:rsidRPr="003A591C">
        <w:rPr>
          <w:snapToGrid w:val="0"/>
        </w:rPr>
        <w:t>z</w:t>
      </w:r>
      <w:r w:rsidR="001D5C98" w:rsidRPr="003A591C">
        <w:rPr>
          <w:snapToGrid w:val="0"/>
        </w:rPr>
        <w:t>koušející</w:t>
      </w:r>
      <w:r w:rsidRPr="003A591C">
        <w:rPr>
          <w:snapToGrid w:val="0"/>
        </w:rPr>
        <w:t xml:space="preserve">ho týmu poskytuje </w:t>
      </w:r>
      <w:r w:rsidR="001B416E" w:rsidRPr="003A591C">
        <w:rPr>
          <w:snapToGrid w:val="0"/>
        </w:rPr>
        <w:t>poskytovatel</w:t>
      </w:r>
      <w:r w:rsidRPr="003A591C">
        <w:rPr>
          <w:snapToGrid w:val="0"/>
        </w:rPr>
        <w:t xml:space="preserve">. Odměna je určena vnitřním předpisem </w:t>
      </w:r>
      <w:r w:rsidR="00B15497" w:rsidRPr="003A591C">
        <w:rPr>
          <w:snapToGrid w:val="0"/>
        </w:rPr>
        <w:t>poskytovatele</w:t>
      </w:r>
      <w:r w:rsidRPr="003A591C">
        <w:rPr>
          <w:snapToGrid w:val="0"/>
        </w:rPr>
        <w:t xml:space="preserve">. </w:t>
      </w:r>
    </w:p>
    <w:p w14:paraId="37BEF02A" w14:textId="77777777" w:rsidR="001D2EC4" w:rsidRPr="00BF2E4E" w:rsidRDefault="001D2EC4" w:rsidP="00BF2E4E">
      <w:pPr>
        <w:pStyle w:val="Nadpis1"/>
      </w:pPr>
      <w:r w:rsidRPr="00BF2E4E">
        <w:t>Další smluvní ujednání</w:t>
      </w:r>
    </w:p>
    <w:p w14:paraId="33103E8B" w14:textId="07509950" w:rsidR="00B945BA" w:rsidRPr="003A591C" w:rsidRDefault="00B945BA" w:rsidP="0080485B">
      <w:pPr>
        <w:pStyle w:val="Nadpis2"/>
        <w:rPr>
          <w:snapToGrid w:val="0"/>
        </w:rPr>
      </w:pPr>
      <w:r w:rsidRPr="003A591C">
        <w:rPr>
          <w:snapToGrid w:val="0"/>
        </w:rPr>
        <w:t xml:space="preserve">Zadavatel a </w:t>
      </w:r>
      <w:r w:rsidR="000A541B" w:rsidRPr="003A591C">
        <w:rPr>
          <w:snapToGrid w:val="0"/>
        </w:rPr>
        <w:t>asistent</w:t>
      </w:r>
      <w:r w:rsidRPr="003A591C">
        <w:rPr>
          <w:snapToGrid w:val="0"/>
        </w:rPr>
        <w:t xml:space="preserve"> ber</w:t>
      </w:r>
      <w:r w:rsidR="000A541B" w:rsidRPr="003A591C">
        <w:rPr>
          <w:snapToGrid w:val="0"/>
        </w:rPr>
        <w:t>ou</w:t>
      </w:r>
      <w:r w:rsidRPr="003A591C">
        <w:rPr>
          <w:snapToGrid w:val="0"/>
        </w:rPr>
        <w:t xml:space="preserve"> na vědomí, že </w:t>
      </w:r>
      <w:r w:rsidR="00472D44" w:rsidRPr="003A591C">
        <w:rPr>
          <w:snapToGrid w:val="0"/>
        </w:rPr>
        <w:t>z</w:t>
      </w:r>
      <w:r w:rsidR="001D5C98" w:rsidRPr="003A591C">
        <w:rPr>
          <w:snapToGrid w:val="0"/>
        </w:rPr>
        <w:t>koušející</w:t>
      </w:r>
      <w:r w:rsidRPr="003A591C">
        <w:rPr>
          <w:snapToGrid w:val="0"/>
        </w:rPr>
        <w:t xml:space="preserve">, </w:t>
      </w:r>
      <w:r w:rsidR="00316AE4" w:rsidRPr="003A591C">
        <w:rPr>
          <w:snapToGrid w:val="0"/>
        </w:rPr>
        <w:t>osoba zúčastněná na klinickém zkoušení</w:t>
      </w:r>
      <w:r w:rsidRPr="003A591C">
        <w:rPr>
          <w:snapToGrid w:val="0"/>
        </w:rPr>
        <w:t xml:space="preserve"> ani jakákoli j</w:t>
      </w:r>
      <w:r w:rsidR="00B15497" w:rsidRPr="003A591C">
        <w:rPr>
          <w:snapToGrid w:val="0"/>
        </w:rPr>
        <w:t>iná osoba v pracovním poměru k</w:t>
      </w:r>
      <w:r w:rsidR="0030581A">
        <w:rPr>
          <w:snapToGrid w:val="0"/>
        </w:rPr>
        <w:t> </w:t>
      </w:r>
      <w:r w:rsidR="00B15497" w:rsidRPr="003A591C">
        <w:rPr>
          <w:snapToGrid w:val="0"/>
        </w:rPr>
        <w:t>poskytovateli</w:t>
      </w:r>
      <w:r w:rsidR="0030581A">
        <w:rPr>
          <w:snapToGrid w:val="0"/>
        </w:rPr>
        <w:t>, nejedná-li se o asistenta,</w:t>
      </w:r>
      <w:r w:rsidR="00B15497" w:rsidRPr="003A591C">
        <w:rPr>
          <w:snapToGrid w:val="0"/>
        </w:rPr>
        <w:t xml:space="preserve"> </w:t>
      </w:r>
      <w:r w:rsidRPr="003A591C">
        <w:rPr>
          <w:snapToGrid w:val="0"/>
        </w:rPr>
        <w:t xml:space="preserve">nejsou oprávněni vstupovat </w:t>
      </w:r>
      <w:r w:rsidR="001E5668">
        <w:rPr>
          <w:snapToGrid w:val="0"/>
        </w:rPr>
        <w:t xml:space="preserve">v souvislosti s provedením studie dle této smlouvy </w:t>
      </w:r>
      <w:r w:rsidRPr="003A591C">
        <w:rPr>
          <w:snapToGrid w:val="0"/>
        </w:rPr>
        <w:t>do jakýchkoli přímých smluvních vztahů se zadavatelem, s</w:t>
      </w:r>
      <w:r w:rsidR="00AF1AF3" w:rsidRPr="003A591C">
        <w:rPr>
          <w:snapToGrid w:val="0"/>
        </w:rPr>
        <w:t xml:space="preserve"> asistentem </w:t>
      </w:r>
      <w:r w:rsidRPr="003A591C">
        <w:rPr>
          <w:snapToGrid w:val="0"/>
        </w:rPr>
        <w:t xml:space="preserve">nebo s </w:t>
      </w:r>
      <w:r w:rsidRPr="003A591C">
        <w:rPr>
          <w:snapToGrid w:val="0"/>
        </w:rPr>
        <w:lastRenderedPageBreak/>
        <w:t>jakoukoli jinou osobou jednající se zadavatelem nebo s</w:t>
      </w:r>
      <w:r w:rsidR="00AF1AF3" w:rsidRPr="003A591C">
        <w:rPr>
          <w:snapToGrid w:val="0"/>
        </w:rPr>
        <w:t xml:space="preserve"> asistentem </w:t>
      </w:r>
      <w:r w:rsidRPr="003A591C">
        <w:rPr>
          <w:snapToGrid w:val="0"/>
        </w:rPr>
        <w:t>ve shodě, na je</w:t>
      </w:r>
      <w:r w:rsidR="00AF1AF3" w:rsidRPr="003A591C">
        <w:rPr>
          <w:snapToGrid w:val="0"/>
        </w:rPr>
        <w:t>ho</w:t>
      </w:r>
      <w:r w:rsidRPr="003A591C">
        <w:rPr>
          <w:snapToGrid w:val="0"/>
        </w:rPr>
        <w:t xml:space="preserve"> příkaz nebo v je</w:t>
      </w:r>
      <w:r w:rsidR="00AF1AF3" w:rsidRPr="003A591C">
        <w:rPr>
          <w:snapToGrid w:val="0"/>
        </w:rPr>
        <w:t>ho</w:t>
      </w:r>
      <w:r w:rsidRPr="003A591C">
        <w:rPr>
          <w:snapToGrid w:val="0"/>
        </w:rPr>
        <w:t xml:space="preserve"> prospěch, a přijímat na základě těchto smluvních vztahů jakékoli plnění</w:t>
      </w:r>
      <w:r w:rsidR="001E5668">
        <w:rPr>
          <w:snapToGrid w:val="0"/>
        </w:rPr>
        <w:t>, ledaže je poskytovatel účastníkem takové smlouvy</w:t>
      </w:r>
      <w:r w:rsidRPr="003A591C">
        <w:rPr>
          <w:snapToGrid w:val="0"/>
        </w:rPr>
        <w:t>.</w:t>
      </w:r>
    </w:p>
    <w:p w14:paraId="113C38AF" w14:textId="74FAC9C9" w:rsidR="00B945BA" w:rsidRPr="003A591C" w:rsidRDefault="00B945BA" w:rsidP="0080485B">
      <w:pPr>
        <w:pStyle w:val="Nadpis2"/>
        <w:rPr>
          <w:snapToGrid w:val="0"/>
        </w:rPr>
      </w:pPr>
      <w:r w:rsidRPr="003A591C">
        <w:rPr>
          <w:snapToGrid w:val="0"/>
        </w:rPr>
        <w:t xml:space="preserve">Zadavatel </w:t>
      </w:r>
      <w:r w:rsidRPr="0082029E">
        <w:rPr>
          <w:snapToGrid w:val="0"/>
        </w:rPr>
        <w:t xml:space="preserve">a </w:t>
      </w:r>
      <w:r w:rsidR="000A541B" w:rsidRPr="0082029E">
        <w:rPr>
          <w:snapToGrid w:val="0"/>
        </w:rPr>
        <w:t>asistent</w:t>
      </w:r>
      <w:r w:rsidRPr="003A591C">
        <w:rPr>
          <w:snapToGrid w:val="0"/>
        </w:rPr>
        <w:t xml:space="preserve"> se zavazují, že žádné z osob zúčastněných na výzkumu neposkytne přímo ani nepřímo, tj. prostřednictvím jiné osoby jednající s ní/s ním ve shodě na jeho/její příkaz nebo v jeho/její prospěch odměnu nebo jakékoli jiné plnění jinak než dle této smlouvy.</w:t>
      </w:r>
    </w:p>
    <w:p w14:paraId="4E57516A" w14:textId="102F14BC" w:rsidR="00B945BA" w:rsidRPr="003A591C" w:rsidRDefault="00B945BA" w:rsidP="0080485B">
      <w:pPr>
        <w:pStyle w:val="Nadpis2"/>
        <w:rPr>
          <w:snapToGrid w:val="0"/>
        </w:rPr>
      </w:pPr>
      <w:r w:rsidRPr="003A591C">
        <w:rPr>
          <w:snapToGrid w:val="0"/>
        </w:rPr>
        <w:t xml:space="preserve">V případě, že zadavatel nebo </w:t>
      </w:r>
      <w:r w:rsidR="000A541B" w:rsidRPr="003A591C">
        <w:rPr>
          <w:snapToGrid w:val="0"/>
        </w:rPr>
        <w:t>asistent</w:t>
      </w:r>
      <w:r w:rsidRPr="003A591C">
        <w:rPr>
          <w:snapToGrid w:val="0"/>
        </w:rPr>
        <w:t xml:space="preserve"> poruší svůj závazek dle čl. </w:t>
      </w:r>
      <w:proofErr w:type="gramStart"/>
      <w:r w:rsidRPr="003A591C">
        <w:rPr>
          <w:snapToGrid w:val="0"/>
        </w:rPr>
        <w:t>1</w:t>
      </w:r>
      <w:r w:rsidR="00F469B2" w:rsidRPr="003A591C">
        <w:rPr>
          <w:snapToGrid w:val="0"/>
        </w:rPr>
        <w:t>5</w:t>
      </w:r>
      <w:r w:rsidRPr="003A591C">
        <w:rPr>
          <w:snapToGrid w:val="0"/>
        </w:rPr>
        <w:t>.</w:t>
      </w:r>
      <w:r w:rsidR="00E26121" w:rsidRPr="003A591C">
        <w:rPr>
          <w:snapToGrid w:val="0"/>
        </w:rPr>
        <w:t>1</w:t>
      </w:r>
      <w:proofErr w:type="gramEnd"/>
      <w:r w:rsidRPr="003A591C">
        <w:rPr>
          <w:snapToGrid w:val="0"/>
        </w:rPr>
        <w:t>.</w:t>
      </w:r>
      <w:r w:rsidR="00E26121" w:rsidRPr="003A591C">
        <w:rPr>
          <w:snapToGrid w:val="0"/>
        </w:rPr>
        <w:t xml:space="preserve"> a 15.2.</w:t>
      </w:r>
      <w:r w:rsidRPr="003A591C">
        <w:rPr>
          <w:snapToGrid w:val="0"/>
        </w:rPr>
        <w:t xml:space="preserve"> této smlouvy, je povin</w:t>
      </w:r>
      <w:r w:rsidR="00F469B2" w:rsidRPr="003A591C">
        <w:rPr>
          <w:snapToGrid w:val="0"/>
        </w:rPr>
        <w:t>e</w:t>
      </w:r>
      <w:r w:rsidRPr="003A591C">
        <w:rPr>
          <w:snapToGrid w:val="0"/>
        </w:rPr>
        <w:t xml:space="preserve">n zaplatit </w:t>
      </w:r>
      <w:r w:rsidR="00B15497" w:rsidRPr="003A591C">
        <w:rPr>
          <w:snapToGrid w:val="0"/>
        </w:rPr>
        <w:t>poskytovateli</w:t>
      </w:r>
      <w:r w:rsidRPr="003A591C">
        <w:rPr>
          <w:snapToGrid w:val="0"/>
        </w:rPr>
        <w:t xml:space="preserve"> smluví pokutu ve výši 500.000,- Kč.</w:t>
      </w:r>
    </w:p>
    <w:p w14:paraId="06DB200F" w14:textId="77777777" w:rsidR="007F0EDE" w:rsidRPr="00BF2E4E" w:rsidRDefault="007F0EDE" w:rsidP="00BF2E4E">
      <w:pPr>
        <w:pStyle w:val="Nadpis1"/>
      </w:pPr>
      <w:r w:rsidRPr="00BF2E4E">
        <w:t xml:space="preserve">Ukončení klinického </w:t>
      </w:r>
      <w:r w:rsidR="00B77D97" w:rsidRPr="00BF2E4E">
        <w:t>zkoušení</w:t>
      </w:r>
    </w:p>
    <w:p w14:paraId="1F699D0B" w14:textId="3A163BA6" w:rsidR="00A755EA" w:rsidRPr="003A591C" w:rsidRDefault="00A755EA" w:rsidP="0080485B">
      <w:pPr>
        <w:pStyle w:val="Nadpis2"/>
        <w:rPr>
          <w:snapToGrid w:val="0"/>
        </w:rPr>
      </w:pPr>
      <w:r w:rsidRPr="003A591C">
        <w:rPr>
          <w:snapToGrid w:val="0"/>
        </w:rPr>
        <w:t xml:space="preserve">Klinické </w:t>
      </w:r>
      <w:r w:rsidR="00B77D97" w:rsidRPr="003A591C">
        <w:rPr>
          <w:snapToGrid w:val="0"/>
        </w:rPr>
        <w:t>zkoušení</w:t>
      </w:r>
      <w:r w:rsidRPr="003A591C">
        <w:rPr>
          <w:snapToGrid w:val="0"/>
        </w:rPr>
        <w:t xml:space="preserve"> bude ukončeno okamžikem, kdy ve vztahu k subjektům </w:t>
      </w:r>
      <w:r w:rsidR="00B77D97" w:rsidRPr="003A591C">
        <w:rPr>
          <w:snapToGrid w:val="0"/>
        </w:rPr>
        <w:t>zkoušení</w:t>
      </w:r>
      <w:r w:rsidRPr="003A591C">
        <w:rPr>
          <w:snapToGrid w:val="0"/>
        </w:rPr>
        <w:t xml:space="preserve"> bude proveden poslední úkon stanovený touto smlouvou, popř. </w:t>
      </w:r>
      <w:r w:rsidR="00341443" w:rsidRPr="003A591C">
        <w:rPr>
          <w:snapToGrid w:val="0"/>
        </w:rPr>
        <w:t>plánem</w:t>
      </w:r>
      <w:r w:rsidRPr="003A591C">
        <w:rPr>
          <w:snapToGrid w:val="0"/>
        </w:rPr>
        <w:t>.</w:t>
      </w:r>
    </w:p>
    <w:p w14:paraId="31BA6E50" w14:textId="7DCEA4A7" w:rsidR="002A75C0" w:rsidRPr="003A591C" w:rsidRDefault="007F0EDE" w:rsidP="0080485B">
      <w:pPr>
        <w:pStyle w:val="Nadpis2"/>
        <w:rPr>
          <w:snapToGrid w:val="0"/>
        </w:rPr>
      </w:pPr>
      <w:r w:rsidRPr="003A591C">
        <w:rPr>
          <w:snapToGrid w:val="0"/>
        </w:rPr>
        <w:t xml:space="preserve">Klinické </w:t>
      </w:r>
      <w:r w:rsidR="00B77D97" w:rsidRPr="003A591C">
        <w:rPr>
          <w:snapToGrid w:val="0"/>
        </w:rPr>
        <w:t>zkoušení</w:t>
      </w:r>
      <w:r w:rsidRPr="003A591C">
        <w:rPr>
          <w:snapToGrid w:val="0"/>
        </w:rPr>
        <w:t xml:space="preserve"> může </w:t>
      </w:r>
      <w:r w:rsidR="002A75C0" w:rsidRPr="003A591C">
        <w:rPr>
          <w:snapToGrid w:val="0"/>
        </w:rPr>
        <w:t xml:space="preserve">být </w:t>
      </w:r>
      <w:r w:rsidR="00880F0C">
        <w:rPr>
          <w:snapToGrid w:val="0"/>
        </w:rPr>
        <w:t xml:space="preserve">v souladu s článkem 16 níže </w:t>
      </w:r>
      <w:r w:rsidR="002A75C0" w:rsidRPr="003A591C">
        <w:rPr>
          <w:snapToGrid w:val="0"/>
        </w:rPr>
        <w:t xml:space="preserve">jednostranně přerušeno nebo ukončeno </w:t>
      </w:r>
      <w:r w:rsidRPr="003A591C">
        <w:rPr>
          <w:snapToGrid w:val="0"/>
        </w:rPr>
        <w:t>zadavatelem</w:t>
      </w:r>
      <w:r w:rsidR="00203E1E">
        <w:rPr>
          <w:snapToGrid w:val="0"/>
        </w:rPr>
        <w:t xml:space="preserve"> </w:t>
      </w:r>
      <w:r w:rsidRPr="003A591C">
        <w:rPr>
          <w:snapToGrid w:val="0"/>
        </w:rPr>
        <w:t xml:space="preserve">nebo </w:t>
      </w:r>
      <w:r w:rsidR="00B15497" w:rsidRPr="003A591C">
        <w:rPr>
          <w:snapToGrid w:val="0"/>
        </w:rPr>
        <w:t>poskytovatelem</w:t>
      </w:r>
      <w:r w:rsidR="002A75C0" w:rsidRPr="003A591C">
        <w:rPr>
          <w:snapToGrid w:val="0"/>
        </w:rPr>
        <w:t xml:space="preserve">. </w:t>
      </w:r>
    </w:p>
    <w:p w14:paraId="5826B932" w14:textId="77777777" w:rsidR="002A75C0" w:rsidRPr="003A591C" w:rsidRDefault="001B416E" w:rsidP="0080485B">
      <w:pPr>
        <w:pStyle w:val="Nadpis2"/>
        <w:rPr>
          <w:snapToGrid w:val="0"/>
        </w:rPr>
      </w:pPr>
      <w:r w:rsidRPr="003A591C">
        <w:rPr>
          <w:snapToGrid w:val="0"/>
        </w:rPr>
        <w:t>Poskytovatel je oprávněn</w:t>
      </w:r>
      <w:r w:rsidR="002A75C0" w:rsidRPr="003A591C">
        <w:rPr>
          <w:snapToGrid w:val="0"/>
        </w:rPr>
        <w:t xml:space="preserve"> jednostranně přerušit nebo ukončit klinické </w:t>
      </w:r>
      <w:r w:rsidR="00B77D97" w:rsidRPr="003A591C">
        <w:rPr>
          <w:snapToGrid w:val="0"/>
        </w:rPr>
        <w:t>zkoušení</w:t>
      </w:r>
      <w:r w:rsidR="002A75C0" w:rsidRPr="003A591C">
        <w:rPr>
          <w:snapToGrid w:val="0"/>
        </w:rPr>
        <w:t xml:space="preserve"> pouze z těchto důvodů: </w:t>
      </w:r>
    </w:p>
    <w:p w14:paraId="609B8D9A" w14:textId="6B379E4F" w:rsidR="002A75C0" w:rsidRPr="003A591C" w:rsidRDefault="002A75C0" w:rsidP="0080485B">
      <w:pPr>
        <w:pStyle w:val="Nadpis3"/>
        <w:rPr>
          <w:snapToGrid w:val="0"/>
        </w:rPr>
      </w:pPr>
      <w:r w:rsidRPr="003A591C">
        <w:rPr>
          <w:snapToGrid w:val="0"/>
        </w:rPr>
        <w:t xml:space="preserve">okolnosti, které </w:t>
      </w:r>
      <w:r w:rsidR="001B416E" w:rsidRPr="003A591C">
        <w:rPr>
          <w:snapToGrid w:val="0"/>
        </w:rPr>
        <w:t>poskytovatel</w:t>
      </w:r>
      <w:r w:rsidRPr="003A591C">
        <w:rPr>
          <w:snapToGrid w:val="0"/>
        </w:rPr>
        <w:t xml:space="preserve"> nemůže ovlivnit (vis maior), znemožňují </w:t>
      </w:r>
      <w:r w:rsidR="00B15497" w:rsidRPr="003A591C">
        <w:rPr>
          <w:snapToGrid w:val="0"/>
        </w:rPr>
        <w:t>poskytovateli</w:t>
      </w:r>
      <w:r w:rsidRPr="003A591C">
        <w:rPr>
          <w:snapToGrid w:val="0"/>
        </w:rPr>
        <w:t xml:space="preserve"> dokončení klinického </w:t>
      </w:r>
      <w:r w:rsidR="00B77D97" w:rsidRPr="003A591C">
        <w:rPr>
          <w:snapToGrid w:val="0"/>
        </w:rPr>
        <w:t>zkoušení</w:t>
      </w:r>
      <w:r w:rsidRPr="003A591C">
        <w:rPr>
          <w:snapToGrid w:val="0"/>
        </w:rPr>
        <w:t>,</w:t>
      </w:r>
    </w:p>
    <w:p w14:paraId="4A943000" w14:textId="3E05A983" w:rsidR="002A75C0" w:rsidRPr="003A591C" w:rsidRDefault="001B416E" w:rsidP="0080485B">
      <w:pPr>
        <w:pStyle w:val="Nadpis3"/>
        <w:rPr>
          <w:snapToGrid w:val="0"/>
        </w:rPr>
      </w:pPr>
      <w:r w:rsidRPr="003A591C">
        <w:rPr>
          <w:snapToGrid w:val="0"/>
        </w:rPr>
        <w:t>poskytovatel</w:t>
      </w:r>
      <w:r w:rsidR="002A75C0" w:rsidRPr="003A591C">
        <w:rPr>
          <w:snapToGrid w:val="0"/>
        </w:rPr>
        <w:t xml:space="preserve"> důvodně dospěje </w:t>
      </w:r>
      <w:r w:rsidR="00880F0C">
        <w:rPr>
          <w:snapToGrid w:val="0"/>
        </w:rPr>
        <w:t xml:space="preserve">na základě výsledků testů </w:t>
      </w:r>
      <w:r w:rsidR="002A75C0" w:rsidRPr="003A591C">
        <w:rPr>
          <w:snapToGrid w:val="0"/>
        </w:rPr>
        <w:t xml:space="preserve">k závěru, že pokračování v klinickém </w:t>
      </w:r>
      <w:r w:rsidR="00B77D97" w:rsidRPr="003A591C">
        <w:rPr>
          <w:snapToGrid w:val="0"/>
        </w:rPr>
        <w:t>zkoušení</w:t>
      </w:r>
      <w:r w:rsidR="002A75C0" w:rsidRPr="003A591C">
        <w:rPr>
          <w:snapToGrid w:val="0"/>
        </w:rPr>
        <w:t xml:space="preserve"> není </w:t>
      </w:r>
      <w:r w:rsidR="00880F0C">
        <w:rPr>
          <w:snapToGrid w:val="0"/>
        </w:rPr>
        <w:t xml:space="preserve">z hlediska subjektů hodnocení </w:t>
      </w:r>
      <w:r w:rsidR="002A75C0" w:rsidRPr="003A591C">
        <w:rPr>
          <w:snapToGrid w:val="0"/>
        </w:rPr>
        <w:t>bezpečné.</w:t>
      </w:r>
    </w:p>
    <w:p w14:paraId="11EF7B3D" w14:textId="40C53E1F" w:rsidR="00523791" w:rsidRDefault="002A75C0" w:rsidP="00523791">
      <w:pPr>
        <w:pStyle w:val="Nadpis2"/>
        <w:rPr>
          <w:snapToGrid w:val="0"/>
        </w:rPr>
      </w:pPr>
      <w:r w:rsidRPr="003A591C">
        <w:rPr>
          <w:snapToGrid w:val="0"/>
        </w:rPr>
        <w:t xml:space="preserve">Zadavatel </w:t>
      </w:r>
      <w:r w:rsidR="00880F0C">
        <w:rPr>
          <w:snapToGrid w:val="0"/>
        </w:rPr>
        <w:t>je</w:t>
      </w:r>
      <w:r w:rsidRPr="003A591C">
        <w:rPr>
          <w:snapToGrid w:val="0"/>
        </w:rPr>
        <w:t xml:space="preserve"> oprávněn jednostranně přerušit nebo ukončit klinické </w:t>
      </w:r>
      <w:r w:rsidR="00B77D97" w:rsidRPr="003A591C">
        <w:rPr>
          <w:snapToGrid w:val="0"/>
        </w:rPr>
        <w:t>zkoušení</w:t>
      </w:r>
      <w:r w:rsidRPr="003A591C">
        <w:rPr>
          <w:snapToGrid w:val="0"/>
        </w:rPr>
        <w:t xml:space="preserve"> </w:t>
      </w:r>
      <w:r w:rsidR="00880F0C">
        <w:rPr>
          <w:snapToGrid w:val="0"/>
        </w:rPr>
        <w:t xml:space="preserve">a vypovědět tuto smlouvu </w:t>
      </w:r>
      <w:r w:rsidRPr="003A591C">
        <w:rPr>
          <w:snapToGrid w:val="0"/>
        </w:rPr>
        <w:t>i bez udání důvodu. J</w:t>
      </w:r>
      <w:r w:rsidR="00880F0C">
        <w:rPr>
          <w:snapToGrid w:val="0"/>
        </w:rPr>
        <w:t>e</w:t>
      </w:r>
      <w:r w:rsidRPr="003A591C">
        <w:rPr>
          <w:snapToGrid w:val="0"/>
        </w:rPr>
        <w:t xml:space="preserve"> však </w:t>
      </w:r>
      <w:r w:rsidR="00880F0C" w:rsidRPr="003A591C">
        <w:rPr>
          <w:snapToGrid w:val="0"/>
        </w:rPr>
        <w:t>povin</w:t>
      </w:r>
      <w:r w:rsidR="00880F0C">
        <w:rPr>
          <w:snapToGrid w:val="0"/>
        </w:rPr>
        <w:t>en</w:t>
      </w:r>
      <w:r w:rsidR="00880F0C" w:rsidRPr="003A591C">
        <w:rPr>
          <w:snapToGrid w:val="0"/>
        </w:rPr>
        <w:t xml:space="preserve"> </w:t>
      </w:r>
      <w:r w:rsidRPr="003A591C">
        <w:rPr>
          <w:snapToGrid w:val="0"/>
        </w:rPr>
        <w:t xml:space="preserve">uhradit </w:t>
      </w:r>
      <w:r w:rsidR="00B15497" w:rsidRPr="003A591C">
        <w:rPr>
          <w:snapToGrid w:val="0"/>
        </w:rPr>
        <w:t>poskytovateli</w:t>
      </w:r>
      <w:r w:rsidRPr="003A591C">
        <w:rPr>
          <w:snapToGrid w:val="0"/>
        </w:rPr>
        <w:t xml:space="preserve"> poměrnou část odměny, která mu v důsledku plnění této smlouvy vznikla</w:t>
      </w:r>
      <w:r w:rsidR="00880F0C">
        <w:rPr>
          <w:snapToGrid w:val="0"/>
        </w:rPr>
        <w:t>,</w:t>
      </w:r>
      <w:r w:rsidRPr="003A591C">
        <w:rPr>
          <w:snapToGrid w:val="0"/>
        </w:rPr>
        <w:t xml:space="preserve"> a v případě, že poměrná část odměny nepokrývá náklady </w:t>
      </w:r>
      <w:r w:rsidR="00B15497" w:rsidRPr="003A591C">
        <w:rPr>
          <w:snapToGrid w:val="0"/>
        </w:rPr>
        <w:t>poskytovatele</w:t>
      </w:r>
      <w:r w:rsidRPr="003A591C">
        <w:rPr>
          <w:snapToGrid w:val="0"/>
        </w:rPr>
        <w:t xml:space="preserve"> vynalože</w:t>
      </w:r>
      <w:r w:rsidR="004C4753" w:rsidRPr="003A591C">
        <w:rPr>
          <w:snapToGrid w:val="0"/>
        </w:rPr>
        <w:t xml:space="preserve">né na plnění této smlouvy, </w:t>
      </w:r>
      <w:r w:rsidR="00880F0C">
        <w:rPr>
          <w:snapToGrid w:val="0"/>
        </w:rPr>
        <w:t xml:space="preserve">pak </w:t>
      </w:r>
      <w:r w:rsidR="004C4753" w:rsidRPr="003A591C">
        <w:rPr>
          <w:snapToGrid w:val="0"/>
        </w:rPr>
        <w:t>také náklady nepokryté poměrnou částí odměny.</w:t>
      </w:r>
    </w:p>
    <w:p w14:paraId="7D9DD1E7" w14:textId="61E58EEB" w:rsidR="00BA317D" w:rsidRPr="00892363" w:rsidRDefault="00BA317D" w:rsidP="00BA317D">
      <w:pPr>
        <w:pStyle w:val="Nadpis2"/>
        <w:rPr>
          <w:rFonts w:cstheme="minorBidi"/>
          <w:szCs w:val="24"/>
        </w:rPr>
      </w:pPr>
      <w:bookmarkStart w:id="46" w:name="_cp_blt_1_313"/>
      <w:bookmarkStart w:id="47" w:name="_cp_text_1_307"/>
      <w:bookmarkStart w:id="48" w:name="_cp_text_4_308"/>
      <w:bookmarkStart w:id="49" w:name="_cp_text_1_309"/>
      <w:bookmarkStart w:id="50" w:name="_cp_text_4_310"/>
      <w:bookmarkStart w:id="51" w:name="_cp_text_1_311"/>
      <w:bookmarkStart w:id="52" w:name="_cp_text_4_312"/>
      <w:r w:rsidRPr="00892363">
        <w:rPr>
          <w:rFonts w:cstheme="minorBidi"/>
          <w:szCs w:val="24"/>
        </w:rPr>
        <w:t>V případě ukončení klinické zkouš</w:t>
      </w:r>
      <w:r w:rsidR="00BA449D" w:rsidRPr="00892363">
        <w:rPr>
          <w:rFonts w:cstheme="minorBidi"/>
          <w:szCs w:val="24"/>
        </w:rPr>
        <w:t>ky</w:t>
      </w:r>
      <w:r w:rsidRPr="00892363">
        <w:rPr>
          <w:rFonts w:cstheme="minorBidi"/>
          <w:szCs w:val="24"/>
        </w:rPr>
        <w:t xml:space="preserve"> </w:t>
      </w:r>
      <w:r w:rsidR="00BA449D" w:rsidRPr="00892363">
        <w:rPr>
          <w:rFonts w:cstheme="minorBidi"/>
          <w:szCs w:val="24"/>
        </w:rPr>
        <w:t>zadavatel</w:t>
      </w:r>
      <w:r w:rsidR="00892363" w:rsidRPr="00892363">
        <w:rPr>
          <w:rFonts w:cstheme="minorBidi"/>
          <w:szCs w:val="24"/>
        </w:rPr>
        <w:t xml:space="preserve"> </w:t>
      </w:r>
      <w:r w:rsidRPr="00892363">
        <w:rPr>
          <w:rFonts w:cstheme="minorBidi"/>
          <w:szCs w:val="24"/>
        </w:rPr>
        <w:t xml:space="preserve">urychleně informují etickou komisi o tom, že klinické zkoušení bylo ukončeno, </w:t>
      </w:r>
      <w:r w:rsidR="00BA449D" w:rsidRPr="00892363">
        <w:rPr>
          <w:rFonts w:cstheme="minorBidi"/>
          <w:szCs w:val="24"/>
        </w:rPr>
        <w:t>poskytovatel a zkoušející 1</w:t>
      </w:r>
      <w:r w:rsidRPr="00892363">
        <w:rPr>
          <w:rFonts w:cstheme="minorBidi"/>
          <w:szCs w:val="24"/>
        </w:rPr>
        <w:t xml:space="preserve">) přestanou zařazovat nové subjekty hodnocení do klinického zkoušení, </w:t>
      </w:r>
      <w:r w:rsidR="00BA449D" w:rsidRPr="00892363">
        <w:rPr>
          <w:rFonts w:cstheme="minorBidi"/>
          <w:szCs w:val="24"/>
        </w:rPr>
        <w:t>2</w:t>
      </w:r>
      <w:r w:rsidRPr="00892363">
        <w:rPr>
          <w:rFonts w:cstheme="minorBidi"/>
          <w:szCs w:val="24"/>
        </w:rPr>
        <w:t>) </w:t>
      </w:r>
      <w:r w:rsidR="00BA449D" w:rsidRPr="00892363">
        <w:rPr>
          <w:rFonts w:cstheme="minorBidi"/>
          <w:szCs w:val="24"/>
        </w:rPr>
        <w:t>ukončí klinické zkoušení s již zařazenými subjekty hodnoc</w:t>
      </w:r>
      <w:r w:rsidR="00892363" w:rsidRPr="00892363">
        <w:rPr>
          <w:rFonts w:cstheme="minorBidi"/>
          <w:szCs w:val="24"/>
        </w:rPr>
        <w:t>e</w:t>
      </w:r>
      <w:r w:rsidR="00BA449D" w:rsidRPr="00892363">
        <w:rPr>
          <w:rFonts w:cstheme="minorBidi"/>
          <w:szCs w:val="24"/>
        </w:rPr>
        <w:t>ní</w:t>
      </w:r>
      <w:r w:rsidRPr="00892363">
        <w:rPr>
          <w:rFonts w:cstheme="minorBidi"/>
          <w:szCs w:val="24"/>
        </w:rPr>
        <w:t>, pokud je to z lékařského hlediska možné, a </w:t>
      </w:r>
      <w:r w:rsidR="00BA449D" w:rsidRPr="00892363">
        <w:rPr>
          <w:rFonts w:cstheme="minorBidi"/>
          <w:szCs w:val="24"/>
        </w:rPr>
        <w:t>3</w:t>
      </w:r>
      <w:r w:rsidRPr="00892363">
        <w:rPr>
          <w:rFonts w:cstheme="minorBidi"/>
          <w:szCs w:val="24"/>
        </w:rPr>
        <w:t>) co nejdříve ukončí veškerou další činnost spojenou s klinic</w:t>
      </w:r>
      <w:r w:rsidR="00BA449D" w:rsidRPr="00892363">
        <w:rPr>
          <w:rFonts w:cstheme="minorBidi"/>
          <w:szCs w:val="24"/>
        </w:rPr>
        <w:t>kou</w:t>
      </w:r>
      <w:r w:rsidRPr="00892363">
        <w:rPr>
          <w:rFonts w:cstheme="minorBidi"/>
          <w:szCs w:val="24"/>
        </w:rPr>
        <w:t xml:space="preserve"> zkouš</w:t>
      </w:r>
      <w:r w:rsidR="00BA449D" w:rsidRPr="00892363">
        <w:rPr>
          <w:rFonts w:cstheme="minorBidi"/>
          <w:szCs w:val="24"/>
        </w:rPr>
        <w:t>kou</w:t>
      </w:r>
      <w:r w:rsidRPr="00892363">
        <w:rPr>
          <w:rFonts w:cstheme="minorBidi"/>
          <w:szCs w:val="24"/>
        </w:rPr>
        <w:t xml:space="preserve">, nejpozději však se skončením </w:t>
      </w:r>
      <w:r w:rsidR="00BA449D" w:rsidRPr="00892363">
        <w:rPr>
          <w:rFonts w:cstheme="minorBidi"/>
          <w:szCs w:val="24"/>
        </w:rPr>
        <w:t xml:space="preserve">účinnosti </w:t>
      </w:r>
      <w:r w:rsidRPr="00892363">
        <w:rPr>
          <w:rFonts w:cstheme="minorBidi"/>
          <w:szCs w:val="24"/>
        </w:rPr>
        <w:t>této smlouvy</w:t>
      </w:r>
      <w:r w:rsidR="00BA449D" w:rsidRPr="00892363">
        <w:rPr>
          <w:rFonts w:cstheme="minorBidi"/>
          <w:szCs w:val="24"/>
        </w:rPr>
        <w:t>.</w:t>
      </w:r>
      <w:r w:rsidR="00892363" w:rsidRPr="00892363">
        <w:rPr>
          <w:rFonts w:cstheme="minorBidi"/>
          <w:szCs w:val="24"/>
        </w:rPr>
        <w:t xml:space="preserve"> </w:t>
      </w:r>
      <w:r w:rsidRPr="00892363">
        <w:rPr>
          <w:rFonts w:cstheme="minorBidi"/>
          <w:szCs w:val="24"/>
        </w:rPr>
        <w:t>Poskytovatel nebo zkoušející poskytn</w:t>
      </w:r>
      <w:r w:rsidR="00BA449D" w:rsidRPr="00892363">
        <w:rPr>
          <w:rFonts w:cstheme="minorBidi"/>
          <w:szCs w:val="24"/>
        </w:rPr>
        <w:t>ou</w:t>
      </w:r>
      <w:r w:rsidRPr="00892363">
        <w:rPr>
          <w:rFonts w:cstheme="minorBidi"/>
          <w:szCs w:val="24"/>
        </w:rPr>
        <w:t xml:space="preserve"> zadavateli do 90 (devadesáti) dní od skončení </w:t>
      </w:r>
      <w:r w:rsidR="00BA449D" w:rsidRPr="00892363">
        <w:rPr>
          <w:rFonts w:cstheme="minorBidi"/>
          <w:szCs w:val="24"/>
        </w:rPr>
        <w:t xml:space="preserve">účinnosti </w:t>
      </w:r>
      <w:r w:rsidRPr="00892363">
        <w:rPr>
          <w:rFonts w:cstheme="minorBidi"/>
          <w:szCs w:val="24"/>
        </w:rPr>
        <w:t>smlouvy, nebo od</w:t>
      </w:r>
      <w:r w:rsidR="00A615E1" w:rsidRPr="00892363">
        <w:rPr>
          <w:rFonts w:cstheme="minorBidi"/>
          <w:szCs w:val="24"/>
        </w:rPr>
        <w:t>e</w:t>
      </w:r>
      <w:r w:rsidRPr="00892363">
        <w:rPr>
          <w:rFonts w:cstheme="minorBidi"/>
          <w:szCs w:val="24"/>
        </w:rPr>
        <w:t xml:space="preserve"> dne ukončení zkouš</w:t>
      </w:r>
      <w:r w:rsidR="00A615E1" w:rsidRPr="00892363">
        <w:rPr>
          <w:rFonts w:cstheme="minorBidi"/>
          <w:szCs w:val="24"/>
        </w:rPr>
        <w:t>ky,</w:t>
      </w:r>
      <w:r w:rsidRPr="00892363">
        <w:rPr>
          <w:rFonts w:cstheme="minorBidi"/>
          <w:szCs w:val="24"/>
        </w:rPr>
        <w:t xml:space="preserve"> veškeré údaje shromážděné v souvislosti s klinickým zkoušením, a pokud není v této smlouvě stanoveno jinak, vrátí zadavateli veškeré materiály a důvěrné informace, které jim zadavatel v souladu s touto smlouv</w:t>
      </w:r>
      <w:r w:rsidR="00A615E1" w:rsidRPr="00892363">
        <w:rPr>
          <w:rFonts w:cstheme="minorBidi"/>
          <w:szCs w:val="24"/>
        </w:rPr>
        <w:t>ou</w:t>
      </w:r>
      <w:r w:rsidRPr="00892363">
        <w:rPr>
          <w:rFonts w:cstheme="minorBidi"/>
          <w:szCs w:val="24"/>
        </w:rPr>
        <w:t xml:space="preserve"> poskytl.</w:t>
      </w:r>
    </w:p>
    <w:bookmarkEnd w:id="46"/>
    <w:bookmarkEnd w:id="47"/>
    <w:bookmarkEnd w:id="48"/>
    <w:bookmarkEnd w:id="49"/>
    <w:bookmarkEnd w:id="50"/>
    <w:bookmarkEnd w:id="51"/>
    <w:bookmarkEnd w:id="52"/>
    <w:p w14:paraId="1D95463F" w14:textId="77777777" w:rsidR="004C4753" w:rsidRPr="00BF2E4E" w:rsidRDefault="004C4753" w:rsidP="00BF2E4E">
      <w:pPr>
        <w:pStyle w:val="Nadpis1"/>
      </w:pPr>
      <w:r w:rsidRPr="00BF2E4E">
        <w:t>Platnost a účinnost smlouvy</w:t>
      </w:r>
    </w:p>
    <w:p w14:paraId="02B48E78" w14:textId="77777777" w:rsidR="004C4753" w:rsidRPr="003A591C" w:rsidRDefault="004C4753" w:rsidP="0080485B">
      <w:pPr>
        <w:pStyle w:val="Nadpis2"/>
        <w:rPr>
          <w:snapToGrid w:val="0"/>
        </w:rPr>
      </w:pPr>
      <w:r w:rsidRPr="003A591C">
        <w:rPr>
          <w:snapToGrid w:val="0"/>
        </w:rPr>
        <w:t>Tato smlouva nabude platnosti a účinnosti dnem jejího podpisu oběma smluvními stranami či jejich oprávněnými zástupci.</w:t>
      </w:r>
    </w:p>
    <w:p w14:paraId="63CA522E" w14:textId="35A9BB65" w:rsidR="00A755EA" w:rsidRPr="003A591C" w:rsidRDefault="004C4753" w:rsidP="0080485B">
      <w:pPr>
        <w:pStyle w:val="Nadpis2"/>
      </w:pPr>
      <w:r w:rsidRPr="003A591C">
        <w:t>Smlouvu lze jednostranně předčasně ukončit písemnou výpovědí</w:t>
      </w:r>
      <w:r w:rsidR="004D01CB">
        <w:t xml:space="preserve"> </w:t>
      </w:r>
      <w:r w:rsidR="00A755EA" w:rsidRPr="003A591C">
        <w:t xml:space="preserve">z důvodů pro jednostranné přerušení nebo ukončení klinického </w:t>
      </w:r>
      <w:r w:rsidR="00B77D97" w:rsidRPr="003A591C">
        <w:t>zkoušení</w:t>
      </w:r>
      <w:r w:rsidR="00A755EA" w:rsidRPr="003A591C">
        <w:t xml:space="preserve"> dle čl. </w:t>
      </w:r>
      <w:r w:rsidR="00686F30" w:rsidRPr="003A591C">
        <w:t>1</w:t>
      </w:r>
      <w:r w:rsidR="003A591C" w:rsidRPr="003A591C">
        <w:t>6</w:t>
      </w:r>
      <w:r w:rsidR="00A755EA" w:rsidRPr="003A591C">
        <w:t xml:space="preserve"> této smlouvy a</w:t>
      </w:r>
      <w:r w:rsidR="00630396">
        <w:t> </w:t>
      </w:r>
      <w:r w:rsidR="00A755EA" w:rsidRPr="003A591C">
        <w:t xml:space="preserve">stranou, která je k jednostrannému přerušení nebo ukončení klinického </w:t>
      </w:r>
      <w:r w:rsidR="00B77D97" w:rsidRPr="003A591C">
        <w:t>zkoušení</w:t>
      </w:r>
      <w:r w:rsidR="00A755EA" w:rsidRPr="003A591C">
        <w:t xml:space="preserve"> oprávněna.</w:t>
      </w:r>
    </w:p>
    <w:p w14:paraId="63BF9E94" w14:textId="4640C2FD" w:rsidR="00A755EA" w:rsidRPr="003A591C" w:rsidRDefault="00A755EA" w:rsidP="0080485B">
      <w:pPr>
        <w:pStyle w:val="Nadpis2"/>
      </w:pPr>
      <w:r w:rsidRPr="003A591C">
        <w:t xml:space="preserve">Smlouvu lze dále předčasně ukončit </w:t>
      </w:r>
      <w:r w:rsidRPr="003A591C">
        <w:rPr>
          <w:snapToGrid w:val="0"/>
        </w:rPr>
        <w:t>jednostranným odstoupením od této smlouvy v souladu s obecně závaznými právními předpisy nebo dohodou smluvních stran.</w:t>
      </w:r>
    </w:p>
    <w:p w14:paraId="49338BE0" w14:textId="77777777" w:rsidR="004C4753" w:rsidRPr="003A591C" w:rsidRDefault="004C4753" w:rsidP="0080485B">
      <w:pPr>
        <w:pStyle w:val="Nadpis2"/>
      </w:pPr>
      <w:r w:rsidRPr="003A591C">
        <w:t xml:space="preserve">Uplynutím účinnosti této smlouvy ani jejím předčasným ukončením nezaniká nárok </w:t>
      </w:r>
      <w:r w:rsidR="00B15497" w:rsidRPr="003A591C">
        <w:t>poskytovatele</w:t>
      </w:r>
      <w:r w:rsidRPr="003A591C">
        <w:t xml:space="preserve"> na dosud nesplatnou odměnu nebo její část. </w:t>
      </w:r>
    </w:p>
    <w:p w14:paraId="5989F0BB" w14:textId="109C6260" w:rsidR="00064445" w:rsidRPr="003A591C" w:rsidRDefault="00064445" w:rsidP="0080485B">
      <w:pPr>
        <w:pStyle w:val="Nadpis2"/>
      </w:pPr>
      <w:r w:rsidRPr="003A591C">
        <w:lastRenderedPageBreak/>
        <w:t>Uplynutím účinnosti této smlouvy ani jejím předčasným ukončením nezanikají práva a</w:t>
      </w:r>
      <w:r w:rsidR="00630396">
        <w:t> </w:t>
      </w:r>
      <w:r w:rsidRPr="003A591C">
        <w:t xml:space="preserve">povinnosti smluvních stran dle ustanovení </w:t>
      </w:r>
      <w:proofErr w:type="gramStart"/>
      <w:r w:rsidRPr="003A591C">
        <w:t>čl</w:t>
      </w:r>
      <w:r w:rsidR="004D01CB">
        <w:t xml:space="preserve">ánků </w:t>
      </w:r>
      <w:r w:rsidR="00E873AE" w:rsidRPr="003A591C">
        <w:t xml:space="preserve"> </w:t>
      </w:r>
      <w:r w:rsidR="004D01CB">
        <w:t>10</w:t>
      </w:r>
      <w:proofErr w:type="gramEnd"/>
      <w:r w:rsidR="004D01CB">
        <w:t xml:space="preserve">, 11, 12, 13 </w:t>
      </w:r>
      <w:r w:rsidR="00E873AE" w:rsidRPr="003A591C">
        <w:t>a</w:t>
      </w:r>
      <w:r w:rsidR="0098242D" w:rsidRPr="003A591C">
        <w:t xml:space="preserve"> 14</w:t>
      </w:r>
      <w:r w:rsidRPr="003A591C">
        <w:t>.1 této smlouvy a</w:t>
      </w:r>
      <w:r w:rsidR="00630396">
        <w:t> </w:t>
      </w:r>
      <w:r w:rsidRPr="003A591C">
        <w:t xml:space="preserve">dále takových práva a povinnosti smluvních stran, z jejichž povahy vyplývá, že mají přetrvat i po ukončení účinnosti této smlouvy. </w:t>
      </w:r>
    </w:p>
    <w:p w14:paraId="1BE52667" w14:textId="77777777" w:rsidR="001D2EC4" w:rsidRPr="003A591C" w:rsidRDefault="001D2EC4" w:rsidP="00BF2E4E">
      <w:pPr>
        <w:pStyle w:val="Nadpis1"/>
        <w:rPr>
          <w:szCs w:val="28"/>
        </w:rPr>
      </w:pPr>
      <w:proofErr w:type="spellStart"/>
      <w:r w:rsidRPr="003A591C">
        <w:rPr>
          <w:szCs w:val="28"/>
        </w:rPr>
        <w:t>Salvatorní</w:t>
      </w:r>
      <w:proofErr w:type="spellEnd"/>
      <w:r w:rsidRPr="003A591C">
        <w:rPr>
          <w:szCs w:val="28"/>
        </w:rPr>
        <w:t xml:space="preserve"> klauzule</w:t>
      </w:r>
    </w:p>
    <w:p w14:paraId="40FF098C" w14:textId="77777777" w:rsidR="001D2EC4" w:rsidRPr="003A591C" w:rsidRDefault="001D2EC4" w:rsidP="00BF2E4E">
      <w:pPr>
        <w:pStyle w:val="Nadpis2"/>
      </w:pPr>
      <w:r w:rsidRPr="003A591C">
        <w:t>Smluvní strany se zavazují poskytnout si k naplnění účelu této smlouvy vzájemnou součinnost.</w:t>
      </w:r>
    </w:p>
    <w:p w14:paraId="131E0851" w14:textId="77777777" w:rsidR="001D2EC4" w:rsidRPr="003A591C" w:rsidRDefault="001D2EC4" w:rsidP="00BF2E4E">
      <w:pPr>
        <w:pStyle w:val="Nadpis2"/>
      </w:pPr>
      <w:r w:rsidRPr="003A591C">
        <w:t>Strany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4D2CEAC8" w14:textId="77777777" w:rsidR="00992C75" w:rsidRPr="003A591C" w:rsidRDefault="00992C75" w:rsidP="00BF2E4E">
      <w:pPr>
        <w:pStyle w:val="Nadpis1"/>
        <w:rPr>
          <w:szCs w:val="28"/>
        </w:rPr>
      </w:pPr>
      <w:bookmarkStart w:id="53" w:name="_Ref83019366"/>
      <w:r w:rsidRPr="003A591C">
        <w:rPr>
          <w:szCs w:val="28"/>
        </w:rPr>
        <w:t>Zvláštní ujednání o doručování písemností</w:t>
      </w:r>
    </w:p>
    <w:p w14:paraId="4F37E50E" w14:textId="77777777" w:rsidR="000D693F" w:rsidRPr="003A591C" w:rsidRDefault="000D693F" w:rsidP="00BF2E4E">
      <w:pPr>
        <w:pStyle w:val="Nadpis2"/>
        <w:rPr>
          <w:snapToGrid w:val="0"/>
        </w:rPr>
      </w:pPr>
      <w:r w:rsidRPr="003A591C">
        <w:rPr>
          <w:snapToGrid w:val="0"/>
        </w:rPr>
        <w:t xml:space="preserve">Smluvní strany si budou doručovat písemnosti na dohodnuté doručovací adresy. Dohodnutou doručovací adresou se rozumí adresa sídla dotčené smluvní strany uvedená v záhlaví této smlouvy, případně jiná kontaktní adresa uvedená v záhlaví této smlouvy. Doručí-li smluvní strana druhé smluvní straně písemné oznámení o změně doručovací adresy, rozumí se dohodnutou doručovací adresou dotčené smluvní strany nově sdělená adresa. </w:t>
      </w:r>
    </w:p>
    <w:p w14:paraId="2E5B383B" w14:textId="54CFF510" w:rsidR="000D693F" w:rsidRPr="003A591C" w:rsidRDefault="000D693F" w:rsidP="00BF2E4E">
      <w:pPr>
        <w:pStyle w:val="Nadpis2"/>
        <w:rPr>
          <w:snapToGrid w:val="0"/>
        </w:rPr>
      </w:pPr>
      <w:bookmarkStart w:id="54" w:name="_Ref163997571"/>
      <w:r w:rsidRPr="003A591C">
        <w:rPr>
          <w:snapToGrid w:val="0"/>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14:paraId="7C8909B8" w14:textId="48F95B40" w:rsidR="000D693F" w:rsidRPr="003A591C" w:rsidRDefault="000D693F" w:rsidP="00BF2E4E">
      <w:pPr>
        <w:pStyle w:val="Nadpis2"/>
        <w:rPr>
          <w:snapToGrid w:val="0"/>
        </w:rPr>
      </w:pPr>
      <w:bookmarkStart w:id="55" w:name="_Ref163997392"/>
      <w:bookmarkEnd w:id="54"/>
      <w:r w:rsidRPr="003A591C">
        <w:rPr>
          <w:snapToGrid w:val="0"/>
        </w:rPr>
        <w:t>Smluvní strany jsou povinny pravidelně přebírat poštu, případně zajistit její pravidelné přebírání na své doručovací adrese. Při změně sídla smluvní strany je tato smluvní strana povinna neprodleně informovat o této skutečnosti druhou smluvní stranu a</w:t>
      </w:r>
      <w:r w:rsidR="00630396">
        <w:rPr>
          <w:snapToGrid w:val="0"/>
        </w:rPr>
        <w:t> </w:t>
      </w:r>
      <w:r w:rsidRPr="003A591C">
        <w:rPr>
          <w:snapToGrid w:val="0"/>
        </w:rPr>
        <w:t xml:space="preserve">oznámit </w:t>
      </w:r>
      <w:proofErr w:type="gramStart"/>
      <w:r w:rsidRPr="003A591C">
        <w:rPr>
          <w:snapToGrid w:val="0"/>
        </w:rPr>
        <w:t>ji</w:t>
      </w:r>
      <w:proofErr w:type="gramEnd"/>
      <w:r w:rsidRPr="003A591C">
        <w:rPr>
          <w:snapToGrid w:val="0"/>
        </w:rPr>
        <w:t xml:space="preserve"> adresu, která bude její novou doručovací adresou.</w:t>
      </w:r>
      <w:bookmarkEnd w:id="55"/>
      <w:r w:rsidRPr="003A591C">
        <w:rPr>
          <w:snapToGrid w:val="0"/>
        </w:rPr>
        <w:t xml:space="preserve"> Smluvní strany berou na vědomí, že porušení povinnosti řádně přebírat poštu dle tohoto odstavce může mít za následek, že </w:t>
      </w:r>
      <w:r w:rsidR="00574BE1">
        <w:rPr>
          <w:snapToGrid w:val="0"/>
        </w:rPr>
        <w:t>k </w:t>
      </w:r>
      <w:r w:rsidRPr="003A591C">
        <w:rPr>
          <w:snapToGrid w:val="0"/>
        </w:rPr>
        <w:t xml:space="preserve">doručení zásilky </w:t>
      </w:r>
      <w:r w:rsidR="00574BE1">
        <w:rPr>
          <w:snapToGrid w:val="0"/>
        </w:rPr>
        <w:t>nedoje</w:t>
      </w:r>
      <w:r w:rsidRPr="003A591C">
        <w:rPr>
          <w:snapToGrid w:val="0"/>
        </w:rPr>
        <w:t>, pročež dojde k aplikaci ustanovení čl.</w:t>
      </w:r>
      <w:r w:rsidR="00630396">
        <w:rPr>
          <w:snapToGrid w:val="0"/>
        </w:rPr>
        <w:t> </w:t>
      </w:r>
      <w:proofErr w:type="gramStart"/>
      <w:r w:rsidR="00DE53EE" w:rsidRPr="003A591C">
        <w:rPr>
          <w:snapToGrid w:val="0"/>
        </w:rPr>
        <w:t>1</w:t>
      </w:r>
      <w:r w:rsidR="00BC0B56" w:rsidRPr="003A591C">
        <w:rPr>
          <w:snapToGrid w:val="0"/>
        </w:rPr>
        <w:t>9</w:t>
      </w:r>
      <w:r w:rsidRPr="003A591C">
        <w:rPr>
          <w:snapToGrid w:val="0"/>
        </w:rPr>
        <w:t>.2. této</w:t>
      </w:r>
      <w:proofErr w:type="gramEnd"/>
      <w:r w:rsidRPr="003A591C">
        <w:rPr>
          <w:snapToGrid w:val="0"/>
        </w:rPr>
        <w:t xml:space="preserve"> smlouvy.</w:t>
      </w:r>
    </w:p>
    <w:p w14:paraId="3046D354" w14:textId="77777777" w:rsidR="001D2EC4" w:rsidRPr="003A591C" w:rsidRDefault="001D2EC4" w:rsidP="00BF2E4E">
      <w:pPr>
        <w:pStyle w:val="Nadpis1"/>
        <w:rPr>
          <w:szCs w:val="28"/>
        </w:rPr>
      </w:pPr>
      <w:r w:rsidRPr="003A591C">
        <w:rPr>
          <w:szCs w:val="28"/>
        </w:rPr>
        <w:t>Splnění peněžitých závazků</w:t>
      </w:r>
    </w:p>
    <w:p w14:paraId="2825FE2E" w14:textId="212E8A6E" w:rsidR="001D2EC4" w:rsidRPr="003A591C" w:rsidRDefault="001D2EC4" w:rsidP="00BF2E4E">
      <w:pPr>
        <w:pStyle w:val="Nadpis2"/>
        <w:rPr>
          <w:snapToGrid w:val="0"/>
        </w:rPr>
      </w:pPr>
      <w:r w:rsidRPr="003A591C">
        <w:rPr>
          <w:snapToGrid w:val="0"/>
        </w:rPr>
        <w:t xml:space="preserve">Peněžité závazky vzniklé mezi smluvními stranami na základě této smlouvy je zavázaná smluvní strana povinna uhradit řádně a včas, a to </w:t>
      </w:r>
      <w:r w:rsidR="00574BE1">
        <w:rPr>
          <w:snapToGrid w:val="0"/>
        </w:rPr>
        <w:t xml:space="preserve">bankovním převodem </w:t>
      </w:r>
      <w:r w:rsidRPr="003A591C">
        <w:rPr>
          <w:snapToGrid w:val="0"/>
        </w:rPr>
        <w:t xml:space="preserve">na bankovní účet druhé smluvní strany. Nedohodnou-li se smluvní strany jinak, rozumí se bankovním účtem smluvní strany její bankovní účet uvedený v záhlaví této smlouvy. </w:t>
      </w:r>
    </w:p>
    <w:p w14:paraId="5494FB2F" w14:textId="77777777" w:rsidR="001D2EC4" w:rsidRPr="003A591C" w:rsidRDefault="001D2EC4" w:rsidP="00BF2E4E">
      <w:pPr>
        <w:pStyle w:val="Nadpis2"/>
        <w:rPr>
          <w:snapToGrid w:val="0"/>
        </w:rPr>
      </w:pPr>
      <w:r w:rsidRPr="003A591C">
        <w:rPr>
          <w:snapToGrid w:val="0"/>
        </w:rPr>
        <w:t>Peněžitý závazek je splněn okamžikem, kdy je příslušná částka připsána na bankovní účet oprávněné smluvní strany.</w:t>
      </w:r>
    </w:p>
    <w:p w14:paraId="7275170F" w14:textId="1181722F" w:rsidR="001D2EC4" w:rsidRPr="003A591C" w:rsidRDefault="001D2EC4" w:rsidP="00BF2E4E">
      <w:pPr>
        <w:pStyle w:val="Nadpis2"/>
        <w:rPr>
          <w:snapToGrid w:val="0"/>
        </w:rPr>
      </w:pPr>
      <w:r w:rsidRPr="003A591C">
        <w:rPr>
          <w:snapToGrid w:val="0"/>
        </w:rPr>
        <w:t xml:space="preserve">Strana, která je v prodlení s plněním </w:t>
      </w:r>
      <w:r w:rsidR="00574BE1">
        <w:rPr>
          <w:snapToGrid w:val="0"/>
        </w:rPr>
        <w:t xml:space="preserve">nezpochybnitelného </w:t>
      </w:r>
      <w:r w:rsidRPr="003A591C">
        <w:rPr>
          <w:snapToGrid w:val="0"/>
        </w:rPr>
        <w:t xml:space="preserve">peněžitého závazku dle této smlouvy, je povinna zaplatit oprávněné smluvní straně </w:t>
      </w:r>
      <w:r w:rsidR="000B763F">
        <w:rPr>
          <w:snapToGrid w:val="0"/>
        </w:rPr>
        <w:t xml:space="preserve">zákonný úrok </w:t>
      </w:r>
      <w:r w:rsidRPr="003A591C">
        <w:rPr>
          <w:snapToGrid w:val="0"/>
        </w:rPr>
        <w:t>ve výši 0,05% z dlužné částky za každý započatý den prodlení.</w:t>
      </w:r>
    </w:p>
    <w:bookmarkEnd w:id="53"/>
    <w:p w14:paraId="11028440" w14:textId="77777777" w:rsidR="00934FE4" w:rsidRPr="003A591C" w:rsidRDefault="00934FE4" w:rsidP="00BF2E4E">
      <w:pPr>
        <w:pStyle w:val="Nadpis1"/>
        <w:rPr>
          <w:szCs w:val="28"/>
        </w:rPr>
      </w:pPr>
      <w:r w:rsidRPr="003A591C">
        <w:rPr>
          <w:szCs w:val="28"/>
        </w:rPr>
        <w:t xml:space="preserve">Solidární odpovědnost </w:t>
      </w:r>
      <w:r w:rsidR="00BC0B56" w:rsidRPr="003A591C">
        <w:rPr>
          <w:szCs w:val="28"/>
        </w:rPr>
        <w:t>asistenta</w:t>
      </w:r>
    </w:p>
    <w:p w14:paraId="28985103" w14:textId="77777777" w:rsidR="00934FE4" w:rsidRPr="00574BE1" w:rsidRDefault="00506738" w:rsidP="00BF2E4E">
      <w:pPr>
        <w:pStyle w:val="Nadpis2"/>
      </w:pPr>
      <w:r w:rsidRPr="003A591C">
        <w:rPr>
          <w:snapToGrid w:val="0"/>
        </w:rPr>
        <w:t>Asistent</w:t>
      </w:r>
      <w:r w:rsidR="00BC0B56" w:rsidRPr="003A591C">
        <w:rPr>
          <w:snapToGrid w:val="0"/>
        </w:rPr>
        <w:t xml:space="preserve"> </w:t>
      </w:r>
      <w:r w:rsidR="00934FE4" w:rsidRPr="003A591C">
        <w:rPr>
          <w:snapToGrid w:val="0"/>
        </w:rPr>
        <w:t>se podpisem této smlouvy zavazuje a je tedy povin</w:t>
      </w:r>
      <w:r w:rsidR="002A6401" w:rsidRPr="003A591C">
        <w:rPr>
          <w:snapToGrid w:val="0"/>
        </w:rPr>
        <w:t>e</w:t>
      </w:r>
      <w:r w:rsidR="00934FE4" w:rsidRPr="003A591C">
        <w:rPr>
          <w:snapToGrid w:val="0"/>
        </w:rPr>
        <w:t xml:space="preserve">n plnit veškeré závazky zadavatele dle této smlouvy, a to společně a nerozdílně se zadavatelem. </w:t>
      </w:r>
    </w:p>
    <w:p w14:paraId="766897AF" w14:textId="77777777" w:rsidR="00B945BA" w:rsidRPr="00BF2E4E" w:rsidRDefault="00B945BA" w:rsidP="00BF2E4E">
      <w:pPr>
        <w:pStyle w:val="Nadpis1"/>
      </w:pPr>
      <w:r w:rsidRPr="00BF2E4E">
        <w:lastRenderedPageBreak/>
        <w:t>Řešení sporů a prorogační doložka</w:t>
      </w:r>
    </w:p>
    <w:p w14:paraId="25900C3D" w14:textId="293B7F63" w:rsidR="00B945BA" w:rsidRPr="006030BC" w:rsidRDefault="00B945BA" w:rsidP="00BF2E4E">
      <w:pPr>
        <w:pStyle w:val="Nadpis2"/>
      </w:pPr>
      <w:r w:rsidRPr="006030BC">
        <w:t xml:space="preserve">Smluvní strany se při </w:t>
      </w:r>
      <w:r w:rsidR="006030BC">
        <w:t>provádění</w:t>
      </w:r>
      <w:r w:rsidR="006030BC" w:rsidRPr="006030BC">
        <w:t xml:space="preserve"> </w:t>
      </w:r>
      <w:r w:rsidRPr="006030BC">
        <w:t xml:space="preserve">klinického </w:t>
      </w:r>
      <w:r w:rsidR="00B77D97" w:rsidRPr="006030BC">
        <w:t>zkoušení</w:t>
      </w:r>
      <w:r w:rsidRPr="006030BC">
        <w:t xml:space="preserve"> </w:t>
      </w:r>
      <w:r w:rsidR="006030BC">
        <w:t xml:space="preserve">podle této smlouvy </w:t>
      </w:r>
      <w:r w:rsidRPr="006030BC">
        <w:t>zavazují vzájemně si pomáhat a případné spory a rozdílnost názorů na postup a způsob prací řešit jednáním obvyklým u smluvních stran.</w:t>
      </w:r>
    </w:p>
    <w:p w14:paraId="223236C9" w14:textId="6A92CFCE" w:rsidR="00B945BA" w:rsidRPr="006030BC" w:rsidRDefault="00B945BA" w:rsidP="00BF2E4E">
      <w:pPr>
        <w:pStyle w:val="Nadpis2"/>
        <w:rPr>
          <w:snapToGrid w:val="0"/>
          <w:szCs w:val="24"/>
        </w:rPr>
      </w:pPr>
      <w:r w:rsidRPr="006030BC">
        <w:rPr>
          <w:snapToGrid w:val="0"/>
          <w:szCs w:val="24"/>
        </w:rPr>
        <w:t xml:space="preserve">Smluvní strany se ve smyslu ustanovení § 89a zákona č. 99/1963 Sb., občanský soudní řád dohodly, že místně příslušným soudem k projednání a rozhodnutí sporů a jiných právních věcí vyplývajících </w:t>
      </w:r>
      <w:r w:rsidR="006030BC">
        <w:rPr>
          <w:snapToGrid w:val="0"/>
          <w:szCs w:val="24"/>
        </w:rPr>
        <w:t>z</w:t>
      </w:r>
      <w:r w:rsidR="006030BC" w:rsidRPr="006030BC">
        <w:rPr>
          <w:snapToGrid w:val="0"/>
          <w:szCs w:val="24"/>
        </w:rPr>
        <w:t> </w:t>
      </w:r>
      <w:proofErr w:type="gramStart"/>
      <w:r w:rsidRPr="006030BC">
        <w:rPr>
          <w:snapToGrid w:val="0"/>
          <w:szCs w:val="24"/>
        </w:rPr>
        <w:t>touto smlouvou</w:t>
      </w:r>
      <w:proofErr w:type="gramEnd"/>
      <w:r w:rsidRPr="006030BC">
        <w:rPr>
          <w:snapToGrid w:val="0"/>
          <w:szCs w:val="24"/>
        </w:rPr>
        <w:t xml:space="preserve">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64C3B2AF" w14:textId="6EE1618E" w:rsidR="006030BC" w:rsidRDefault="006030BC" w:rsidP="00A84F0D">
      <w:pPr>
        <w:pStyle w:val="Nadpis1"/>
        <w:keepNext w:val="0"/>
        <w:numPr>
          <w:ilvl w:val="0"/>
          <w:numId w:val="0"/>
        </w:numPr>
        <w:tabs>
          <w:tab w:val="clear" w:pos="1440"/>
          <w:tab w:val="left" w:pos="567"/>
          <w:tab w:val="left" w:pos="720"/>
        </w:tabs>
        <w:spacing w:line="220" w:lineRule="exact"/>
        <w:ind w:right="1418"/>
        <w:jc w:val="both"/>
        <w:rPr>
          <w:bCs/>
          <w:szCs w:val="24"/>
          <w:lang w:val="en-GB"/>
        </w:rPr>
      </w:pPr>
      <w:bookmarkStart w:id="56" w:name="_cp_text_1_349"/>
    </w:p>
    <w:p w14:paraId="0BCCF6E3" w14:textId="3AD2C5EB" w:rsidR="000C5E0B" w:rsidRPr="00892363" w:rsidRDefault="00126A19" w:rsidP="000C5E0B">
      <w:pPr>
        <w:pStyle w:val="Nadpis1"/>
        <w:rPr>
          <w:rFonts w:cstheme="minorBidi"/>
          <w:szCs w:val="24"/>
          <w:lang w:val="en-GB"/>
        </w:rPr>
      </w:pPr>
      <w:bookmarkStart w:id="57" w:name="_cp_blt_1_350"/>
      <w:bookmarkStart w:id="58" w:name="_cp_text_1_351"/>
      <w:bookmarkStart w:id="59" w:name="_cp_blt_1_348"/>
      <w:bookmarkEnd w:id="56"/>
      <w:r w:rsidRPr="00892363">
        <w:rPr>
          <w:rFonts w:cstheme="minorBidi"/>
          <w:szCs w:val="24"/>
        </w:rPr>
        <w:t>Záruky a prohlášení o vyloučení odpovědnosti</w:t>
      </w:r>
    </w:p>
    <w:p w14:paraId="5086D58D" w14:textId="0C31DB7A" w:rsidR="000D04EE" w:rsidRPr="00892363" w:rsidRDefault="00126A19" w:rsidP="00892363">
      <w:pPr>
        <w:pStyle w:val="Nadpis2"/>
        <w:rPr>
          <w:rFonts w:cstheme="minorBidi"/>
          <w:szCs w:val="24"/>
        </w:rPr>
      </w:pPr>
      <w:bookmarkStart w:id="60" w:name="_cp_text_1_352"/>
      <w:bookmarkStart w:id="61" w:name="_cp_blt_1_364"/>
      <w:bookmarkStart w:id="62" w:name="_cp_text_1_365"/>
      <w:bookmarkStart w:id="63" w:name="_cp_text_4_362"/>
      <w:bookmarkStart w:id="64" w:name="_cp_text_1_363"/>
      <w:bookmarkEnd w:id="57"/>
      <w:bookmarkEnd w:id="58"/>
      <w:bookmarkEnd w:id="59"/>
      <w:r w:rsidRPr="00892363">
        <w:rPr>
          <w:rFonts w:cstheme="minorBidi"/>
          <w:szCs w:val="24"/>
        </w:rPr>
        <w:t>Poskytovatel tímto vůči zadavateli prohlašuje a zaručuje, že</w:t>
      </w:r>
      <w:bookmarkStart w:id="65" w:name="_cp_text_1_354"/>
      <w:bookmarkStart w:id="66" w:name="_cp_text_1_353"/>
      <w:bookmarkEnd w:id="60"/>
      <w:r w:rsidRPr="00892363">
        <w:rPr>
          <w:rFonts w:cstheme="minorBidi"/>
          <w:szCs w:val="24"/>
        </w:rPr>
        <w:t xml:space="preserve">: </w:t>
      </w:r>
    </w:p>
    <w:p w14:paraId="34A7DCB6" w14:textId="4A7A163D" w:rsidR="000D04EE" w:rsidRPr="00892363" w:rsidRDefault="00126A19" w:rsidP="000D04EE">
      <w:pPr>
        <w:tabs>
          <w:tab w:val="left" w:pos="567"/>
          <w:tab w:val="left" w:pos="720"/>
        </w:tabs>
        <w:spacing w:after="60"/>
        <w:ind w:left="567"/>
        <w:jc w:val="both"/>
        <w:rPr>
          <w:rFonts w:cstheme="minorBidi"/>
          <w:szCs w:val="24"/>
        </w:rPr>
      </w:pPr>
      <w:r w:rsidRPr="00892363">
        <w:rPr>
          <w:rFonts w:cstheme="minorBidi"/>
          <w:szCs w:val="24"/>
        </w:rPr>
        <w:t>a) zkoušející má dostatečnou odbornou kvalifikaci i dostatek zkušeností k provádění klinického zkoušení. O jakémkoli zrušení výsad zkoušejícího či postihu vůči poskytovat</w:t>
      </w:r>
      <w:r w:rsidR="00892363">
        <w:rPr>
          <w:rFonts w:cstheme="minorBidi"/>
          <w:szCs w:val="24"/>
        </w:rPr>
        <w:t>eli nebo zkoušejícímu ze strany</w:t>
      </w:r>
      <w:r w:rsidR="000D04EE" w:rsidRPr="00892363">
        <w:rPr>
          <w:rFonts w:cstheme="minorBidi"/>
          <w:szCs w:val="24"/>
        </w:rPr>
        <w:t xml:space="preserve"> regulačního orgánu</w:t>
      </w:r>
      <w:r w:rsidRPr="00892363">
        <w:rPr>
          <w:rFonts w:cstheme="minorBidi"/>
          <w:szCs w:val="24"/>
        </w:rPr>
        <w:t>, příp. o jiném kroku souvisejícím s prosazováním zákonů je nutné zadavatele okamžitě písemně informovat</w:t>
      </w:r>
      <w:bookmarkEnd w:id="65"/>
      <w:bookmarkEnd w:id="66"/>
      <w:r w:rsidRPr="00892363">
        <w:rPr>
          <w:rFonts w:cstheme="minorBidi"/>
          <w:szCs w:val="24"/>
        </w:rPr>
        <w:t xml:space="preserve">, </w:t>
      </w:r>
    </w:p>
    <w:p w14:paraId="6A473B58" w14:textId="48B3F8B4" w:rsidR="000D04EE" w:rsidRPr="00892363" w:rsidRDefault="00126A19" w:rsidP="000D04EE">
      <w:pPr>
        <w:tabs>
          <w:tab w:val="left" w:pos="567"/>
          <w:tab w:val="left" w:pos="720"/>
        </w:tabs>
        <w:spacing w:after="60"/>
        <w:ind w:left="567"/>
        <w:jc w:val="both"/>
        <w:rPr>
          <w:rFonts w:cstheme="minorBidi"/>
          <w:szCs w:val="24"/>
        </w:rPr>
      </w:pPr>
      <w:r w:rsidRPr="00892363">
        <w:rPr>
          <w:rFonts w:cstheme="minorBidi"/>
          <w:szCs w:val="24"/>
        </w:rPr>
        <w:t>b) pokud je poskytovateli známo, jsou jeho personál, prostory a </w:t>
      </w:r>
      <w:r w:rsidR="000D04EE" w:rsidRPr="00892363">
        <w:rPr>
          <w:rFonts w:cstheme="minorBidi"/>
          <w:szCs w:val="24"/>
        </w:rPr>
        <w:t xml:space="preserve"> spektrum </w:t>
      </w:r>
      <w:r w:rsidRPr="00892363">
        <w:rPr>
          <w:rFonts w:cstheme="minorBidi"/>
          <w:szCs w:val="24"/>
        </w:rPr>
        <w:t>pacientů vhodné k plnění povinností v souladu s </w:t>
      </w:r>
      <w:r w:rsidR="000D04EE" w:rsidRPr="00892363">
        <w:rPr>
          <w:rFonts w:cstheme="minorBidi"/>
          <w:szCs w:val="24"/>
        </w:rPr>
        <w:t>p</w:t>
      </w:r>
      <w:r w:rsidRPr="00892363">
        <w:rPr>
          <w:rFonts w:cstheme="minorBidi"/>
          <w:szCs w:val="24"/>
        </w:rPr>
        <w:t>lánem</w:t>
      </w:r>
      <w:bookmarkStart w:id="67" w:name="_cp_text_1_361"/>
      <w:bookmarkStart w:id="68" w:name="_cp_text_4_355"/>
      <w:bookmarkStart w:id="69" w:name="_cp_text_1_356"/>
      <w:bookmarkStart w:id="70" w:name="_cp_text_4_357"/>
      <w:bookmarkStart w:id="71" w:name="_cp_text_1_358"/>
      <w:bookmarkStart w:id="72" w:name="_cp_text_4_359"/>
      <w:bookmarkStart w:id="73" w:name="_cp_text_1_360"/>
      <w:r w:rsidRPr="00892363">
        <w:rPr>
          <w:rFonts w:cstheme="minorBidi"/>
          <w:szCs w:val="24"/>
        </w:rPr>
        <w:t xml:space="preserve">, </w:t>
      </w:r>
    </w:p>
    <w:p w14:paraId="3B328667" w14:textId="5C1735AF" w:rsidR="000D04EE" w:rsidRPr="00892363" w:rsidRDefault="00126A19" w:rsidP="000D04EE">
      <w:pPr>
        <w:tabs>
          <w:tab w:val="left" w:pos="567"/>
          <w:tab w:val="left" w:pos="720"/>
        </w:tabs>
        <w:spacing w:after="60"/>
        <w:ind w:left="567"/>
        <w:jc w:val="both"/>
        <w:rPr>
          <w:rFonts w:cstheme="minorBidi"/>
          <w:szCs w:val="24"/>
        </w:rPr>
      </w:pPr>
      <w:r w:rsidRPr="00892363">
        <w:rPr>
          <w:rFonts w:cstheme="minorBidi"/>
          <w:szCs w:val="24"/>
        </w:rPr>
        <w:t>c) poskytovatel v průběhu provádění klinického zkoušení nebude používat žádnou osobu v kterékoli funkci, jíž b</w:t>
      </w:r>
      <w:r w:rsidR="00892363">
        <w:rPr>
          <w:rFonts w:cstheme="minorBidi"/>
          <w:szCs w:val="24"/>
        </w:rPr>
        <w:t>yl zakázán výkon povolání podle</w:t>
      </w:r>
      <w:r w:rsidR="000D04EE" w:rsidRPr="00892363">
        <w:rPr>
          <w:rFonts w:cstheme="minorBidi"/>
          <w:szCs w:val="24"/>
        </w:rPr>
        <w:t xml:space="preserve"> relevantního právního předpisu. </w:t>
      </w:r>
      <w:r w:rsidRPr="00892363">
        <w:rPr>
          <w:rFonts w:cstheme="minorBidi"/>
          <w:szCs w:val="24"/>
        </w:rPr>
        <w:t>Poskytovatel kromě toho: i) poté, co se dozví, že kterékoli osobě zapojené do klinického zkoušení byl zakázán výkon povolání nebo s ní bylo zahájeno řízení týkající se zákazu výkonu povolání, nehledě na to, zda k tomu dojde v průběhu klinického zkoušení nebo po jeho ukončení, o tom okamžitě písemně informuje zadavatele a </w:t>
      </w:r>
      <w:proofErr w:type="spellStart"/>
      <w:r w:rsidRPr="00892363">
        <w:rPr>
          <w:rFonts w:cstheme="minorBidi"/>
          <w:szCs w:val="24"/>
        </w:rPr>
        <w:t>ii</w:t>
      </w:r>
      <w:proofErr w:type="spellEnd"/>
      <w:r w:rsidRPr="00892363">
        <w:rPr>
          <w:rFonts w:cstheme="minorBidi"/>
          <w:szCs w:val="24"/>
        </w:rPr>
        <w:t xml:space="preserve">) písemně potvrdí, že poskytovateli, zkoušejícímu nebo kterékoli osobě zapojené do klinického zkoušení nebyl zakázán výkon </w:t>
      </w:r>
      <w:r w:rsidR="000D04EE" w:rsidRPr="00892363">
        <w:rPr>
          <w:rFonts w:cstheme="minorBidi"/>
          <w:szCs w:val="24"/>
        </w:rPr>
        <w:t xml:space="preserve">činnosti nebo </w:t>
      </w:r>
      <w:r w:rsidRPr="00892363">
        <w:rPr>
          <w:rFonts w:cstheme="minorBidi"/>
          <w:szCs w:val="24"/>
        </w:rPr>
        <w:t>povolání, pokud o toto potvrzení zadavatel požádá v souvislosti s certifikací, kterou musí zadavatel doložit úřadu FDA nebo jinému regulačnímu orgánu,</w:t>
      </w:r>
      <w:bookmarkEnd w:id="61"/>
      <w:bookmarkEnd w:id="62"/>
      <w:bookmarkEnd w:id="63"/>
      <w:bookmarkEnd w:id="64"/>
      <w:bookmarkEnd w:id="67"/>
      <w:bookmarkEnd w:id="68"/>
      <w:bookmarkEnd w:id="69"/>
      <w:bookmarkEnd w:id="70"/>
      <w:bookmarkEnd w:id="71"/>
      <w:bookmarkEnd w:id="72"/>
      <w:bookmarkEnd w:id="73"/>
      <w:r w:rsidRPr="00892363">
        <w:rPr>
          <w:rFonts w:cstheme="minorBidi"/>
          <w:szCs w:val="24"/>
        </w:rPr>
        <w:t xml:space="preserve"> </w:t>
      </w:r>
    </w:p>
    <w:p w14:paraId="7BCAB41B" w14:textId="253576EA" w:rsidR="00126A19" w:rsidRPr="00892363" w:rsidRDefault="00126A19" w:rsidP="000D04EE">
      <w:pPr>
        <w:tabs>
          <w:tab w:val="left" w:pos="567"/>
          <w:tab w:val="left" w:pos="720"/>
        </w:tabs>
        <w:spacing w:after="60"/>
        <w:ind w:left="567"/>
        <w:jc w:val="both"/>
        <w:rPr>
          <w:rFonts w:cstheme="minorBidi"/>
          <w:szCs w:val="24"/>
        </w:rPr>
      </w:pPr>
      <w:r w:rsidRPr="00892363">
        <w:rPr>
          <w:rFonts w:cstheme="minorBidi"/>
          <w:szCs w:val="24"/>
        </w:rPr>
        <w:t>d) všichni zaměstnanci poskytovatele, kteří provádějí klinické zkoušení (včetně zkoušejícího) a kterékoli další osoby, které se účastní na klinickém zkoušení nebo které mají přístup k důvěrným informacím, i) jsou vázáni písemně stanovenými povinnostmi týkajícími se zachování důvěrnosti a zákazu používání těchto informací, které chrání důvěrné informace alespoň stejně dobře jako tato smlouva</w:t>
      </w:r>
      <w:r w:rsidR="00372FCE" w:rsidRPr="00892363">
        <w:rPr>
          <w:rFonts w:cstheme="minorBidi"/>
          <w:szCs w:val="24"/>
        </w:rPr>
        <w:t>.</w:t>
      </w:r>
    </w:p>
    <w:p w14:paraId="6DF25E52" w14:textId="18D7E2C0" w:rsidR="00372FCE" w:rsidRPr="00892363" w:rsidRDefault="00372FCE" w:rsidP="0078342F">
      <w:pPr>
        <w:pStyle w:val="Nadpis2"/>
        <w:rPr>
          <w:rFonts w:cstheme="minorBidi"/>
          <w:szCs w:val="24"/>
        </w:rPr>
      </w:pPr>
      <w:r w:rsidRPr="00892363">
        <w:rPr>
          <w:rFonts w:cstheme="minorBidi"/>
          <w:szCs w:val="24"/>
        </w:rPr>
        <w:t>Pokud není v tomto článku 23 stanoveno jinak, neposkytuje žádná ze smluvních stran žádné (výslovné, implicitní, či jiné) záruky, pokud jde o předmět této smlouvy, a každá ze stran výslovně prohlašuje, že tyto další záruky, včetně implicitních záruk týkajících se možnosti uvedení na trh a vhodnosti pro určitý účel vylučuje.</w:t>
      </w:r>
    </w:p>
    <w:p w14:paraId="211F3D83" w14:textId="792153F0" w:rsidR="00372FCE" w:rsidRPr="00372FCE" w:rsidRDefault="00372FCE" w:rsidP="00372FCE">
      <w:pPr>
        <w:pStyle w:val="Odstavecseseznamem"/>
        <w:tabs>
          <w:tab w:val="left" w:pos="567"/>
          <w:tab w:val="left" w:pos="720"/>
        </w:tabs>
        <w:spacing w:after="60"/>
        <w:ind w:left="1047"/>
        <w:jc w:val="both"/>
        <w:rPr>
          <w:rFonts w:cstheme="minorBidi"/>
          <w:szCs w:val="24"/>
        </w:rPr>
      </w:pPr>
    </w:p>
    <w:p w14:paraId="5E92F860" w14:textId="77777777" w:rsidR="006030BC" w:rsidRPr="006030BC" w:rsidRDefault="006030BC" w:rsidP="00A84F0D"/>
    <w:p w14:paraId="7B6C8074" w14:textId="4695A8EA" w:rsidR="001D2EC4" w:rsidRPr="00BF2E4E" w:rsidRDefault="001D2EC4" w:rsidP="00892363">
      <w:pPr>
        <w:pStyle w:val="Nadpis1"/>
      </w:pPr>
      <w:r w:rsidRPr="00BF2E4E">
        <w:t>Závěrečná ustanovení</w:t>
      </w:r>
    </w:p>
    <w:p w14:paraId="0C88CE44" w14:textId="47AAE6CD" w:rsidR="00B945BA" w:rsidRPr="003A591C" w:rsidRDefault="00B945BA" w:rsidP="0078342F">
      <w:pPr>
        <w:pStyle w:val="Nadpis2"/>
        <w:rPr>
          <w:snapToGrid w:val="0"/>
        </w:rPr>
      </w:pPr>
      <w:r w:rsidRPr="003A591C">
        <w:rPr>
          <w:snapToGrid w:val="0"/>
        </w:rPr>
        <w:t xml:space="preserve">Právní vztahy mezi smluvními stranami vzniklé na základě této smlouvy nebo v souvislosti s ní, se řídí platnými právními </w:t>
      </w:r>
      <w:r w:rsidR="00491C8E">
        <w:rPr>
          <w:snapToGrid w:val="0"/>
        </w:rPr>
        <w:t>předpisy, zejména zákonem č. 89/2012 Sb</w:t>
      </w:r>
      <w:r w:rsidR="00DF759E">
        <w:rPr>
          <w:snapToGrid w:val="0"/>
        </w:rPr>
        <w:t>.</w:t>
      </w:r>
      <w:r w:rsidR="00491C8E">
        <w:rPr>
          <w:snapToGrid w:val="0"/>
        </w:rPr>
        <w:t>, občanský</w:t>
      </w:r>
      <w:r w:rsidRPr="003A591C">
        <w:rPr>
          <w:snapToGrid w:val="0"/>
        </w:rPr>
        <w:t xml:space="preserve"> zákoník, zákonem č. </w:t>
      </w:r>
      <w:r w:rsidR="00CA6448">
        <w:rPr>
          <w:snapToGrid w:val="0"/>
        </w:rPr>
        <w:t>268/2014</w:t>
      </w:r>
      <w:r w:rsidRPr="003A591C">
        <w:rPr>
          <w:snapToGrid w:val="0"/>
        </w:rPr>
        <w:t xml:space="preserve"> Sb. </w:t>
      </w:r>
      <w:r w:rsidR="002052F3" w:rsidRPr="003A591C">
        <w:t>o zdravotn</w:t>
      </w:r>
      <w:r w:rsidR="00EA568A" w:rsidRPr="003A591C">
        <w:t>ických</w:t>
      </w:r>
      <w:r w:rsidR="002052F3" w:rsidRPr="003A591C">
        <w:t xml:space="preserve"> prostředcích</w:t>
      </w:r>
      <w:r w:rsidRPr="003A591C">
        <w:rPr>
          <w:snapToGrid w:val="0"/>
        </w:rPr>
        <w:t>, zákonem č.</w:t>
      </w:r>
      <w:r w:rsidR="00630396">
        <w:rPr>
          <w:snapToGrid w:val="0"/>
        </w:rPr>
        <w:t> </w:t>
      </w:r>
      <w:r w:rsidR="0082029E">
        <w:rPr>
          <w:snapToGrid w:val="0"/>
        </w:rPr>
        <w:t>372</w:t>
      </w:r>
      <w:r w:rsidR="00126A19">
        <w:rPr>
          <w:snapToGrid w:val="0"/>
        </w:rPr>
        <w:t>/2011 Sb., o </w:t>
      </w:r>
      <w:r w:rsidR="007E3252">
        <w:rPr>
          <w:snapToGrid w:val="0"/>
        </w:rPr>
        <w:t>zdravotních službách</w:t>
      </w:r>
      <w:r w:rsidRPr="003A591C">
        <w:rPr>
          <w:snapToGrid w:val="0"/>
        </w:rPr>
        <w:t>,</w:t>
      </w:r>
      <w:r w:rsidR="00A66E2E" w:rsidRPr="003A591C">
        <w:rPr>
          <w:snapToGrid w:val="0"/>
        </w:rPr>
        <w:t xml:space="preserve"> </w:t>
      </w:r>
      <w:r w:rsidR="00D44A2E">
        <w:rPr>
          <w:snapToGrid w:val="0"/>
        </w:rPr>
        <w:t>a relevantními prováděcími předpisy</w:t>
      </w:r>
      <w:r w:rsidRPr="003A591C">
        <w:rPr>
          <w:snapToGrid w:val="0"/>
        </w:rPr>
        <w:t>.</w:t>
      </w:r>
    </w:p>
    <w:p w14:paraId="775DBE5F" w14:textId="2497FF89" w:rsidR="00B945BA" w:rsidRPr="003A591C" w:rsidRDefault="00B945BA" w:rsidP="0078342F">
      <w:pPr>
        <w:pStyle w:val="Nadpis2"/>
        <w:rPr>
          <w:snapToGrid w:val="0"/>
        </w:rPr>
      </w:pPr>
      <w:bookmarkStart w:id="74" w:name="OLE_LINK1"/>
      <w:bookmarkStart w:id="75" w:name="OLE_LINK2"/>
      <w:r w:rsidRPr="003A591C">
        <w:rPr>
          <w:snapToGrid w:val="0"/>
        </w:rPr>
        <w:lastRenderedPageBreak/>
        <w:t>Změny smlouvy jsou možné jen ve formě písemného a číslovaného dodatku ke smlouvě podepsaného oběma smluvními stranami. Smlouva může být ukončena pouze písemně.</w:t>
      </w:r>
    </w:p>
    <w:bookmarkEnd w:id="74"/>
    <w:bookmarkEnd w:id="75"/>
    <w:p w14:paraId="625D4124" w14:textId="77777777" w:rsidR="00970EA5" w:rsidRPr="003A591C" w:rsidRDefault="00970EA5" w:rsidP="0078342F">
      <w:pPr>
        <w:pStyle w:val="Nadpis2"/>
        <w:rPr>
          <w:snapToGrid w:val="0"/>
        </w:rPr>
      </w:pPr>
      <w:r w:rsidRPr="003A591C">
        <w:rPr>
          <w:snapToGrid w:val="0"/>
        </w:rPr>
        <w:t xml:space="preserve">V případě změny právní úpravy klinického </w:t>
      </w:r>
      <w:r w:rsidR="00B77D97" w:rsidRPr="003A591C">
        <w:rPr>
          <w:snapToGrid w:val="0"/>
        </w:rPr>
        <w:t>zkoušení</w:t>
      </w:r>
      <w:r w:rsidRPr="003A591C">
        <w:rPr>
          <w:snapToGrid w:val="0"/>
        </w:rPr>
        <w:t xml:space="preserve"> se smluvní strany zavazují postupovat v souladu s touto novou právní úpravou počínaje dnem její účinnosti.</w:t>
      </w:r>
    </w:p>
    <w:p w14:paraId="2E98DB05" w14:textId="600606D0" w:rsidR="002F2087" w:rsidRPr="003A591C" w:rsidRDefault="002F2087" w:rsidP="0078342F">
      <w:pPr>
        <w:pStyle w:val="Nadpis2"/>
        <w:rPr>
          <w:snapToGrid w:val="0"/>
        </w:rPr>
      </w:pPr>
      <w:r w:rsidRPr="003A591C">
        <w:rPr>
          <w:snapToGrid w:val="0"/>
        </w:rPr>
        <w:t xml:space="preserve">Strany nesmí postoupit tuto smlouvu nebo své závazky z ní vyplývající bez předchozího písemného souhlasu druhé </w:t>
      </w:r>
      <w:r w:rsidR="00BD3759" w:rsidRPr="003A591C">
        <w:rPr>
          <w:snapToGrid w:val="0"/>
        </w:rPr>
        <w:t xml:space="preserve">smluvní </w:t>
      </w:r>
      <w:r w:rsidRPr="003A591C">
        <w:rPr>
          <w:snapToGrid w:val="0"/>
        </w:rPr>
        <w:t>strany</w:t>
      </w:r>
      <w:r w:rsidR="00DF759E">
        <w:rPr>
          <w:snapToGrid w:val="0"/>
        </w:rPr>
        <w:t>;</w:t>
      </w:r>
      <w:r w:rsidR="00874596">
        <w:rPr>
          <w:snapToGrid w:val="0"/>
        </w:rPr>
        <w:t> </w:t>
      </w:r>
      <w:r w:rsidR="00126A19">
        <w:rPr>
          <w:snapToGrid w:val="0"/>
        </w:rPr>
        <w:t>nehledě na předchozí ustanovení</w:t>
      </w:r>
      <w:r w:rsidR="00A84F0D">
        <w:rPr>
          <w:snapToGrid w:val="0"/>
        </w:rPr>
        <w:t xml:space="preserve"> </w:t>
      </w:r>
      <w:r w:rsidR="00126A19">
        <w:rPr>
          <w:snapToGrid w:val="0"/>
        </w:rPr>
        <w:t xml:space="preserve">smí </w:t>
      </w:r>
      <w:r w:rsidR="00874596">
        <w:rPr>
          <w:snapToGrid w:val="0"/>
        </w:rPr>
        <w:t xml:space="preserve">zadavatel postoupit tuto smlouvu </w:t>
      </w:r>
      <w:r w:rsidR="00874596">
        <w:t xml:space="preserve">bez </w:t>
      </w:r>
      <w:r w:rsidR="00A84F0D">
        <w:t xml:space="preserve">uvedeného </w:t>
      </w:r>
      <w:r w:rsidR="00874596">
        <w:t>souhlasu na svého nástupce, pokud jde o celé podnikání nebo jeho značnou část nebo pokud jde o </w:t>
      </w:r>
      <w:r w:rsidR="00C31AD1">
        <w:t>majetek, které se tato smlouva týká, a to buď formou fúze, sloučení, prodeje akcií, prodeje majetku, na základě práva nebo jinak.</w:t>
      </w:r>
    </w:p>
    <w:p w14:paraId="39171998" w14:textId="62404455" w:rsidR="001D2EC4" w:rsidRPr="003A591C" w:rsidRDefault="001D2EC4" w:rsidP="0078342F">
      <w:pPr>
        <w:pStyle w:val="Nadpis2"/>
        <w:rPr>
          <w:snapToGrid w:val="0"/>
        </w:rPr>
      </w:pPr>
      <w:r w:rsidRPr="003A591C">
        <w:rPr>
          <w:snapToGrid w:val="0"/>
        </w:rPr>
        <w:t>Vzdá</w:t>
      </w:r>
      <w:r w:rsidR="00C31AD1">
        <w:rPr>
          <w:snapToGrid w:val="0"/>
        </w:rPr>
        <w:t>t</w:t>
      </w:r>
      <w:r w:rsidRPr="003A591C">
        <w:rPr>
          <w:snapToGrid w:val="0"/>
        </w:rPr>
        <w:t xml:space="preserve"> se uplatnění nároků a práv na plnění kteréhokoliv ustanovení této smlouvy je možné jen v písemné formě s podpisem příslušné smluvní strany. Vzdání se nároku na vymáhání některého z ustanovení této smlouvy neznamená a ani se nebude vykládat jako vzdání se nároku na vymáhání kteréhokoliv jiného ustanovení této smlouvy, ani jako vzdání se nároku na vymáhání v případě dalšího porušení předmětného ustanovení. Žádné prodloužení lhůty </w:t>
      </w:r>
      <w:r w:rsidR="00C31AD1">
        <w:rPr>
          <w:snapToGrid w:val="0"/>
        </w:rPr>
        <w:t xml:space="preserve">k </w:t>
      </w:r>
      <w:r w:rsidRPr="003A591C">
        <w:rPr>
          <w:snapToGrid w:val="0"/>
        </w:rPr>
        <w:t xml:space="preserve">plnění jakýchkoliv povinností nebo úkonů podle této smlouvy se nebude považovat anebo vykládat jako prodloužení lhůty </w:t>
      </w:r>
      <w:r w:rsidR="00C31AD1">
        <w:rPr>
          <w:snapToGrid w:val="0"/>
        </w:rPr>
        <w:t>k </w:t>
      </w:r>
      <w:r w:rsidRPr="003A591C">
        <w:rPr>
          <w:snapToGrid w:val="0"/>
        </w:rPr>
        <w:t xml:space="preserve">plnění jakékoliv další povinnosti anebo úkonu podle této smlouvy. </w:t>
      </w:r>
    </w:p>
    <w:p w14:paraId="463DC0B3" w14:textId="17326F0A" w:rsidR="00706B60" w:rsidRPr="00414279" w:rsidRDefault="00706B60" w:rsidP="0078342F">
      <w:pPr>
        <w:pStyle w:val="Nadpis2"/>
        <w:rPr>
          <w:snapToGrid w:val="0"/>
        </w:rPr>
      </w:pPr>
      <w:r w:rsidRPr="00414279">
        <w:rPr>
          <w:snapToGrid w:val="0"/>
        </w:rPr>
        <w:t xml:space="preserve">Tato smlouva se vyhotovuje ve stejnopisech, z nichž každý je sepsán současně v jazyce českém a anglickém. Každá ze smluvních stran obdrží po jednom stejnopisu. Výkladově rozhodná je česká jazyková verze. </w:t>
      </w:r>
    </w:p>
    <w:p w14:paraId="4A165CC2" w14:textId="04DA8271" w:rsidR="001D2EC4" w:rsidRDefault="001D2EC4" w:rsidP="0078342F">
      <w:pPr>
        <w:pStyle w:val="Nadpis2"/>
        <w:rPr>
          <w:snapToGrid w:val="0"/>
        </w:rPr>
      </w:pPr>
      <w:r w:rsidRPr="003A591C">
        <w:rPr>
          <w:snapToGrid w:val="0"/>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14:paraId="56F14E20" w14:textId="4DCAD82E" w:rsidR="00BB2991" w:rsidRPr="003A591C" w:rsidRDefault="00BB2991" w:rsidP="0078342F">
      <w:pPr>
        <w:pStyle w:val="Nadpis2"/>
        <w:rPr>
          <w:snapToGrid w:val="0"/>
        </w:rPr>
      </w:pPr>
      <w:r w:rsidRPr="003A591C">
        <w:t>Smluvní</w:t>
      </w:r>
      <w:r w:rsidRPr="003A591C">
        <w:rPr>
          <w:snapToGrid w:val="0"/>
        </w:rPr>
        <w:t xml:space="preserve"> strany na závěr této smlouvy výslovně prohlašují, že jim nejsou známy žádné okolnosti bránící uzavření této smlouvy.</w:t>
      </w:r>
    </w:p>
    <w:p w14:paraId="024EFEB1" w14:textId="79D44036" w:rsidR="00706B60" w:rsidRPr="00D91AB7" w:rsidRDefault="00706B60" w:rsidP="0078342F">
      <w:pPr>
        <w:pStyle w:val="Nadpis2"/>
        <w:rPr>
          <w:snapToGrid w:val="0"/>
        </w:rPr>
      </w:pPr>
      <w:r>
        <w:rPr>
          <w:snapToGrid w:val="0"/>
        </w:rPr>
        <w:t xml:space="preserve">Žádné ustanovení této smlouvy nemá a nemůže být vykládáno tak, </w:t>
      </w:r>
      <w:proofErr w:type="gramStart"/>
      <w:r w:rsidR="00EF27D7">
        <w:rPr>
          <w:snapToGrid w:val="0"/>
        </w:rPr>
        <w:t xml:space="preserve">aby </w:t>
      </w:r>
      <w:r>
        <w:rPr>
          <w:snapToGrid w:val="0"/>
        </w:rPr>
        <w:t>by vedlo</w:t>
      </w:r>
      <w:proofErr w:type="gramEnd"/>
      <w:r>
        <w:rPr>
          <w:snapToGrid w:val="0"/>
        </w:rPr>
        <w:t xml:space="preserve"> k porušení rozhodného práva. V případě rozporu této smlouvy a rozhodného práva se použije rozhodné právo.</w:t>
      </w:r>
    </w:p>
    <w:p w14:paraId="2B8D7058" w14:textId="77777777" w:rsidR="001D2EC4" w:rsidRPr="00B56CD3" w:rsidRDefault="001D2EC4" w:rsidP="00B56CD3"/>
    <w:tbl>
      <w:tblPr>
        <w:tblW w:w="11341" w:type="dxa"/>
        <w:jc w:val="center"/>
        <w:tblLook w:val="01E0" w:firstRow="1" w:lastRow="1" w:firstColumn="1" w:lastColumn="1" w:noHBand="0" w:noVBand="0"/>
      </w:tblPr>
      <w:tblGrid>
        <w:gridCol w:w="6521"/>
        <w:gridCol w:w="284"/>
        <w:gridCol w:w="4252"/>
        <w:gridCol w:w="284"/>
      </w:tblGrid>
      <w:tr w:rsidR="00A16990" w:rsidRPr="002601F8" w14:paraId="083D6F6A" w14:textId="77777777" w:rsidTr="00EF27D7">
        <w:trPr>
          <w:cantSplit/>
          <w:jc w:val="center"/>
        </w:trPr>
        <w:tc>
          <w:tcPr>
            <w:tcW w:w="6521" w:type="dxa"/>
            <w:shd w:val="clear" w:color="auto" w:fill="auto"/>
          </w:tcPr>
          <w:p w14:paraId="1EE73F5B" w14:textId="77777777" w:rsidR="00892363" w:rsidRDefault="00892363" w:rsidP="00FF49A5"/>
          <w:p w14:paraId="28764A2C" w14:textId="77777777" w:rsidR="00892363" w:rsidRDefault="00892363" w:rsidP="00FF49A5"/>
          <w:p w14:paraId="6C1BA19B" w14:textId="1CE43F5B" w:rsidR="00A16990" w:rsidRPr="002601F8" w:rsidRDefault="00A16990" w:rsidP="000169D1">
            <w:pPr>
              <w:jc w:val="both"/>
              <w:rPr>
                <w:u w:val="single"/>
              </w:rPr>
            </w:pPr>
            <w:r w:rsidRPr="00B13D62">
              <w:t>V Praze dne …………</w:t>
            </w:r>
            <w:r w:rsidR="00EF27D7">
              <w:t xml:space="preserve"> </w:t>
            </w:r>
            <w:r w:rsidR="00EF27D7" w:rsidRPr="00B13D62">
              <w:t>dne ………</w:t>
            </w:r>
          </w:p>
        </w:tc>
        <w:tc>
          <w:tcPr>
            <w:tcW w:w="284" w:type="dxa"/>
            <w:shd w:val="clear" w:color="auto" w:fill="auto"/>
          </w:tcPr>
          <w:p w14:paraId="7B13ACA5" w14:textId="77777777" w:rsidR="00A16990" w:rsidRPr="002601F8" w:rsidRDefault="00A16990" w:rsidP="00FF49A5">
            <w:pPr>
              <w:rPr>
                <w:u w:val="single"/>
              </w:rPr>
            </w:pPr>
          </w:p>
        </w:tc>
        <w:tc>
          <w:tcPr>
            <w:tcW w:w="4252" w:type="dxa"/>
            <w:shd w:val="clear" w:color="auto" w:fill="auto"/>
          </w:tcPr>
          <w:p w14:paraId="5D0831BB" w14:textId="77777777" w:rsidR="00892363" w:rsidRDefault="00892363" w:rsidP="00FF49A5"/>
          <w:p w14:paraId="1E68B22B" w14:textId="77777777" w:rsidR="00892363" w:rsidRDefault="00892363" w:rsidP="00FF49A5"/>
          <w:p w14:paraId="3CD3212A" w14:textId="67FD1B93" w:rsidR="00A16990" w:rsidRPr="002601F8" w:rsidRDefault="00A16990" w:rsidP="00FF49A5">
            <w:pPr>
              <w:rPr>
                <w:u w:val="single"/>
              </w:rPr>
            </w:pPr>
          </w:p>
        </w:tc>
        <w:tc>
          <w:tcPr>
            <w:tcW w:w="284" w:type="dxa"/>
            <w:shd w:val="clear" w:color="auto" w:fill="auto"/>
          </w:tcPr>
          <w:p w14:paraId="0AAC1F67" w14:textId="77777777" w:rsidR="00A16990" w:rsidRPr="002601F8" w:rsidRDefault="00A16990" w:rsidP="00FF49A5">
            <w:pPr>
              <w:rPr>
                <w:u w:val="single"/>
              </w:rPr>
            </w:pPr>
          </w:p>
        </w:tc>
      </w:tr>
    </w:tbl>
    <w:p w14:paraId="038EC97C" w14:textId="5023102A" w:rsidR="001D2EC4" w:rsidRDefault="001D2EC4" w:rsidP="00FF49A5">
      <w:pPr>
        <w:rPr>
          <w:u w:val="single"/>
        </w:rPr>
      </w:pPr>
    </w:p>
    <w:p w14:paraId="78378840" w14:textId="77777777" w:rsidR="000169D1" w:rsidRDefault="000169D1" w:rsidP="00FF49A5">
      <w:pPr>
        <w:rPr>
          <w:u w:val="single"/>
        </w:rPr>
      </w:pPr>
    </w:p>
    <w:tbl>
      <w:tblPr>
        <w:tblW w:w="3303" w:type="dxa"/>
        <w:jc w:val="center"/>
        <w:tblLook w:val="01E0" w:firstRow="1" w:lastRow="1" w:firstColumn="1" w:lastColumn="1" w:noHBand="0" w:noVBand="0"/>
      </w:tblPr>
      <w:tblGrid>
        <w:gridCol w:w="3303"/>
      </w:tblGrid>
      <w:tr w:rsidR="000169D1" w:rsidRPr="00EF27D7" w14:paraId="4114A298" w14:textId="77777777" w:rsidTr="000169D1">
        <w:trPr>
          <w:cantSplit/>
          <w:trHeight w:val="339"/>
          <w:jc w:val="center"/>
        </w:trPr>
        <w:tc>
          <w:tcPr>
            <w:tcW w:w="3303" w:type="dxa"/>
            <w:tcBorders>
              <w:top w:val="dashed" w:sz="4" w:space="0" w:color="auto"/>
            </w:tcBorders>
            <w:shd w:val="clear" w:color="auto" w:fill="auto"/>
          </w:tcPr>
          <w:p w14:paraId="53BE2815" w14:textId="77777777" w:rsidR="000169D1" w:rsidRPr="00EF27D7" w:rsidRDefault="000169D1" w:rsidP="006432F7">
            <w:pPr>
              <w:pStyle w:val="NaSted"/>
              <w:rPr>
                <w:b/>
              </w:rPr>
            </w:pPr>
            <w:r w:rsidRPr="00EF27D7">
              <w:rPr>
                <w:b/>
              </w:rPr>
              <w:t>Nemocnice Na Homolce</w:t>
            </w:r>
          </w:p>
        </w:tc>
      </w:tr>
      <w:tr w:rsidR="000169D1" w14:paraId="4F08BB64" w14:textId="77777777" w:rsidTr="000169D1">
        <w:trPr>
          <w:cantSplit/>
          <w:trHeight w:val="1055"/>
          <w:jc w:val="center"/>
        </w:trPr>
        <w:tc>
          <w:tcPr>
            <w:tcW w:w="3303" w:type="dxa"/>
            <w:shd w:val="clear" w:color="auto" w:fill="auto"/>
          </w:tcPr>
          <w:p w14:paraId="4FAE6973" w14:textId="77777777" w:rsidR="000169D1" w:rsidRDefault="000169D1" w:rsidP="006432F7">
            <w:pPr>
              <w:pStyle w:val="NaSted"/>
            </w:pPr>
            <w:r>
              <w:t>Dr. Ing. Ivan Oliva,</w:t>
            </w:r>
          </w:p>
          <w:p w14:paraId="71103E83" w14:textId="77777777" w:rsidR="000169D1" w:rsidRDefault="000169D1" w:rsidP="006432F7">
            <w:pPr>
              <w:pStyle w:val="NaSted"/>
            </w:pPr>
            <w:r>
              <w:t xml:space="preserve">ředitel nemocnice            </w:t>
            </w:r>
          </w:p>
          <w:p w14:paraId="173B0A59" w14:textId="77777777" w:rsidR="000169D1" w:rsidRDefault="000169D1" w:rsidP="006432F7">
            <w:pPr>
              <w:pStyle w:val="NaSted"/>
              <w:tabs>
                <w:tab w:val="left" w:pos="1064"/>
                <w:tab w:val="left" w:pos="4325"/>
              </w:tabs>
            </w:pPr>
            <w:r>
              <w:rPr>
                <w:rStyle w:val="Zvraznn"/>
              </w:rPr>
              <w:t xml:space="preserve">       p</w:t>
            </w:r>
            <w:r w:rsidRPr="00B56CD3">
              <w:rPr>
                <w:rStyle w:val="Zvraznn"/>
              </w:rPr>
              <w:t>oskytovatel</w:t>
            </w:r>
            <w:r>
              <w:rPr>
                <w:rStyle w:val="Zvraznn"/>
              </w:rPr>
              <w:t xml:space="preserve">        </w:t>
            </w:r>
          </w:p>
        </w:tc>
      </w:tr>
    </w:tbl>
    <w:p w14:paraId="0573017B" w14:textId="77777777" w:rsidR="000169D1" w:rsidRDefault="000169D1" w:rsidP="00FF49A5">
      <w:pPr>
        <w:rPr>
          <w:u w:val="single"/>
        </w:rPr>
      </w:pPr>
    </w:p>
    <w:p w14:paraId="00B6ADBF" w14:textId="77777777" w:rsidR="000169D1" w:rsidRDefault="000169D1" w:rsidP="00FF49A5">
      <w:pPr>
        <w:rPr>
          <w:u w:val="single"/>
        </w:rPr>
      </w:pPr>
    </w:p>
    <w:p w14:paraId="7B34221E" w14:textId="4A579462" w:rsidR="000169D1" w:rsidRDefault="000169D1" w:rsidP="000169D1">
      <w:pPr>
        <w:jc w:val="both"/>
        <w:rPr>
          <w:u w:val="single"/>
        </w:rPr>
      </w:pPr>
      <w:r w:rsidRPr="00B13D62">
        <w:t>V …………</w:t>
      </w:r>
      <w:r>
        <w:t xml:space="preserve"> </w:t>
      </w:r>
      <w:r w:rsidRPr="00B13D62">
        <w:t>dne ………</w:t>
      </w:r>
    </w:p>
    <w:p w14:paraId="1A0DDFC6" w14:textId="77777777" w:rsidR="000169D1" w:rsidRDefault="000169D1" w:rsidP="000169D1">
      <w:pPr>
        <w:jc w:val="center"/>
        <w:rPr>
          <w:u w:val="single"/>
        </w:rPr>
      </w:pPr>
    </w:p>
    <w:p w14:paraId="214E6C26" w14:textId="652E4080" w:rsidR="000169D1" w:rsidRPr="000169D1" w:rsidRDefault="000169D1" w:rsidP="000169D1">
      <w:pPr>
        <w:jc w:val="center"/>
        <w:rPr>
          <w:b/>
        </w:rPr>
      </w:pPr>
      <w:proofErr w:type="spellStart"/>
      <w:r w:rsidRPr="000169D1">
        <w:rPr>
          <w:b/>
        </w:rPr>
        <w:t>VytronUS</w:t>
      </w:r>
      <w:proofErr w:type="spellEnd"/>
      <w:r w:rsidRPr="000169D1">
        <w:rPr>
          <w:b/>
        </w:rPr>
        <w:t>, Inc.</w:t>
      </w:r>
    </w:p>
    <w:p w14:paraId="301F713A" w14:textId="474EF4AE" w:rsidR="000169D1" w:rsidRDefault="000169D1" w:rsidP="000169D1">
      <w:pPr>
        <w:jc w:val="center"/>
        <w:rPr>
          <w:snapToGrid w:val="0"/>
          <w:szCs w:val="24"/>
        </w:rPr>
      </w:pPr>
      <w:r w:rsidRPr="00B14444">
        <w:rPr>
          <w:snapToGrid w:val="0"/>
          <w:szCs w:val="24"/>
        </w:rPr>
        <w:t>John</w:t>
      </w:r>
      <w:r>
        <w:rPr>
          <w:snapToGrid w:val="0"/>
          <w:szCs w:val="24"/>
        </w:rPr>
        <w:t xml:space="preserve"> </w:t>
      </w:r>
      <w:proofErr w:type="spellStart"/>
      <w:r w:rsidRPr="00B14444">
        <w:rPr>
          <w:snapToGrid w:val="0"/>
          <w:szCs w:val="24"/>
        </w:rPr>
        <w:t>Pavlidis</w:t>
      </w:r>
      <w:proofErr w:type="spellEnd"/>
      <w:r w:rsidRPr="00B14444">
        <w:rPr>
          <w:snapToGrid w:val="0"/>
          <w:szCs w:val="24"/>
        </w:rPr>
        <w:t>,</w:t>
      </w:r>
    </w:p>
    <w:p w14:paraId="64CE9B72" w14:textId="41479B6E" w:rsidR="000169D1" w:rsidRDefault="000169D1" w:rsidP="000169D1">
      <w:pPr>
        <w:jc w:val="center"/>
        <w:rPr>
          <w:snapToGrid w:val="0"/>
          <w:szCs w:val="24"/>
        </w:rPr>
      </w:pPr>
      <w:r>
        <w:rPr>
          <w:snapToGrid w:val="0"/>
          <w:szCs w:val="24"/>
        </w:rPr>
        <w:t>prezidentem a výkonným ředitelem</w:t>
      </w:r>
    </w:p>
    <w:p w14:paraId="7322B13C" w14:textId="14F648AE" w:rsidR="000169D1" w:rsidRPr="000169D1" w:rsidRDefault="000169D1" w:rsidP="000169D1">
      <w:pPr>
        <w:jc w:val="center"/>
        <w:rPr>
          <w:i/>
          <w:u w:val="single"/>
        </w:rPr>
      </w:pPr>
      <w:r w:rsidRPr="000169D1">
        <w:rPr>
          <w:i/>
          <w:snapToGrid w:val="0"/>
          <w:szCs w:val="24"/>
        </w:rPr>
        <w:t>Zadavatel</w:t>
      </w:r>
    </w:p>
    <w:p w14:paraId="5897B0A4" w14:textId="77777777" w:rsidR="000169D1" w:rsidRDefault="000169D1" w:rsidP="00FF49A5">
      <w:pPr>
        <w:rPr>
          <w:u w:val="single"/>
        </w:rPr>
      </w:pPr>
    </w:p>
    <w:p w14:paraId="4E605E51" w14:textId="77777777" w:rsidR="000169D1" w:rsidRPr="003A591C" w:rsidRDefault="000169D1" w:rsidP="00FF49A5">
      <w:pPr>
        <w:rPr>
          <w:u w:val="single"/>
        </w:rPr>
      </w:pPr>
    </w:p>
    <w:tbl>
      <w:tblPr>
        <w:tblW w:w="9072" w:type="dxa"/>
        <w:jc w:val="center"/>
        <w:tblLook w:val="01E0" w:firstRow="1" w:lastRow="1" w:firstColumn="1" w:lastColumn="1" w:noHBand="0" w:noVBand="0"/>
      </w:tblPr>
      <w:tblGrid>
        <w:gridCol w:w="284"/>
        <w:gridCol w:w="3968"/>
        <w:gridCol w:w="284"/>
        <w:gridCol w:w="284"/>
        <w:gridCol w:w="3968"/>
        <w:gridCol w:w="284"/>
      </w:tblGrid>
      <w:tr w:rsidR="00A16990" w:rsidRPr="002601F8" w14:paraId="347F3612" w14:textId="77777777" w:rsidTr="002601F8">
        <w:trPr>
          <w:cantSplit/>
          <w:jc w:val="center"/>
        </w:trPr>
        <w:tc>
          <w:tcPr>
            <w:tcW w:w="4252" w:type="dxa"/>
            <w:gridSpan w:val="2"/>
            <w:shd w:val="clear" w:color="auto" w:fill="auto"/>
          </w:tcPr>
          <w:p w14:paraId="17D450F9" w14:textId="77777777" w:rsidR="00A16990" w:rsidRPr="002601F8" w:rsidRDefault="00D622E9" w:rsidP="002601F8">
            <w:pPr>
              <w:keepNext/>
              <w:rPr>
                <w:u w:val="single"/>
              </w:rPr>
            </w:pPr>
            <w:r w:rsidRPr="00B13D62">
              <w:t>V ……………</w:t>
            </w:r>
            <w:r w:rsidR="00A16990" w:rsidRPr="00B13D62">
              <w:t xml:space="preserve"> dne …………</w:t>
            </w:r>
          </w:p>
        </w:tc>
        <w:tc>
          <w:tcPr>
            <w:tcW w:w="284" w:type="dxa"/>
            <w:shd w:val="clear" w:color="auto" w:fill="auto"/>
          </w:tcPr>
          <w:p w14:paraId="47331967" w14:textId="77777777" w:rsidR="00A16990" w:rsidRPr="002601F8" w:rsidRDefault="00A16990" w:rsidP="001C7188">
            <w:pPr>
              <w:rPr>
                <w:u w:val="single"/>
              </w:rPr>
            </w:pPr>
          </w:p>
        </w:tc>
        <w:tc>
          <w:tcPr>
            <w:tcW w:w="4252" w:type="dxa"/>
            <w:gridSpan w:val="2"/>
            <w:shd w:val="clear" w:color="auto" w:fill="auto"/>
          </w:tcPr>
          <w:p w14:paraId="0E62600F" w14:textId="77777777" w:rsidR="00A16990" w:rsidRPr="002601F8" w:rsidRDefault="00A16990" w:rsidP="001C7188">
            <w:pPr>
              <w:rPr>
                <w:u w:val="single"/>
              </w:rPr>
            </w:pPr>
          </w:p>
        </w:tc>
        <w:tc>
          <w:tcPr>
            <w:tcW w:w="284" w:type="dxa"/>
            <w:shd w:val="clear" w:color="auto" w:fill="auto"/>
          </w:tcPr>
          <w:p w14:paraId="6F0BD88B" w14:textId="77777777" w:rsidR="00A16990" w:rsidRPr="002601F8" w:rsidRDefault="00A16990" w:rsidP="001C7188">
            <w:pPr>
              <w:rPr>
                <w:u w:val="single"/>
              </w:rPr>
            </w:pPr>
          </w:p>
        </w:tc>
      </w:tr>
      <w:tr w:rsidR="002601F8" w:rsidRPr="002601F8" w14:paraId="40B04A40" w14:textId="77777777" w:rsidTr="002601F8">
        <w:trPr>
          <w:cantSplit/>
          <w:trHeight w:val="1134"/>
          <w:jc w:val="center"/>
        </w:trPr>
        <w:tc>
          <w:tcPr>
            <w:tcW w:w="284" w:type="dxa"/>
            <w:shd w:val="clear" w:color="auto" w:fill="auto"/>
          </w:tcPr>
          <w:p w14:paraId="0F4A27D5" w14:textId="77777777" w:rsidR="00D622E9" w:rsidRPr="002601F8" w:rsidRDefault="00D622E9" w:rsidP="002601F8">
            <w:pPr>
              <w:keepNext/>
              <w:rPr>
                <w:u w:val="single"/>
              </w:rPr>
            </w:pPr>
          </w:p>
        </w:tc>
        <w:tc>
          <w:tcPr>
            <w:tcW w:w="3968" w:type="dxa"/>
            <w:tcBorders>
              <w:bottom w:val="dashed" w:sz="4" w:space="0" w:color="auto"/>
            </w:tcBorders>
            <w:shd w:val="clear" w:color="auto" w:fill="auto"/>
          </w:tcPr>
          <w:p w14:paraId="2AE6E14F" w14:textId="77777777" w:rsidR="00D622E9" w:rsidRPr="002601F8" w:rsidRDefault="00D622E9" w:rsidP="001C7188">
            <w:pPr>
              <w:rPr>
                <w:u w:val="single"/>
              </w:rPr>
            </w:pPr>
          </w:p>
        </w:tc>
        <w:tc>
          <w:tcPr>
            <w:tcW w:w="284" w:type="dxa"/>
            <w:shd w:val="clear" w:color="auto" w:fill="auto"/>
          </w:tcPr>
          <w:p w14:paraId="765E5FC0" w14:textId="77777777" w:rsidR="00D622E9" w:rsidRPr="002601F8" w:rsidRDefault="00D622E9" w:rsidP="001C7188">
            <w:pPr>
              <w:rPr>
                <w:u w:val="single"/>
              </w:rPr>
            </w:pPr>
          </w:p>
        </w:tc>
        <w:tc>
          <w:tcPr>
            <w:tcW w:w="284" w:type="dxa"/>
            <w:shd w:val="clear" w:color="auto" w:fill="auto"/>
          </w:tcPr>
          <w:p w14:paraId="1D8C309A" w14:textId="77777777" w:rsidR="00D622E9" w:rsidRPr="002601F8" w:rsidRDefault="00D622E9" w:rsidP="001C7188">
            <w:pPr>
              <w:rPr>
                <w:u w:val="single"/>
              </w:rPr>
            </w:pPr>
          </w:p>
        </w:tc>
        <w:tc>
          <w:tcPr>
            <w:tcW w:w="3968" w:type="dxa"/>
            <w:shd w:val="clear" w:color="auto" w:fill="auto"/>
          </w:tcPr>
          <w:p w14:paraId="2631547F" w14:textId="77777777" w:rsidR="00D622E9" w:rsidRPr="002601F8" w:rsidRDefault="00D622E9" w:rsidP="001C7188">
            <w:pPr>
              <w:rPr>
                <w:u w:val="single"/>
              </w:rPr>
            </w:pPr>
          </w:p>
        </w:tc>
        <w:tc>
          <w:tcPr>
            <w:tcW w:w="284" w:type="dxa"/>
            <w:shd w:val="clear" w:color="auto" w:fill="auto"/>
          </w:tcPr>
          <w:p w14:paraId="4D8349BA" w14:textId="77777777" w:rsidR="00D622E9" w:rsidRPr="002601F8" w:rsidRDefault="00D622E9" w:rsidP="001C7188">
            <w:pPr>
              <w:rPr>
                <w:u w:val="single"/>
              </w:rPr>
            </w:pPr>
          </w:p>
        </w:tc>
      </w:tr>
      <w:tr w:rsidR="002601F8" w:rsidRPr="002601F8" w14:paraId="6B6D0D59" w14:textId="77777777" w:rsidTr="002601F8">
        <w:trPr>
          <w:cantSplit/>
          <w:jc w:val="center"/>
        </w:trPr>
        <w:tc>
          <w:tcPr>
            <w:tcW w:w="284" w:type="dxa"/>
            <w:shd w:val="clear" w:color="auto" w:fill="auto"/>
          </w:tcPr>
          <w:p w14:paraId="461D3F62" w14:textId="77777777" w:rsidR="00D622E9" w:rsidRPr="002601F8" w:rsidRDefault="00D622E9" w:rsidP="002601F8">
            <w:pPr>
              <w:keepNext/>
              <w:rPr>
                <w:u w:val="single"/>
              </w:rPr>
            </w:pPr>
          </w:p>
        </w:tc>
        <w:tc>
          <w:tcPr>
            <w:tcW w:w="3968" w:type="dxa"/>
            <w:tcBorders>
              <w:top w:val="dashed" w:sz="4" w:space="0" w:color="auto"/>
            </w:tcBorders>
            <w:shd w:val="clear" w:color="auto" w:fill="auto"/>
          </w:tcPr>
          <w:p w14:paraId="6B156D0A" w14:textId="0DFA834E" w:rsidR="00D622E9" w:rsidRDefault="00A84F0D" w:rsidP="001C7188">
            <w:pPr>
              <w:pStyle w:val="NaSted"/>
            </w:pPr>
            <w:r>
              <w:rPr>
                <w:lang w:val="en-US"/>
              </w:rPr>
              <w:t>High Tech Med Consult</w:t>
            </w:r>
          </w:p>
        </w:tc>
        <w:tc>
          <w:tcPr>
            <w:tcW w:w="284" w:type="dxa"/>
            <w:shd w:val="clear" w:color="auto" w:fill="auto"/>
          </w:tcPr>
          <w:p w14:paraId="3004FBB0" w14:textId="77777777" w:rsidR="00D622E9" w:rsidRPr="002601F8" w:rsidRDefault="00D622E9" w:rsidP="001C7188">
            <w:pPr>
              <w:rPr>
                <w:u w:val="single"/>
              </w:rPr>
            </w:pPr>
          </w:p>
        </w:tc>
        <w:tc>
          <w:tcPr>
            <w:tcW w:w="284" w:type="dxa"/>
            <w:shd w:val="clear" w:color="auto" w:fill="auto"/>
          </w:tcPr>
          <w:p w14:paraId="4A386DDF" w14:textId="77777777" w:rsidR="00D622E9" w:rsidRPr="002601F8" w:rsidRDefault="00D622E9" w:rsidP="001C7188">
            <w:pPr>
              <w:rPr>
                <w:u w:val="single"/>
              </w:rPr>
            </w:pPr>
          </w:p>
        </w:tc>
        <w:tc>
          <w:tcPr>
            <w:tcW w:w="3968" w:type="dxa"/>
            <w:shd w:val="clear" w:color="auto" w:fill="auto"/>
          </w:tcPr>
          <w:p w14:paraId="71DBE32B" w14:textId="77777777" w:rsidR="00D622E9" w:rsidRDefault="00D622E9" w:rsidP="001C7188">
            <w:pPr>
              <w:pStyle w:val="NaSted"/>
            </w:pPr>
          </w:p>
        </w:tc>
        <w:tc>
          <w:tcPr>
            <w:tcW w:w="284" w:type="dxa"/>
            <w:shd w:val="clear" w:color="auto" w:fill="auto"/>
          </w:tcPr>
          <w:p w14:paraId="1BA6DCB0" w14:textId="77777777" w:rsidR="00D622E9" w:rsidRPr="002601F8" w:rsidRDefault="00D622E9" w:rsidP="001C7188">
            <w:pPr>
              <w:rPr>
                <w:u w:val="single"/>
              </w:rPr>
            </w:pPr>
          </w:p>
        </w:tc>
      </w:tr>
      <w:tr w:rsidR="002601F8" w:rsidRPr="002601F8" w14:paraId="735CE4B0" w14:textId="77777777" w:rsidTr="002601F8">
        <w:trPr>
          <w:cantSplit/>
          <w:jc w:val="center"/>
        </w:trPr>
        <w:tc>
          <w:tcPr>
            <w:tcW w:w="284" w:type="dxa"/>
            <w:shd w:val="clear" w:color="auto" w:fill="auto"/>
          </w:tcPr>
          <w:p w14:paraId="51A5FF20" w14:textId="77777777" w:rsidR="00D622E9" w:rsidRPr="002601F8" w:rsidRDefault="00D622E9" w:rsidP="002601F8">
            <w:pPr>
              <w:keepNext/>
              <w:rPr>
                <w:u w:val="single"/>
              </w:rPr>
            </w:pPr>
          </w:p>
        </w:tc>
        <w:tc>
          <w:tcPr>
            <w:tcW w:w="3968" w:type="dxa"/>
            <w:shd w:val="clear" w:color="auto" w:fill="auto"/>
          </w:tcPr>
          <w:p w14:paraId="39ED5B6D" w14:textId="4BFA8FF5" w:rsidR="00D622E9" w:rsidRDefault="00A84F0D" w:rsidP="001C7188">
            <w:pPr>
              <w:pStyle w:val="NaSted"/>
              <w:rPr>
                <w:lang w:val="en-US"/>
              </w:rPr>
            </w:pPr>
            <w:r>
              <w:rPr>
                <w:lang w:val="en-US"/>
              </w:rPr>
              <w:t xml:space="preserve">Štěpán </w:t>
            </w:r>
            <w:proofErr w:type="spellStart"/>
            <w:r>
              <w:rPr>
                <w:lang w:val="en-US"/>
              </w:rPr>
              <w:t>Královec</w:t>
            </w:r>
            <w:proofErr w:type="spellEnd"/>
          </w:p>
          <w:p w14:paraId="683948C3" w14:textId="37388669" w:rsidR="00A84F0D" w:rsidRDefault="00A84F0D" w:rsidP="001C7188">
            <w:pPr>
              <w:pStyle w:val="NaSted"/>
            </w:pPr>
            <w:proofErr w:type="spellStart"/>
            <w:r>
              <w:rPr>
                <w:lang w:val="en-US"/>
              </w:rPr>
              <w:t>jednatel</w:t>
            </w:r>
            <w:proofErr w:type="spellEnd"/>
          </w:p>
        </w:tc>
        <w:tc>
          <w:tcPr>
            <w:tcW w:w="284" w:type="dxa"/>
            <w:shd w:val="clear" w:color="auto" w:fill="auto"/>
          </w:tcPr>
          <w:p w14:paraId="78A94E62" w14:textId="77777777" w:rsidR="00D622E9" w:rsidRPr="002601F8" w:rsidRDefault="00D622E9" w:rsidP="001C7188">
            <w:pPr>
              <w:rPr>
                <w:u w:val="single"/>
              </w:rPr>
            </w:pPr>
          </w:p>
        </w:tc>
        <w:tc>
          <w:tcPr>
            <w:tcW w:w="284" w:type="dxa"/>
            <w:shd w:val="clear" w:color="auto" w:fill="auto"/>
          </w:tcPr>
          <w:p w14:paraId="1230F4E0" w14:textId="77777777" w:rsidR="00D622E9" w:rsidRPr="002601F8" w:rsidRDefault="00D622E9" w:rsidP="001C7188">
            <w:pPr>
              <w:rPr>
                <w:u w:val="single"/>
              </w:rPr>
            </w:pPr>
          </w:p>
        </w:tc>
        <w:tc>
          <w:tcPr>
            <w:tcW w:w="3968" w:type="dxa"/>
            <w:shd w:val="clear" w:color="auto" w:fill="auto"/>
          </w:tcPr>
          <w:p w14:paraId="7B2EDECF" w14:textId="77777777" w:rsidR="00D622E9" w:rsidRDefault="00D622E9" w:rsidP="001C7188">
            <w:pPr>
              <w:pStyle w:val="NaSted"/>
            </w:pPr>
          </w:p>
        </w:tc>
        <w:tc>
          <w:tcPr>
            <w:tcW w:w="284" w:type="dxa"/>
            <w:shd w:val="clear" w:color="auto" w:fill="auto"/>
          </w:tcPr>
          <w:p w14:paraId="50269632" w14:textId="77777777" w:rsidR="00D622E9" w:rsidRPr="002601F8" w:rsidRDefault="00D622E9" w:rsidP="001C7188">
            <w:pPr>
              <w:rPr>
                <w:u w:val="single"/>
              </w:rPr>
            </w:pPr>
          </w:p>
        </w:tc>
      </w:tr>
      <w:tr w:rsidR="002601F8" w:rsidRPr="002601F8" w14:paraId="28E4F53C" w14:textId="77777777" w:rsidTr="002601F8">
        <w:trPr>
          <w:cantSplit/>
          <w:jc w:val="center"/>
        </w:trPr>
        <w:tc>
          <w:tcPr>
            <w:tcW w:w="284" w:type="dxa"/>
            <w:shd w:val="clear" w:color="auto" w:fill="auto"/>
          </w:tcPr>
          <w:p w14:paraId="4DBE1CB0" w14:textId="77777777" w:rsidR="00A16990" w:rsidRPr="002601F8" w:rsidRDefault="00A16990" w:rsidP="001C7188">
            <w:pPr>
              <w:rPr>
                <w:u w:val="single"/>
              </w:rPr>
            </w:pPr>
          </w:p>
        </w:tc>
        <w:tc>
          <w:tcPr>
            <w:tcW w:w="3968" w:type="dxa"/>
            <w:shd w:val="clear" w:color="auto" w:fill="auto"/>
          </w:tcPr>
          <w:p w14:paraId="115F6362" w14:textId="77777777" w:rsidR="00A16990" w:rsidRPr="003A591C" w:rsidRDefault="00D622E9" w:rsidP="001C7188">
            <w:pPr>
              <w:pStyle w:val="NaSted"/>
            </w:pPr>
            <w:r w:rsidRPr="00B56CD3">
              <w:rPr>
                <w:rStyle w:val="Zvraznn"/>
              </w:rPr>
              <w:t>Asistent</w:t>
            </w:r>
          </w:p>
        </w:tc>
        <w:tc>
          <w:tcPr>
            <w:tcW w:w="284" w:type="dxa"/>
            <w:shd w:val="clear" w:color="auto" w:fill="auto"/>
          </w:tcPr>
          <w:p w14:paraId="1374591B" w14:textId="77777777" w:rsidR="00A16990" w:rsidRPr="002601F8" w:rsidRDefault="00A16990" w:rsidP="001C7188">
            <w:pPr>
              <w:rPr>
                <w:u w:val="single"/>
              </w:rPr>
            </w:pPr>
          </w:p>
        </w:tc>
        <w:tc>
          <w:tcPr>
            <w:tcW w:w="284" w:type="dxa"/>
            <w:shd w:val="clear" w:color="auto" w:fill="auto"/>
          </w:tcPr>
          <w:p w14:paraId="718B249E" w14:textId="77777777" w:rsidR="00A16990" w:rsidRPr="002601F8" w:rsidRDefault="00A16990" w:rsidP="001C7188">
            <w:pPr>
              <w:rPr>
                <w:u w:val="single"/>
              </w:rPr>
            </w:pPr>
          </w:p>
        </w:tc>
        <w:tc>
          <w:tcPr>
            <w:tcW w:w="3968" w:type="dxa"/>
            <w:shd w:val="clear" w:color="auto" w:fill="auto"/>
          </w:tcPr>
          <w:p w14:paraId="0208AA01" w14:textId="77777777" w:rsidR="00A16990" w:rsidRPr="002601F8" w:rsidRDefault="00A16990" w:rsidP="001C7188">
            <w:pPr>
              <w:pStyle w:val="NaSted"/>
              <w:rPr>
                <w:lang w:val="en-US"/>
              </w:rPr>
            </w:pPr>
          </w:p>
        </w:tc>
        <w:tc>
          <w:tcPr>
            <w:tcW w:w="284" w:type="dxa"/>
            <w:shd w:val="clear" w:color="auto" w:fill="auto"/>
          </w:tcPr>
          <w:p w14:paraId="216E8B5B" w14:textId="77777777" w:rsidR="00A16990" w:rsidRPr="002601F8" w:rsidRDefault="00A16990" w:rsidP="001C7188">
            <w:pPr>
              <w:rPr>
                <w:u w:val="single"/>
              </w:rPr>
            </w:pPr>
          </w:p>
        </w:tc>
      </w:tr>
    </w:tbl>
    <w:p w14:paraId="72A0BABD" w14:textId="77777777" w:rsidR="00630396" w:rsidRPr="00630396" w:rsidRDefault="00630396" w:rsidP="00630396"/>
    <w:p w14:paraId="029EE45F" w14:textId="77777777" w:rsidR="007A0922" w:rsidRDefault="007A0922" w:rsidP="00630396">
      <w:pPr>
        <w:pStyle w:val="zkl"/>
        <w:rPr>
          <w:snapToGrid w:val="0"/>
          <w:szCs w:val="24"/>
        </w:rPr>
      </w:pPr>
    </w:p>
    <w:p w14:paraId="24ABB873" w14:textId="77777777" w:rsidR="007A0922" w:rsidRDefault="007A0922" w:rsidP="00630396">
      <w:pPr>
        <w:pStyle w:val="zkl"/>
        <w:rPr>
          <w:snapToGrid w:val="0"/>
          <w:szCs w:val="24"/>
        </w:rPr>
      </w:pPr>
    </w:p>
    <w:p w14:paraId="6ACFE680" w14:textId="77777777" w:rsidR="007A0922" w:rsidRDefault="007A0922" w:rsidP="00630396">
      <w:pPr>
        <w:pStyle w:val="zkl"/>
        <w:rPr>
          <w:snapToGrid w:val="0"/>
          <w:szCs w:val="24"/>
        </w:rPr>
      </w:pPr>
    </w:p>
    <w:p w14:paraId="44CA9B5C" w14:textId="77777777" w:rsidR="007A0922" w:rsidRDefault="007A0922" w:rsidP="00630396">
      <w:pPr>
        <w:pStyle w:val="zkl"/>
        <w:rPr>
          <w:snapToGrid w:val="0"/>
          <w:szCs w:val="24"/>
        </w:rPr>
      </w:pPr>
    </w:p>
    <w:p w14:paraId="1B28CA7E" w14:textId="77777777" w:rsidR="00A14E65" w:rsidRPr="003A591C" w:rsidRDefault="001D5C98" w:rsidP="00630396">
      <w:pPr>
        <w:pStyle w:val="zkl"/>
      </w:pPr>
      <w:r w:rsidRPr="00892363">
        <w:rPr>
          <w:snapToGrid w:val="0"/>
          <w:szCs w:val="24"/>
        </w:rPr>
        <w:t>Zkoušející</w:t>
      </w:r>
      <w:r w:rsidR="00A14E65" w:rsidRPr="003A591C">
        <w:t xml:space="preserve"> se podpisem této smlouvy zavazuje plnit veškeré povinnosti uložené touto smlouvou </w:t>
      </w:r>
      <w:r w:rsidR="002F3538" w:rsidRPr="003A591C">
        <w:t>z</w:t>
      </w:r>
      <w:r w:rsidRPr="003A591C">
        <w:t>koušející</w:t>
      </w:r>
      <w:r w:rsidR="00A14E65" w:rsidRPr="003A591C">
        <w:t xml:space="preserve">mu i veškeré povinnosti uložené touto smlouvou </w:t>
      </w:r>
      <w:r w:rsidR="00BE2C23" w:rsidRPr="003A591C">
        <w:t>poskytovateli</w:t>
      </w:r>
      <w:r w:rsidR="00A14E65" w:rsidRPr="003A591C">
        <w:t xml:space="preserve">, neboť </w:t>
      </w:r>
      <w:r w:rsidR="00BE2C23" w:rsidRPr="003A591C">
        <w:t>poskytovatel</w:t>
      </w:r>
      <w:r w:rsidR="00A14E65" w:rsidRPr="003A591C">
        <w:t xml:space="preserve"> provádí klinické </w:t>
      </w:r>
      <w:r w:rsidR="00BE2C23" w:rsidRPr="003A591C">
        <w:t>zkoušen</w:t>
      </w:r>
      <w:r w:rsidR="00A14E65" w:rsidRPr="003A591C">
        <w:t xml:space="preserve">í podle této smlouvy prostřednictvím </w:t>
      </w:r>
      <w:r w:rsidR="00986354" w:rsidRPr="003A591C">
        <w:t>z</w:t>
      </w:r>
      <w:r w:rsidRPr="003A591C">
        <w:t>koušející</w:t>
      </w:r>
      <w:r w:rsidR="00A14E65" w:rsidRPr="003A591C">
        <w:t xml:space="preserve">ho, jak je uvedeno v čl. </w:t>
      </w:r>
      <w:proofErr w:type="gramStart"/>
      <w:r w:rsidR="00A14E65" w:rsidRPr="003A591C">
        <w:t>1.4. této</w:t>
      </w:r>
      <w:proofErr w:type="gramEnd"/>
      <w:r w:rsidR="00A14E65" w:rsidRPr="003A591C">
        <w:t xml:space="preserve"> smlouvy.</w:t>
      </w:r>
    </w:p>
    <w:p w14:paraId="06ECF18F" w14:textId="6671972C" w:rsidR="00A14E65" w:rsidRPr="003A591C" w:rsidRDefault="001D5C98" w:rsidP="00630396">
      <w:pPr>
        <w:pStyle w:val="zkl"/>
      </w:pPr>
      <w:r w:rsidRPr="003A591C">
        <w:t>Zkoušející</w:t>
      </w:r>
      <w:r w:rsidR="00A14E65" w:rsidRPr="003A591C">
        <w:t xml:space="preserve"> se podpisem této smlouvy dále zavazuje plnit veškeré povinnosti </w:t>
      </w:r>
      <w:r w:rsidR="00986354" w:rsidRPr="003A591C">
        <w:t>z</w:t>
      </w:r>
      <w:r w:rsidRPr="003A591C">
        <w:t>koušející</w:t>
      </w:r>
      <w:r w:rsidR="00A14E65" w:rsidRPr="003A591C">
        <w:t xml:space="preserve">ho vyplývající z obecně závazných právních předpisů a z podmínek a zásad uvedených v čl. </w:t>
      </w:r>
      <w:proofErr w:type="gramStart"/>
      <w:r w:rsidR="00A14E65" w:rsidRPr="003A591C">
        <w:t>4.2. této</w:t>
      </w:r>
      <w:proofErr w:type="gramEnd"/>
      <w:r w:rsidR="00A14E65" w:rsidRPr="003A591C">
        <w:t xml:space="preserve"> smlouvy (včetně zásad správné klinické praxe).</w:t>
      </w:r>
    </w:p>
    <w:p w14:paraId="4AFBADC0" w14:textId="77777777" w:rsidR="0061728C" w:rsidRDefault="0061728C" w:rsidP="00FF49A5">
      <w:pPr>
        <w:rPr>
          <w:snapToGrid w:val="0"/>
        </w:rPr>
      </w:pPr>
    </w:p>
    <w:tbl>
      <w:tblPr>
        <w:tblW w:w="9072" w:type="dxa"/>
        <w:jc w:val="center"/>
        <w:tblLook w:val="01E0" w:firstRow="1" w:lastRow="1" w:firstColumn="1" w:lastColumn="1" w:noHBand="0" w:noVBand="0"/>
      </w:tblPr>
      <w:tblGrid>
        <w:gridCol w:w="284"/>
        <w:gridCol w:w="3968"/>
        <w:gridCol w:w="284"/>
        <w:gridCol w:w="284"/>
        <w:gridCol w:w="3968"/>
        <w:gridCol w:w="284"/>
      </w:tblGrid>
      <w:tr w:rsidR="00D622E9" w:rsidRPr="002601F8" w14:paraId="4BF221C2" w14:textId="77777777" w:rsidTr="002601F8">
        <w:trPr>
          <w:cantSplit/>
          <w:jc w:val="center"/>
        </w:trPr>
        <w:tc>
          <w:tcPr>
            <w:tcW w:w="4252" w:type="dxa"/>
            <w:gridSpan w:val="2"/>
            <w:shd w:val="clear" w:color="auto" w:fill="auto"/>
          </w:tcPr>
          <w:p w14:paraId="34457E6F" w14:textId="77777777" w:rsidR="00D622E9" w:rsidRPr="002601F8" w:rsidRDefault="00D622E9" w:rsidP="001C7188">
            <w:pPr>
              <w:rPr>
                <w:u w:val="single"/>
              </w:rPr>
            </w:pPr>
            <w:r w:rsidRPr="00B13D62">
              <w:t>V …………… dne …………</w:t>
            </w:r>
          </w:p>
        </w:tc>
        <w:tc>
          <w:tcPr>
            <w:tcW w:w="284" w:type="dxa"/>
            <w:shd w:val="clear" w:color="auto" w:fill="auto"/>
          </w:tcPr>
          <w:p w14:paraId="69104070" w14:textId="77777777" w:rsidR="00D622E9" w:rsidRPr="002601F8" w:rsidRDefault="00D622E9" w:rsidP="001C7188">
            <w:pPr>
              <w:rPr>
                <w:u w:val="single"/>
              </w:rPr>
            </w:pPr>
          </w:p>
        </w:tc>
        <w:tc>
          <w:tcPr>
            <w:tcW w:w="4252" w:type="dxa"/>
            <w:gridSpan w:val="2"/>
            <w:shd w:val="clear" w:color="auto" w:fill="auto"/>
          </w:tcPr>
          <w:p w14:paraId="2F84F9E8" w14:textId="77777777" w:rsidR="00D622E9" w:rsidRPr="002601F8" w:rsidRDefault="00D622E9" w:rsidP="001C7188">
            <w:pPr>
              <w:rPr>
                <w:u w:val="single"/>
              </w:rPr>
            </w:pPr>
          </w:p>
        </w:tc>
        <w:tc>
          <w:tcPr>
            <w:tcW w:w="284" w:type="dxa"/>
            <w:shd w:val="clear" w:color="auto" w:fill="auto"/>
          </w:tcPr>
          <w:p w14:paraId="1B73FE5E" w14:textId="77777777" w:rsidR="00D622E9" w:rsidRPr="002601F8" w:rsidRDefault="00D622E9" w:rsidP="001C7188">
            <w:pPr>
              <w:rPr>
                <w:u w:val="single"/>
              </w:rPr>
            </w:pPr>
          </w:p>
        </w:tc>
      </w:tr>
      <w:tr w:rsidR="002601F8" w:rsidRPr="002601F8" w14:paraId="1AB5B6D1" w14:textId="77777777" w:rsidTr="002601F8">
        <w:trPr>
          <w:cantSplit/>
          <w:trHeight w:val="1134"/>
          <w:jc w:val="center"/>
        </w:trPr>
        <w:tc>
          <w:tcPr>
            <w:tcW w:w="284" w:type="dxa"/>
            <w:shd w:val="clear" w:color="auto" w:fill="auto"/>
          </w:tcPr>
          <w:p w14:paraId="2305DF81" w14:textId="77777777" w:rsidR="00D622E9" w:rsidRPr="002601F8" w:rsidRDefault="00D622E9" w:rsidP="001C7188">
            <w:pPr>
              <w:rPr>
                <w:u w:val="single"/>
              </w:rPr>
            </w:pPr>
          </w:p>
        </w:tc>
        <w:tc>
          <w:tcPr>
            <w:tcW w:w="3968" w:type="dxa"/>
            <w:tcBorders>
              <w:bottom w:val="dashed" w:sz="4" w:space="0" w:color="auto"/>
            </w:tcBorders>
            <w:shd w:val="clear" w:color="auto" w:fill="auto"/>
          </w:tcPr>
          <w:p w14:paraId="335C0B0A" w14:textId="77777777" w:rsidR="00D622E9" w:rsidRPr="002601F8" w:rsidRDefault="00D622E9" w:rsidP="001C7188">
            <w:pPr>
              <w:rPr>
                <w:u w:val="single"/>
              </w:rPr>
            </w:pPr>
          </w:p>
        </w:tc>
        <w:tc>
          <w:tcPr>
            <w:tcW w:w="284" w:type="dxa"/>
            <w:shd w:val="clear" w:color="auto" w:fill="auto"/>
          </w:tcPr>
          <w:p w14:paraId="6D205ACB" w14:textId="77777777" w:rsidR="00D622E9" w:rsidRPr="002601F8" w:rsidRDefault="00D622E9" w:rsidP="001C7188">
            <w:pPr>
              <w:rPr>
                <w:u w:val="single"/>
              </w:rPr>
            </w:pPr>
          </w:p>
        </w:tc>
        <w:tc>
          <w:tcPr>
            <w:tcW w:w="284" w:type="dxa"/>
            <w:shd w:val="clear" w:color="auto" w:fill="auto"/>
          </w:tcPr>
          <w:p w14:paraId="0D4807A0" w14:textId="77777777" w:rsidR="00D622E9" w:rsidRPr="002601F8" w:rsidRDefault="00D622E9" w:rsidP="001C7188">
            <w:pPr>
              <w:rPr>
                <w:u w:val="single"/>
              </w:rPr>
            </w:pPr>
          </w:p>
        </w:tc>
        <w:tc>
          <w:tcPr>
            <w:tcW w:w="3968" w:type="dxa"/>
            <w:shd w:val="clear" w:color="auto" w:fill="auto"/>
          </w:tcPr>
          <w:p w14:paraId="1F592B91" w14:textId="77777777" w:rsidR="00D622E9" w:rsidRPr="002601F8" w:rsidRDefault="00D622E9" w:rsidP="001C7188">
            <w:pPr>
              <w:rPr>
                <w:u w:val="single"/>
              </w:rPr>
            </w:pPr>
          </w:p>
        </w:tc>
        <w:tc>
          <w:tcPr>
            <w:tcW w:w="284" w:type="dxa"/>
            <w:shd w:val="clear" w:color="auto" w:fill="auto"/>
          </w:tcPr>
          <w:p w14:paraId="3AE9141F" w14:textId="77777777" w:rsidR="00D622E9" w:rsidRPr="002601F8" w:rsidRDefault="00D622E9" w:rsidP="001C7188">
            <w:pPr>
              <w:rPr>
                <w:u w:val="single"/>
              </w:rPr>
            </w:pPr>
          </w:p>
        </w:tc>
      </w:tr>
      <w:tr w:rsidR="002601F8" w:rsidRPr="002601F8" w14:paraId="43036D26" w14:textId="77777777" w:rsidTr="002601F8">
        <w:trPr>
          <w:cantSplit/>
          <w:jc w:val="center"/>
        </w:trPr>
        <w:tc>
          <w:tcPr>
            <w:tcW w:w="284" w:type="dxa"/>
            <w:shd w:val="clear" w:color="auto" w:fill="auto"/>
          </w:tcPr>
          <w:p w14:paraId="48332354" w14:textId="77777777" w:rsidR="00D622E9" w:rsidRPr="002601F8" w:rsidRDefault="00D622E9" w:rsidP="001C7188">
            <w:pPr>
              <w:rPr>
                <w:u w:val="single"/>
              </w:rPr>
            </w:pPr>
          </w:p>
        </w:tc>
        <w:tc>
          <w:tcPr>
            <w:tcW w:w="3968" w:type="dxa"/>
            <w:tcBorders>
              <w:top w:val="dashed" w:sz="4" w:space="0" w:color="auto"/>
            </w:tcBorders>
            <w:shd w:val="clear" w:color="auto" w:fill="auto"/>
          </w:tcPr>
          <w:p w14:paraId="6CDF1837" w14:textId="23566322" w:rsidR="00D622E9" w:rsidRDefault="00D622E9" w:rsidP="001C7188">
            <w:pPr>
              <w:pStyle w:val="NaSted"/>
            </w:pPr>
          </w:p>
        </w:tc>
        <w:tc>
          <w:tcPr>
            <w:tcW w:w="284" w:type="dxa"/>
            <w:shd w:val="clear" w:color="auto" w:fill="auto"/>
          </w:tcPr>
          <w:p w14:paraId="45B0F9DB" w14:textId="77777777" w:rsidR="00D622E9" w:rsidRPr="002601F8" w:rsidRDefault="00D622E9" w:rsidP="001C7188">
            <w:pPr>
              <w:rPr>
                <w:u w:val="single"/>
              </w:rPr>
            </w:pPr>
          </w:p>
        </w:tc>
        <w:tc>
          <w:tcPr>
            <w:tcW w:w="284" w:type="dxa"/>
            <w:shd w:val="clear" w:color="auto" w:fill="auto"/>
          </w:tcPr>
          <w:p w14:paraId="316E1469" w14:textId="77777777" w:rsidR="00D622E9" w:rsidRPr="002601F8" w:rsidRDefault="00D622E9" w:rsidP="001C7188">
            <w:pPr>
              <w:rPr>
                <w:u w:val="single"/>
              </w:rPr>
            </w:pPr>
          </w:p>
        </w:tc>
        <w:tc>
          <w:tcPr>
            <w:tcW w:w="3968" w:type="dxa"/>
            <w:shd w:val="clear" w:color="auto" w:fill="auto"/>
          </w:tcPr>
          <w:p w14:paraId="6711CF6B" w14:textId="77777777" w:rsidR="00D622E9" w:rsidRDefault="00D622E9" w:rsidP="001C7188">
            <w:pPr>
              <w:pStyle w:val="NaSted"/>
            </w:pPr>
          </w:p>
        </w:tc>
        <w:tc>
          <w:tcPr>
            <w:tcW w:w="284" w:type="dxa"/>
            <w:shd w:val="clear" w:color="auto" w:fill="auto"/>
          </w:tcPr>
          <w:p w14:paraId="314F1C74" w14:textId="77777777" w:rsidR="00D622E9" w:rsidRPr="002601F8" w:rsidRDefault="00D622E9" w:rsidP="001C7188">
            <w:pPr>
              <w:rPr>
                <w:u w:val="single"/>
              </w:rPr>
            </w:pPr>
          </w:p>
        </w:tc>
      </w:tr>
      <w:tr w:rsidR="002601F8" w:rsidRPr="002601F8" w14:paraId="5F498B6E" w14:textId="77777777" w:rsidTr="002601F8">
        <w:trPr>
          <w:cantSplit/>
          <w:jc w:val="center"/>
        </w:trPr>
        <w:tc>
          <w:tcPr>
            <w:tcW w:w="284" w:type="dxa"/>
            <w:shd w:val="clear" w:color="auto" w:fill="auto"/>
          </w:tcPr>
          <w:p w14:paraId="757F30EE" w14:textId="77777777" w:rsidR="00D622E9" w:rsidRPr="002601F8" w:rsidRDefault="00D622E9" w:rsidP="001C7188">
            <w:pPr>
              <w:rPr>
                <w:u w:val="single"/>
              </w:rPr>
            </w:pPr>
          </w:p>
        </w:tc>
        <w:tc>
          <w:tcPr>
            <w:tcW w:w="3968" w:type="dxa"/>
            <w:shd w:val="clear" w:color="auto" w:fill="auto"/>
          </w:tcPr>
          <w:p w14:paraId="2B850A68" w14:textId="122A1031" w:rsidR="00D622E9" w:rsidRDefault="00D622E9" w:rsidP="001C7188">
            <w:pPr>
              <w:pStyle w:val="NaSted"/>
            </w:pPr>
          </w:p>
        </w:tc>
        <w:tc>
          <w:tcPr>
            <w:tcW w:w="284" w:type="dxa"/>
            <w:shd w:val="clear" w:color="auto" w:fill="auto"/>
          </w:tcPr>
          <w:p w14:paraId="29ECF9A5" w14:textId="77777777" w:rsidR="00D622E9" w:rsidRPr="002601F8" w:rsidRDefault="00D622E9" w:rsidP="001C7188">
            <w:pPr>
              <w:rPr>
                <w:u w:val="single"/>
              </w:rPr>
            </w:pPr>
          </w:p>
        </w:tc>
        <w:tc>
          <w:tcPr>
            <w:tcW w:w="284" w:type="dxa"/>
            <w:shd w:val="clear" w:color="auto" w:fill="auto"/>
          </w:tcPr>
          <w:p w14:paraId="0331FBD2" w14:textId="77777777" w:rsidR="00D622E9" w:rsidRPr="002601F8" w:rsidRDefault="00D622E9" w:rsidP="001C7188">
            <w:pPr>
              <w:rPr>
                <w:u w:val="single"/>
              </w:rPr>
            </w:pPr>
          </w:p>
        </w:tc>
        <w:tc>
          <w:tcPr>
            <w:tcW w:w="3968" w:type="dxa"/>
            <w:shd w:val="clear" w:color="auto" w:fill="auto"/>
          </w:tcPr>
          <w:p w14:paraId="2F9668B4" w14:textId="77777777" w:rsidR="00D622E9" w:rsidRDefault="00D622E9" w:rsidP="001C7188">
            <w:pPr>
              <w:pStyle w:val="NaSted"/>
            </w:pPr>
          </w:p>
        </w:tc>
        <w:tc>
          <w:tcPr>
            <w:tcW w:w="284" w:type="dxa"/>
            <w:shd w:val="clear" w:color="auto" w:fill="auto"/>
          </w:tcPr>
          <w:p w14:paraId="383B8AD3" w14:textId="77777777" w:rsidR="00D622E9" w:rsidRPr="002601F8" w:rsidRDefault="00D622E9" w:rsidP="001C7188">
            <w:pPr>
              <w:rPr>
                <w:u w:val="single"/>
              </w:rPr>
            </w:pPr>
          </w:p>
        </w:tc>
      </w:tr>
      <w:tr w:rsidR="002601F8" w:rsidRPr="002601F8" w14:paraId="5F57F632" w14:textId="77777777" w:rsidTr="002601F8">
        <w:trPr>
          <w:cantSplit/>
          <w:jc w:val="center"/>
        </w:trPr>
        <w:tc>
          <w:tcPr>
            <w:tcW w:w="284" w:type="dxa"/>
            <w:shd w:val="clear" w:color="auto" w:fill="auto"/>
          </w:tcPr>
          <w:p w14:paraId="2376DF71" w14:textId="77777777" w:rsidR="00D622E9" w:rsidRPr="002601F8" w:rsidRDefault="00D622E9" w:rsidP="001C7188">
            <w:pPr>
              <w:rPr>
                <w:u w:val="single"/>
              </w:rPr>
            </w:pPr>
          </w:p>
        </w:tc>
        <w:tc>
          <w:tcPr>
            <w:tcW w:w="3968" w:type="dxa"/>
            <w:shd w:val="clear" w:color="auto" w:fill="auto"/>
          </w:tcPr>
          <w:p w14:paraId="207ACDF9" w14:textId="499ACDE8" w:rsidR="002C6F79" w:rsidRDefault="00072273" w:rsidP="00EE3F44">
            <w:pPr>
              <w:pStyle w:val="NaSted"/>
              <w:rPr>
                <w:rStyle w:val="Zvraznn"/>
              </w:rPr>
            </w:pPr>
            <w:proofErr w:type="spellStart"/>
            <w:r w:rsidRPr="00072273">
              <w:rPr>
                <w:rStyle w:val="Zvraznn"/>
                <w:highlight w:val="black"/>
              </w:rPr>
              <w:t>xxxxxxxxxxxxxxxxxxxxx</w:t>
            </w:r>
            <w:proofErr w:type="spellEnd"/>
          </w:p>
          <w:p w14:paraId="2266BBC8" w14:textId="161A1664" w:rsidR="00D622E9" w:rsidRPr="003A591C" w:rsidRDefault="00072273" w:rsidP="00EE3F44">
            <w:pPr>
              <w:pStyle w:val="NaSted"/>
            </w:pPr>
            <w:proofErr w:type="spellStart"/>
            <w:r w:rsidRPr="00072273">
              <w:rPr>
                <w:rStyle w:val="Zvraznn"/>
                <w:highlight w:val="black"/>
              </w:rPr>
              <w:t>xxxxxxxxxxxx</w:t>
            </w:r>
            <w:proofErr w:type="spellEnd"/>
          </w:p>
        </w:tc>
        <w:tc>
          <w:tcPr>
            <w:tcW w:w="284" w:type="dxa"/>
            <w:shd w:val="clear" w:color="auto" w:fill="auto"/>
          </w:tcPr>
          <w:p w14:paraId="5A3EB74E" w14:textId="77777777" w:rsidR="00D622E9" w:rsidRPr="002601F8" w:rsidRDefault="00D622E9" w:rsidP="001C7188">
            <w:pPr>
              <w:rPr>
                <w:u w:val="single"/>
              </w:rPr>
            </w:pPr>
          </w:p>
        </w:tc>
        <w:tc>
          <w:tcPr>
            <w:tcW w:w="284" w:type="dxa"/>
            <w:shd w:val="clear" w:color="auto" w:fill="auto"/>
          </w:tcPr>
          <w:p w14:paraId="330B0866" w14:textId="77777777" w:rsidR="00D622E9" w:rsidRPr="002601F8" w:rsidRDefault="00D622E9" w:rsidP="001C7188">
            <w:pPr>
              <w:rPr>
                <w:u w:val="single"/>
              </w:rPr>
            </w:pPr>
          </w:p>
        </w:tc>
        <w:tc>
          <w:tcPr>
            <w:tcW w:w="3968" w:type="dxa"/>
            <w:shd w:val="clear" w:color="auto" w:fill="auto"/>
          </w:tcPr>
          <w:p w14:paraId="494DFB75" w14:textId="77777777" w:rsidR="00D622E9" w:rsidRPr="00A84F0D" w:rsidRDefault="00D622E9" w:rsidP="001C7188">
            <w:pPr>
              <w:pStyle w:val="NaSted"/>
            </w:pPr>
          </w:p>
        </w:tc>
        <w:tc>
          <w:tcPr>
            <w:tcW w:w="284" w:type="dxa"/>
            <w:shd w:val="clear" w:color="auto" w:fill="auto"/>
          </w:tcPr>
          <w:p w14:paraId="4FB49F81" w14:textId="77777777" w:rsidR="00D622E9" w:rsidRPr="002601F8" w:rsidRDefault="00D622E9" w:rsidP="001C7188">
            <w:pPr>
              <w:rPr>
                <w:u w:val="single"/>
              </w:rPr>
            </w:pPr>
          </w:p>
        </w:tc>
      </w:tr>
    </w:tbl>
    <w:p w14:paraId="4C8CD04D" w14:textId="77777777" w:rsidR="00D622E9" w:rsidRDefault="00D622E9" w:rsidP="00FF49A5">
      <w:pPr>
        <w:rPr>
          <w:snapToGrid w:val="0"/>
        </w:rPr>
      </w:pPr>
    </w:p>
    <w:p w14:paraId="512008A4" w14:textId="77777777" w:rsidR="001D2EC4" w:rsidRPr="003A591C" w:rsidRDefault="0074571C" w:rsidP="00FF49A5">
      <w:pPr>
        <w:rPr>
          <w:snapToGrid w:val="0"/>
        </w:rPr>
      </w:pPr>
      <w:r w:rsidRPr="003A591C">
        <w:rPr>
          <w:snapToGrid w:val="0"/>
        </w:rPr>
        <w:t>Přílohy:</w:t>
      </w:r>
    </w:p>
    <w:p w14:paraId="54F86048" w14:textId="77777777" w:rsidR="0074571C" w:rsidRPr="003A591C" w:rsidRDefault="0074571C" w:rsidP="00FF49A5">
      <w:pPr>
        <w:rPr>
          <w:snapToGrid w:val="0"/>
        </w:rPr>
      </w:pPr>
    </w:p>
    <w:p w14:paraId="579288CA" w14:textId="59188893" w:rsidR="00002599" w:rsidRPr="003A591C" w:rsidRDefault="0014314D" w:rsidP="00FF49A5">
      <w:r>
        <w:rPr>
          <w:snapToGrid w:val="0"/>
        </w:rPr>
        <w:t>Příloha č. 1</w:t>
      </w:r>
      <w:r w:rsidR="00002599" w:rsidRPr="003A591C">
        <w:rPr>
          <w:snapToGrid w:val="0"/>
        </w:rPr>
        <w:t>:</w:t>
      </w:r>
      <w:r w:rsidR="00002599" w:rsidRPr="003A591C">
        <w:rPr>
          <w:snapToGrid w:val="0"/>
        </w:rPr>
        <w:tab/>
      </w:r>
      <w:r w:rsidR="004343A5" w:rsidRPr="003A591C">
        <w:rPr>
          <w:snapToGrid w:val="0"/>
        </w:rPr>
        <w:t xml:space="preserve">Prohlášení </w:t>
      </w:r>
      <w:r w:rsidR="00EE3F44">
        <w:rPr>
          <w:snapToGrid w:val="0"/>
        </w:rPr>
        <w:t>z</w:t>
      </w:r>
      <w:r w:rsidR="001D5C98" w:rsidRPr="003A591C">
        <w:rPr>
          <w:snapToGrid w:val="0"/>
        </w:rPr>
        <w:t>koušející</w:t>
      </w:r>
      <w:r w:rsidR="00A14E65" w:rsidRPr="003A591C">
        <w:rPr>
          <w:snapToGrid w:val="0"/>
        </w:rPr>
        <w:t xml:space="preserve">ho </w:t>
      </w:r>
    </w:p>
    <w:p w14:paraId="2B969709" w14:textId="29469B83" w:rsidR="00002599" w:rsidRPr="003A591C" w:rsidRDefault="0014314D" w:rsidP="00FF49A5">
      <w:pPr>
        <w:rPr>
          <w:snapToGrid w:val="0"/>
        </w:rPr>
      </w:pPr>
      <w:r>
        <w:rPr>
          <w:snapToGrid w:val="0"/>
        </w:rPr>
        <w:t>Příloha č. 2</w:t>
      </w:r>
      <w:r w:rsidR="00002599" w:rsidRPr="003A591C">
        <w:rPr>
          <w:snapToGrid w:val="0"/>
        </w:rPr>
        <w:t>:</w:t>
      </w:r>
      <w:r w:rsidR="00002599" w:rsidRPr="003A591C">
        <w:rPr>
          <w:snapToGrid w:val="0"/>
        </w:rPr>
        <w:tab/>
      </w:r>
      <w:r w:rsidR="00EE3F44">
        <w:t xml:space="preserve">Potvrzení o </w:t>
      </w:r>
      <w:r w:rsidR="00002599" w:rsidRPr="003A591C">
        <w:t>poji</w:t>
      </w:r>
      <w:r w:rsidR="00D05587">
        <w:t>š</w:t>
      </w:r>
      <w:r w:rsidR="00002599" w:rsidRPr="003A591C">
        <w:t>t</w:t>
      </w:r>
      <w:r w:rsidR="00D05587">
        <w:t>ění</w:t>
      </w:r>
    </w:p>
    <w:p w14:paraId="4B2CEC17" w14:textId="14C8BE4B" w:rsidR="00002599" w:rsidRPr="00AB13E7" w:rsidRDefault="0014314D" w:rsidP="00FF49A5">
      <w:pPr>
        <w:rPr>
          <w:snapToGrid w:val="0"/>
        </w:rPr>
      </w:pPr>
      <w:r>
        <w:rPr>
          <w:snapToGrid w:val="0"/>
        </w:rPr>
        <w:t>Příloha č. 3</w:t>
      </w:r>
      <w:r w:rsidR="00002599" w:rsidRPr="003A591C">
        <w:rPr>
          <w:snapToGrid w:val="0"/>
        </w:rPr>
        <w:t>:</w:t>
      </w:r>
      <w:r w:rsidR="00002599" w:rsidRPr="003A591C">
        <w:rPr>
          <w:snapToGrid w:val="0"/>
        </w:rPr>
        <w:tab/>
        <w:t xml:space="preserve">Platební schéma pro vyplacení odměn </w:t>
      </w:r>
      <w:r w:rsidR="002C6F79">
        <w:rPr>
          <w:snapToGrid w:val="0"/>
        </w:rPr>
        <w:t>Ne</w:t>
      </w:r>
      <w:bookmarkStart w:id="76" w:name="_GoBack"/>
      <w:bookmarkEnd w:id="76"/>
      <w:r w:rsidR="002C6F79">
        <w:rPr>
          <w:snapToGrid w:val="0"/>
        </w:rPr>
        <w:t>mocnici Na Homolce</w:t>
      </w:r>
    </w:p>
    <w:sectPr w:rsidR="00002599" w:rsidRPr="00AB13E7" w:rsidSect="00EF27D7">
      <w:footerReference w:type="even" r:id="rId9"/>
      <w:footerReference w:type="default" r:id="rId10"/>
      <w:type w:val="continuous"/>
      <w:pgSz w:w="11906" w:h="16838"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35890" w14:textId="77777777" w:rsidR="0078342F" w:rsidRDefault="0078342F">
      <w:r>
        <w:separator/>
      </w:r>
    </w:p>
  </w:endnote>
  <w:endnote w:type="continuationSeparator" w:id="0">
    <w:p w14:paraId="38744A01" w14:textId="77777777" w:rsidR="0078342F" w:rsidRDefault="0078342F">
      <w:r>
        <w:continuationSeparator/>
      </w:r>
    </w:p>
  </w:endnote>
  <w:endnote w:type="continuationNotice" w:id="1">
    <w:p w14:paraId="3DD5380F" w14:textId="77777777" w:rsidR="0078342F" w:rsidRDefault="00783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22618" w14:textId="77777777" w:rsidR="00BA449D" w:rsidRDefault="00BA449D" w:rsidP="00B11E5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0C2608" w14:textId="77777777" w:rsidR="00BA449D" w:rsidRDefault="00BA449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F62DA" w14:textId="77777777" w:rsidR="00BA449D" w:rsidRPr="00D622E9" w:rsidRDefault="00BA449D" w:rsidP="00D622E9">
    <w:pPr>
      <w:pStyle w:val="Zpat"/>
    </w:pPr>
    <w:r>
      <w:tab/>
      <w:t xml:space="preserve">strana </w:t>
    </w:r>
    <w:r>
      <w:rPr>
        <w:rStyle w:val="slostrnky"/>
      </w:rPr>
      <w:fldChar w:fldCharType="begin"/>
    </w:r>
    <w:r>
      <w:rPr>
        <w:rStyle w:val="slostrnky"/>
      </w:rPr>
      <w:instrText xml:space="preserve"> PAGE </w:instrText>
    </w:r>
    <w:r>
      <w:rPr>
        <w:rStyle w:val="slostrnky"/>
      </w:rPr>
      <w:fldChar w:fldCharType="separate"/>
    </w:r>
    <w:r w:rsidR="00072273">
      <w:rPr>
        <w:rStyle w:val="slostrnky"/>
        <w:noProof/>
      </w:rPr>
      <w:t>2</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sidR="00072273">
      <w:rPr>
        <w:rStyle w:val="slostrnky"/>
        <w:noProof/>
      </w:rPr>
      <w:t>16</w:t>
    </w:r>
    <w:r>
      <w:rPr>
        <w:rStyle w:val="slostrnky"/>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71DB3" w14:textId="77777777" w:rsidR="0078342F" w:rsidRDefault="0078342F">
      <w:r>
        <w:separator/>
      </w:r>
    </w:p>
  </w:footnote>
  <w:footnote w:type="continuationSeparator" w:id="0">
    <w:p w14:paraId="378AB49B" w14:textId="77777777" w:rsidR="0078342F" w:rsidRDefault="0078342F">
      <w:r>
        <w:continuationSeparator/>
      </w:r>
    </w:p>
  </w:footnote>
  <w:footnote w:type="continuationNotice" w:id="1">
    <w:p w14:paraId="1F674D32" w14:textId="77777777" w:rsidR="0078342F" w:rsidRDefault="007834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515"/>
    <w:multiLevelType w:val="multilevel"/>
    <w:tmpl w:val="BFEEAE1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lowerLetter"/>
      <w:pStyle w:val="Nadpis3"/>
      <w:lvlText w:val="%3)"/>
      <w:lvlJc w:val="left"/>
      <w:pPr>
        <w:tabs>
          <w:tab w:val="num" w:pos="1134"/>
        </w:tabs>
        <w:ind w:left="1134" w:hanging="567"/>
      </w:pPr>
      <w:rPr>
        <w:rFonts w:hint="default"/>
      </w:rPr>
    </w:lvl>
    <w:lvl w:ilvl="3">
      <w:start w:val="1"/>
      <w:numFmt w:val="decimal"/>
      <w:pStyle w:val="Nadpis4"/>
      <w:lvlText w:val="%4."/>
      <w:lvlJc w:val="left"/>
      <w:pPr>
        <w:tabs>
          <w:tab w:val="num" w:pos="1588"/>
        </w:tabs>
        <w:ind w:left="1588" w:hanging="454"/>
      </w:pPr>
      <w:rPr>
        <w:rFonts w:hint="default"/>
      </w:rPr>
    </w:lvl>
    <w:lvl w:ilvl="4">
      <w:start w:val="1"/>
      <w:numFmt w:val="none"/>
      <w:pStyle w:val="Nadpis5"/>
      <w:lvlText w:val=""/>
      <w:lvlJc w:val="left"/>
      <w:pPr>
        <w:tabs>
          <w:tab w:val="num" w:pos="0"/>
        </w:tabs>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F2"/>
    <w:rsid w:val="00002599"/>
    <w:rsid w:val="0000388E"/>
    <w:rsid w:val="000038E7"/>
    <w:rsid w:val="00006075"/>
    <w:rsid w:val="00007435"/>
    <w:rsid w:val="0001204A"/>
    <w:rsid w:val="0001324E"/>
    <w:rsid w:val="000161A1"/>
    <w:rsid w:val="000169D1"/>
    <w:rsid w:val="000169FD"/>
    <w:rsid w:val="00017B18"/>
    <w:rsid w:val="000213A9"/>
    <w:rsid w:val="00022DEF"/>
    <w:rsid w:val="000232B9"/>
    <w:rsid w:val="00025D1D"/>
    <w:rsid w:val="00025E92"/>
    <w:rsid w:val="0002772B"/>
    <w:rsid w:val="000369BA"/>
    <w:rsid w:val="000453AA"/>
    <w:rsid w:val="00046792"/>
    <w:rsid w:val="00047F02"/>
    <w:rsid w:val="000511A0"/>
    <w:rsid w:val="00053224"/>
    <w:rsid w:val="0005575A"/>
    <w:rsid w:val="00056FFC"/>
    <w:rsid w:val="00057E17"/>
    <w:rsid w:val="0006142F"/>
    <w:rsid w:val="00064445"/>
    <w:rsid w:val="000708CE"/>
    <w:rsid w:val="0007118A"/>
    <w:rsid w:val="000713C3"/>
    <w:rsid w:val="00072273"/>
    <w:rsid w:val="00074013"/>
    <w:rsid w:val="00075386"/>
    <w:rsid w:val="00080D8C"/>
    <w:rsid w:val="00081B9D"/>
    <w:rsid w:val="0008389D"/>
    <w:rsid w:val="000864DF"/>
    <w:rsid w:val="000959BA"/>
    <w:rsid w:val="000A0131"/>
    <w:rsid w:val="000A3C8A"/>
    <w:rsid w:val="000A4F6E"/>
    <w:rsid w:val="000A541B"/>
    <w:rsid w:val="000A7B18"/>
    <w:rsid w:val="000B54F3"/>
    <w:rsid w:val="000B5E00"/>
    <w:rsid w:val="000B763F"/>
    <w:rsid w:val="000C3141"/>
    <w:rsid w:val="000C5E0B"/>
    <w:rsid w:val="000D04EE"/>
    <w:rsid w:val="000D3418"/>
    <w:rsid w:val="000D693F"/>
    <w:rsid w:val="000D6F7D"/>
    <w:rsid w:val="000D723B"/>
    <w:rsid w:val="000D7289"/>
    <w:rsid w:val="000D7FE7"/>
    <w:rsid w:val="000F08C6"/>
    <w:rsid w:val="000F15F8"/>
    <w:rsid w:val="000F319C"/>
    <w:rsid w:val="000F37FC"/>
    <w:rsid w:val="000F4D73"/>
    <w:rsid w:val="000F767C"/>
    <w:rsid w:val="00103847"/>
    <w:rsid w:val="0010392D"/>
    <w:rsid w:val="00106D61"/>
    <w:rsid w:val="00111235"/>
    <w:rsid w:val="00111BF1"/>
    <w:rsid w:val="001142BC"/>
    <w:rsid w:val="001201D2"/>
    <w:rsid w:val="00121A00"/>
    <w:rsid w:val="00124BFA"/>
    <w:rsid w:val="00126A19"/>
    <w:rsid w:val="0012789F"/>
    <w:rsid w:val="001304AD"/>
    <w:rsid w:val="0013202A"/>
    <w:rsid w:val="001340C2"/>
    <w:rsid w:val="001347CB"/>
    <w:rsid w:val="00134C15"/>
    <w:rsid w:val="00134C7A"/>
    <w:rsid w:val="00136ADC"/>
    <w:rsid w:val="0014314D"/>
    <w:rsid w:val="00156698"/>
    <w:rsid w:val="0015681E"/>
    <w:rsid w:val="00173E95"/>
    <w:rsid w:val="00175A21"/>
    <w:rsid w:val="001760EB"/>
    <w:rsid w:val="00181301"/>
    <w:rsid w:val="00182DEC"/>
    <w:rsid w:val="0018320C"/>
    <w:rsid w:val="00184E9F"/>
    <w:rsid w:val="001850AC"/>
    <w:rsid w:val="00186DB5"/>
    <w:rsid w:val="00191DEC"/>
    <w:rsid w:val="00194ADC"/>
    <w:rsid w:val="00197FA5"/>
    <w:rsid w:val="001A0478"/>
    <w:rsid w:val="001A2C09"/>
    <w:rsid w:val="001A30B5"/>
    <w:rsid w:val="001A5E22"/>
    <w:rsid w:val="001A74B3"/>
    <w:rsid w:val="001B13A1"/>
    <w:rsid w:val="001B213A"/>
    <w:rsid w:val="001B21BF"/>
    <w:rsid w:val="001B416E"/>
    <w:rsid w:val="001B75C1"/>
    <w:rsid w:val="001C1928"/>
    <w:rsid w:val="001C4BB9"/>
    <w:rsid w:val="001C7188"/>
    <w:rsid w:val="001D159C"/>
    <w:rsid w:val="001D16DA"/>
    <w:rsid w:val="001D2EC4"/>
    <w:rsid w:val="001D3CE1"/>
    <w:rsid w:val="001D5C98"/>
    <w:rsid w:val="001D78D8"/>
    <w:rsid w:val="001E2EF4"/>
    <w:rsid w:val="001E398E"/>
    <w:rsid w:val="001E5668"/>
    <w:rsid w:val="001E7FEB"/>
    <w:rsid w:val="001F0721"/>
    <w:rsid w:val="001F15A6"/>
    <w:rsid w:val="001F7EBB"/>
    <w:rsid w:val="00202ADE"/>
    <w:rsid w:val="00203E1E"/>
    <w:rsid w:val="002052F3"/>
    <w:rsid w:val="00211D9D"/>
    <w:rsid w:val="00214248"/>
    <w:rsid w:val="00214840"/>
    <w:rsid w:val="0021546A"/>
    <w:rsid w:val="00221AB9"/>
    <w:rsid w:val="0022218F"/>
    <w:rsid w:val="0022587A"/>
    <w:rsid w:val="0022673A"/>
    <w:rsid w:val="00226A4E"/>
    <w:rsid w:val="0022789D"/>
    <w:rsid w:val="002352AA"/>
    <w:rsid w:val="002365E5"/>
    <w:rsid w:val="002368C1"/>
    <w:rsid w:val="00241A25"/>
    <w:rsid w:val="0024362B"/>
    <w:rsid w:val="00245CBB"/>
    <w:rsid w:val="00247B45"/>
    <w:rsid w:val="00254BCE"/>
    <w:rsid w:val="002556E1"/>
    <w:rsid w:val="00256DB9"/>
    <w:rsid w:val="00257D3A"/>
    <w:rsid w:val="002601F8"/>
    <w:rsid w:val="0026160E"/>
    <w:rsid w:val="00262A61"/>
    <w:rsid w:val="00262D46"/>
    <w:rsid w:val="00265AC4"/>
    <w:rsid w:val="0027153F"/>
    <w:rsid w:val="002727CB"/>
    <w:rsid w:val="00280077"/>
    <w:rsid w:val="00282F41"/>
    <w:rsid w:val="002901CC"/>
    <w:rsid w:val="00291D84"/>
    <w:rsid w:val="00291E1C"/>
    <w:rsid w:val="00294928"/>
    <w:rsid w:val="00294971"/>
    <w:rsid w:val="00295DB4"/>
    <w:rsid w:val="00296428"/>
    <w:rsid w:val="002A1A62"/>
    <w:rsid w:val="002A3331"/>
    <w:rsid w:val="002A4EB3"/>
    <w:rsid w:val="002A61A7"/>
    <w:rsid w:val="002A6401"/>
    <w:rsid w:val="002A75C0"/>
    <w:rsid w:val="002B1A72"/>
    <w:rsid w:val="002B401E"/>
    <w:rsid w:val="002B49A0"/>
    <w:rsid w:val="002B504C"/>
    <w:rsid w:val="002B632B"/>
    <w:rsid w:val="002B6EB1"/>
    <w:rsid w:val="002C0468"/>
    <w:rsid w:val="002C0E96"/>
    <w:rsid w:val="002C67DD"/>
    <w:rsid w:val="002C6F79"/>
    <w:rsid w:val="002D1B8A"/>
    <w:rsid w:val="002D381A"/>
    <w:rsid w:val="002D3D4A"/>
    <w:rsid w:val="002D469F"/>
    <w:rsid w:val="002D69F8"/>
    <w:rsid w:val="002D751C"/>
    <w:rsid w:val="002D78A1"/>
    <w:rsid w:val="002F2087"/>
    <w:rsid w:val="002F33C2"/>
    <w:rsid w:val="002F3538"/>
    <w:rsid w:val="002F3B3E"/>
    <w:rsid w:val="002F53B5"/>
    <w:rsid w:val="003018B6"/>
    <w:rsid w:val="00303251"/>
    <w:rsid w:val="00303E50"/>
    <w:rsid w:val="00304395"/>
    <w:rsid w:val="0030450B"/>
    <w:rsid w:val="0030581A"/>
    <w:rsid w:val="00306EDA"/>
    <w:rsid w:val="003070CF"/>
    <w:rsid w:val="00310501"/>
    <w:rsid w:val="00310847"/>
    <w:rsid w:val="00310850"/>
    <w:rsid w:val="00316AE4"/>
    <w:rsid w:val="00320E4E"/>
    <w:rsid w:val="00327865"/>
    <w:rsid w:val="00332340"/>
    <w:rsid w:val="00335110"/>
    <w:rsid w:val="00341443"/>
    <w:rsid w:val="0034205A"/>
    <w:rsid w:val="003444A1"/>
    <w:rsid w:val="003459E8"/>
    <w:rsid w:val="00347AA2"/>
    <w:rsid w:val="00350126"/>
    <w:rsid w:val="00353812"/>
    <w:rsid w:val="003557A7"/>
    <w:rsid w:val="00355C19"/>
    <w:rsid w:val="00360319"/>
    <w:rsid w:val="00361A2E"/>
    <w:rsid w:val="00365C5D"/>
    <w:rsid w:val="00366852"/>
    <w:rsid w:val="00372FCE"/>
    <w:rsid w:val="00377998"/>
    <w:rsid w:val="00382846"/>
    <w:rsid w:val="00383659"/>
    <w:rsid w:val="00383CBA"/>
    <w:rsid w:val="0038492C"/>
    <w:rsid w:val="00386A9D"/>
    <w:rsid w:val="003918B2"/>
    <w:rsid w:val="00394998"/>
    <w:rsid w:val="00397050"/>
    <w:rsid w:val="003A094B"/>
    <w:rsid w:val="003A39D7"/>
    <w:rsid w:val="003A591C"/>
    <w:rsid w:val="003A6999"/>
    <w:rsid w:val="003B06D8"/>
    <w:rsid w:val="003B576B"/>
    <w:rsid w:val="003B5D58"/>
    <w:rsid w:val="003B6C86"/>
    <w:rsid w:val="003C0CF4"/>
    <w:rsid w:val="003C1D86"/>
    <w:rsid w:val="003C503D"/>
    <w:rsid w:val="003D08A3"/>
    <w:rsid w:val="003D1BC2"/>
    <w:rsid w:val="003D2CDE"/>
    <w:rsid w:val="003D4FC3"/>
    <w:rsid w:val="003D56B2"/>
    <w:rsid w:val="003D5A8C"/>
    <w:rsid w:val="003D762A"/>
    <w:rsid w:val="003D7F51"/>
    <w:rsid w:val="003E1868"/>
    <w:rsid w:val="003E4DD1"/>
    <w:rsid w:val="003F3AC9"/>
    <w:rsid w:val="003F62DE"/>
    <w:rsid w:val="003F745F"/>
    <w:rsid w:val="003F747A"/>
    <w:rsid w:val="00403690"/>
    <w:rsid w:val="00405F47"/>
    <w:rsid w:val="0041043C"/>
    <w:rsid w:val="00411DF9"/>
    <w:rsid w:val="00413C62"/>
    <w:rsid w:val="004143C2"/>
    <w:rsid w:val="00416B5E"/>
    <w:rsid w:val="0042237A"/>
    <w:rsid w:val="00424946"/>
    <w:rsid w:val="00425DFE"/>
    <w:rsid w:val="00427883"/>
    <w:rsid w:val="00430FAA"/>
    <w:rsid w:val="004343A5"/>
    <w:rsid w:val="0044227C"/>
    <w:rsid w:val="004448DA"/>
    <w:rsid w:val="004450AF"/>
    <w:rsid w:val="004467FF"/>
    <w:rsid w:val="00446DBE"/>
    <w:rsid w:val="00452E32"/>
    <w:rsid w:val="00453A42"/>
    <w:rsid w:val="004642D0"/>
    <w:rsid w:val="004643AD"/>
    <w:rsid w:val="00464F5C"/>
    <w:rsid w:val="00472D44"/>
    <w:rsid w:val="00474E6B"/>
    <w:rsid w:val="00481646"/>
    <w:rsid w:val="004816F4"/>
    <w:rsid w:val="00481DAA"/>
    <w:rsid w:val="00483869"/>
    <w:rsid w:val="0048463E"/>
    <w:rsid w:val="00484DA3"/>
    <w:rsid w:val="004854AA"/>
    <w:rsid w:val="0048668D"/>
    <w:rsid w:val="00487EBB"/>
    <w:rsid w:val="004904C8"/>
    <w:rsid w:val="00491C8E"/>
    <w:rsid w:val="00493030"/>
    <w:rsid w:val="0049386F"/>
    <w:rsid w:val="00497429"/>
    <w:rsid w:val="0049758D"/>
    <w:rsid w:val="004A172A"/>
    <w:rsid w:val="004B25E2"/>
    <w:rsid w:val="004B27EA"/>
    <w:rsid w:val="004B63FC"/>
    <w:rsid w:val="004C4753"/>
    <w:rsid w:val="004C7B36"/>
    <w:rsid w:val="004D01CB"/>
    <w:rsid w:val="004D2554"/>
    <w:rsid w:val="004D3E2E"/>
    <w:rsid w:val="004E0C28"/>
    <w:rsid w:val="004E1EF1"/>
    <w:rsid w:val="004E3561"/>
    <w:rsid w:val="004E477A"/>
    <w:rsid w:val="004E6DDC"/>
    <w:rsid w:val="004E6DE3"/>
    <w:rsid w:val="004F03DB"/>
    <w:rsid w:val="004F03F9"/>
    <w:rsid w:val="004F04FD"/>
    <w:rsid w:val="004F1559"/>
    <w:rsid w:val="004F224E"/>
    <w:rsid w:val="004F3EA0"/>
    <w:rsid w:val="004F4849"/>
    <w:rsid w:val="004F621E"/>
    <w:rsid w:val="004F6D52"/>
    <w:rsid w:val="005025E8"/>
    <w:rsid w:val="00503DAE"/>
    <w:rsid w:val="00506738"/>
    <w:rsid w:val="00516FDB"/>
    <w:rsid w:val="0051753F"/>
    <w:rsid w:val="00523791"/>
    <w:rsid w:val="00523DCF"/>
    <w:rsid w:val="00524583"/>
    <w:rsid w:val="00535E32"/>
    <w:rsid w:val="00540123"/>
    <w:rsid w:val="00540D2D"/>
    <w:rsid w:val="0054278A"/>
    <w:rsid w:val="005446C9"/>
    <w:rsid w:val="00544AF2"/>
    <w:rsid w:val="005514CB"/>
    <w:rsid w:val="00556000"/>
    <w:rsid w:val="00562B7F"/>
    <w:rsid w:val="00565621"/>
    <w:rsid w:val="005662B8"/>
    <w:rsid w:val="00570DC8"/>
    <w:rsid w:val="00574BE1"/>
    <w:rsid w:val="0057794E"/>
    <w:rsid w:val="00577F91"/>
    <w:rsid w:val="00582137"/>
    <w:rsid w:val="00587C44"/>
    <w:rsid w:val="00591D8F"/>
    <w:rsid w:val="00593F9F"/>
    <w:rsid w:val="00594E49"/>
    <w:rsid w:val="00597BA4"/>
    <w:rsid w:val="005A0791"/>
    <w:rsid w:val="005A1BEC"/>
    <w:rsid w:val="005A3FB6"/>
    <w:rsid w:val="005B7BEC"/>
    <w:rsid w:val="005C207F"/>
    <w:rsid w:val="005C466A"/>
    <w:rsid w:val="005C4DE6"/>
    <w:rsid w:val="005C6999"/>
    <w:rsid w:val="005C7B7D"/>
    <w:rsid w:val="005D4844"/>
    <w:rsid w:val="005D5FCD"/>
    <w:rsid w:val="005E002D"/>
    <w:rsid w:val="005E2F61"/>
    <w:rsid w:val="005E43E2"/>
    <w:rsid w:val="005E6DD8"/>
    <w:rsid w:val="005F2A19"/>
    <w:rsid w:val="005F360F"/>
    <w:rsid w:val="005F4241"/>
    <w:rsid w:val="005F6716"/>
    <w:rsid w:val="0060093E"/>
    <w:rsid w:val="00601B51"/>
    <w:rsid w:val="0060296A"/>
    <w:rsid w:val="006030BC"/>
    <w:rsid w:val="00603629"/>
    <w:rsid w:val="00603F56"/>
    <w:rsid w:val="006053E3"/>
    <w:rsid w:val="00606F13"/>
    <w:rsid w:val="0060726E"/>
    <w:rsid w:val="00607778"/>
    <w:rsid w:val="00611D4B"/>
    <w:rsid w:val="00612D9A"/>
    <w:rsid w:val="00615A88"/>
    <w:rsid w:val="00616396"/>
    <w:rsid w:val="00616C05"/>
    <w:rsid w:val="0061728C"/>
    <w:rsid w:val="006229FE"/>
    <w:rsid w:val="006265E4"/>
    <w:rsid w:val="006268CE"/>
    <w:rsid w:val="00626B12"/>
    <w:rsid w:val="00630396"/>
    <w:rsid w:val="006320FD"/>
    <w:rsid w:val="00633980"/>
    <w:rsid w:val="00634937"/>
    <w:rsid w:val="00634C9A"/>
    <w:rsid w:val="0063631A"/>
    <w:rsid w:val="00641E0E"/>
    <w:rsid w:val="00642DB6"/>
    <w:rsid w:val="00644563"/>
    <w:rsid w:val="00645069"/>
    <w:rsid w:val="00650C8D"/>
    <w:rsid w:val="00650F67"/>
    <w:rsid w:val="00661B44"/>
    <w:rsid w:val="00663811"/>
    <w:rsid w:val="00663976"/>
    <w:rsid w:val="00664BF7"/>
    <w:rsid w:val="006676A5"/>
    <w:rsid w:val="0067322F"/>
    <w:rsid w:val="00675293"/>
    <w:rsid w:val="00675C42"/>
    <w:rsid w:val="0067611F"/>
    <w:rsid w:val="006766E7"/>
    <w:rsid w:val="00677809"/>
    <w:rsid w:val="006802F9"/>
    <w:rsid w:val="00682187"/>
    <w:rsid w:val="00684B71"/>
    <w:rsid w:val="006853D0"/>
    <w:rsid w:val="00685C3C"/>
    <w:rsid w:val="00686932"/>
    <w:rsid w:val="00686F30"/>
    <w:rsid w:val="0068713B"/>
    <w:rsid w:val="00687679"/>
    <w:rsid w:val="006920D1"/>
    <w:rsid w:val="00694CE4"/>
    <w:rsid w:val="00696FA4"/>
    <w:rsid w:val="006A2645"/>
    <w:rsid w:val="006A3BE3"/>
    <w:rsid w:val="006A5E22"/>
    <w:rsid w:val="006B2553"/>
    <w:rsid w:val="006B29AA"/>
    <w:rsid w:val="006B2D71"/>
    <w:rsid w:val="006B5CB6"/>
    <w:rsid w:val="006C428A"/>
    <w:rsid w:val="006D5D8D"/>
    <w:rsid w:val="006E214A"/>
    <w:rsid w:val="006E5CA1"/>
    <w:rsid w:val="006E6EA3"/>
    <w:rsid w:val="006E72C5"/>
    <w:rsid w:val="006F0434"/>
    <w:rsid w:val="006F0CF2"/>
    <w:rsid w:val="006F1F9D"/>
    <w:rsid w:val="00701C82"/>
    <w:rsid w:val="007060DE"/>
    <w:rsid w:val="007063EA"/>
    <w:rsid w:val="00706B60"/>
    <w:rsid w:val="00710C2E"/>
    <w:rsid w:val="00711549"/>
    <w:rsid w:val="00714CB2"/>
    <w:rsid w:val="00716170"/>
    <w:rsid w:val="007164C2"/>
    <w:rsid w:val="007268D9"/>
    <w:rsid w:val="00733674"/>
    <w:rsid w:val="00734587"/>
    <w:rsid w:val="00734EB5"/>
    <w:rsid w:val="00736EDD"/>
    <w:rsid w:val="007406E9"/>
    <w:rsid w:val="007429C1"/>
    <w:rsid w:val="0074571C"/>
    <w:rsid w:val="007519BC"/>
    <w:rsid w:val="00752FC8"/>
    <w:rsid w:val="0075493E"/>
    <w:rsid w:val="00755C57"/>
    <w:rsid w:val="00756EE7"/>
    <w:rsid w:val="00757A2F"/>
    <w:rsid w:val="00757C3C"/>
    <w:rsid w:val="007607BD"/>
    <w:rsid w:val="00762E01"/>
    <w:rsid w:val="00764738"/>
    <w:rsid w:val="00770566"/>
    <w:rsid w:val="00773D79"/>
    <w:rsid w:val="00774ADD"/>
    <w:rsid w:val="00782ED9"/>
    <w:rsid w:val="0078342F"/>
    <w:rsid w:val="00784002"/>
    <w:rsid w:val="00790117"/>
    <w:rsid w:val="00795DA6"/>
    <w:rsid w:val="00797A94"/>
    <w:rsid w:val="007A0922"/>
    <w:rsid w:val="007A24FA"/>
    <w:rsid w:val="007A2A25"/>
    <w:rsid w:val="007B01C0"/>
    <w:rsid w:val="007B60EF"/>
    <w:rsid w:val="007C1743"/>
    <w:rsid w:val="007C1C07"/>
    <w:rsid w:val="007C286E"/>
    <w:rsid w:val="007C37C8"/>
    <w:rsid w:val="007C3B62"/>
    <w:rsid w:val="007C643F"/>
    <w:rsid w:val="007D030E"/>
    <w:rsid w:val="007D0E67"/>
    <w:rsid w:val="007D2E26"/>
    <w:rsid w:val="007D3B29"/>
    <w:rsid w:val="007D48F9"/>
    <w:rsid w:val="007E0A69"/>
    <w:rsid w:val="007E2B5F"/>
    <w:rsid w:val="007E3252"/>
    <w:rsid w:val="007E3C2D"/>
    <w:rsid w:val="007E798A"/>
    <w:rsid w:val="007F0CE3"/>
    <w:rsid w:val="007F0EDE"/>
    <w:rsid w:val="007F1B46"/>
    <w:rsid w:val="007F346E"/>
    <w:rsid w:val="00803A1D"/>
    <w:rsid w:val="00804059"/>
    <w:rsid w:val="0080406D"/>
    <w:rsid w:val="0080453A"/>
    <w:rsid w:val="0080485B"/>
    <w:rsid w:val="008054ED"/>
    <w:rsid w:val="00805B93"/>
    <w:rsid w:val="00811954"/>
    <w:rsid w:val="00811DD6"/>
    <w:rsid w:val="00815301"/>
    <w:rsid w:val="0082029E"/>
    <w:rsid w:val="008241E1"/>
    <w:rsid w:val="0082475E"/>
    <w:rsid w:val="00825CF8"/>
    <w:rsid w:val="008306CD"/>
    <w:rsid w:val="00830C7C"/>
    <w:rsid w:val="00831247"/>
    <w:rsid w:val="00834324"/>
    <w:rsid w:val="0083614E"/>
    <w:rsid w:val="008364EB"/>
    <w:rsid w:val="00836671"/>
    <w:rsid w:val="00836ED8"/>
    <w:rsid w:val="00837014"/>
    <w:rsid w:val="00837918"/>
    <w:rsid w:val="00841062"/>
    <w:rsid w:val="008432D9"/>
    <w:rsid w:val="00844AC2"/>
    <w:rsid w:val="0084742B"/>
    <w:rsid w:val="008510E3"/>
    <w:rsid w:val="00852E57"/>
    <w:rsid w:val="00860C95"/>
    <w:rsid w:val="00860E7E"/>
    <w:rsid w:val="00861448"/>
    <w:rsid w:val="00861968"/>
    <w:rsid w:val="008722F9"/>
    <w:rsid w:val="00874596"/>
    <w:rsid w:val="00877D77"/>
    <w:rsid w:val="00880F0C"/>
    <w:rsid w:val="00885DB9"/>
    <w:rsid w:val="00890724"/>
    <w:rsid w:val="00892363"/>
    <w:rsid w:val="00892B16"/>
    <w:rsid w:val="008955D9"/>
    <w:rsid w:val="008972DB"/>
    <w:rsid w:val="008A4621"/>
    <w:rsid w:val="008A69B4"/>
    <w:rsid w:val="008B204E"/>
    <w:rsid w:val="008B2C83"/>
    <w:rsid w:val="008B4145"/>
    <w:rsid w:val="008C2FA6"/>
    <w:rsid w:val="008C39F0"/>
    <w:rsid w:val="008C459A"/>
    <w:rsid w:val="008C5356"/>
    <w:rsid w:val="008C64A4"/>
    <w:rsid w:val="008C7DE9"/>
    <w:rsid w:val="008D0F7F"/>
    <w:rsid w:val="008D48A1"/>
    <w:rsid w:val="008D7070"/>
    <w:rsid w:val="008E365C"/>
    <w:rsid w:val="008E39A6"/>
    <w:rsid w:val="008E508B"/>
    <w:rsid w:val="008E5693"/>
    <w:rsid w:val="008E572C"/>
    <w:rsid w:val="008E736A"/>
    <w:rsid w:val="008F298B"/>
    <w:rsid w:val="008F42E6"/>
    <w:rsid w:val="008F7B9D"/>
    <w:rsid w:val="009025E6"/>
    <w:rsid w:val="00905A79"/>
    <w:rsid w:val="00907A23"/>
    <w:rsid w:val="00912ADE"/>
    <w:rsid w:val="00914C2F"/>
    <w:rsid w:val="00915302"/>
    <w:rsid w:val="009156CE"/>
    <w:rsid w:val="0092143E"/>
    <w:rsid w:val="00924B30"/>
    <w:rsid w:val="0092550E"/>
    <w:rsid w:val="009301CA"/>
    <w:rsid w:val="00934FE4"/>
    <w:rsid w:val="009352C2"/>
    <w:rsid w:val="00937A73"/>
    <w:rsid w:val="00937CE0"/>
    <w:rsid w:val="00945205"/>
    <w:rsid w:val="00945428"/>
    <w:rsid w:val="0094760A"/>
    <w:rsid w:val="00951A92"/>
    <w:rsid w:val="00951DD0"/>
    <w:rsid w:val="0095265E"/>
    <w:rsid w:val="00952A96"/>
    <w:rsid w:val="00954677"/>
    <w:rsid w:val="00957F45"/>
    <w:rsid w:val="009610F4"/>
    <w:rsid w:val="009613E0"/>
    <w:rsid w:val="0096198E"/>
    <w:rsid w:val="00963F62"/>
    <w:rsid w:val="009653DA"/>
    <w:rsid w:val="00970190"/>
    <w:rsid w:val="009703EF"/>
    <w:rsid w:val="00970EA5"/>
    <w:rsid w:val="009757CD"/>
    <w:rsid w:val="00977FFD"/>
    <w:rsid w:val="0098242D"/>
    <w:rsid w:val="00986354"/>
    <w:rsid w:val="009865AF"/>
    <w:rsid w:val="00991600"/>
    <w:rsid w:val="00992C75"/>
    <w:rsid w:val="00992CDC"/>
    <w:rsid w:val="00993769"/>
    <w:rsid w:val="009948CA"/>
    <w:rsid w:val="00994904"/>
    <w:rsid w:val="0099726B"/>
    <w:rsid w:val="009B2326"/>
    <w:rsid w:val="009B2519"/>
    <w:rsid w:val="009B734C"/>
    <w:rsid w:val="009C0F10"/>
    <w:rsid w:val="009C2AC3"/>
    <w:rsid w:val="009C44C1"/>
    <w:rsid w:val="009C51A0"/>
    <w:rsid w:val="009C6339"/>
    <w:rsid w:val="009C6C53"/>
    <w:rsid w:val="009C73D9"/>
    <w:rsid w:val="009D23E2"/>
    <w:rsid w:val="009D3BAF"/>
    <w:rsid w:val="009D55F4"/>
    <w:rsid w:val="009E0E0D"/>
    <w:rsid w:val="009E1FD1"/>
    <w:rsid w:val="009E293B"/>
    <w:rsid w:val="009E5FA0"/>
    <w:rsid w:val="009E6A32"/>
    <w:rsid w:val="009F0909"/>
    <w:rsid w:val="009F1030"/>
    <w:rsid w:val="009F2273"/>
    <w:rsid w:val="009F3112"/>
    <w:rsid w:val="009F318B"/>
    <w:rsid w:val="009F361E"/>
    <w:rsid w:val="009F5254"/>
    <w:rsid w:val="009F6E35"/>
    <w:rsid w:val="00A02B32"/>
    <w:rsid w:val="00A02DFB"/>
    <w:rsid w:val="00A03CEB"/>
    <w:rsid w:val="00A05855"/>
    <w:rsid w:val="00A06091"/>
    <w:rsid w:val="00A07F7C"/>
    <w:rsid w:val="00A11AEF"/>
    <w:rsid w:val="00A14E65"/>
    <w:rsid w:val="00A16990"/>
    <w:rsid w:val="00A21431"/>
    <w:rsid w:val="00A2156D"/>
    <w:rsid w:val="00A2201D"/>
    <w:rsid w:val="00A256F2"/>
    <w:rsid w:val="00A25840"/>
    <w:rsid w:val="00A3097D"/>
    <w:rsid w:val="00A53AA1"/>
    <w:rsid w:val="00A54950"/>
    <w:rsid w:val="00A615E1"/>
    <w:rsid w:val="00A62633"/>
    <w:rsid w:val="00A66E2E"/>
    <w:rsid w:val="00A67307"/>
    <w:rsid w:val="00A67341"/>
    <w:rsid w:val="00A67E20"/>
    <w:rsid w:val="00A73B31"/>
    <w:rsid w:val="00A755EA"/>
    <w:rsid w:val="00A7651B"/>
    <w:rsid w:val="00A80E54"/>
    <w:rsid w:val="00A83BFE"/>
    <w:rsid w:val="00A84D10"/>
    <w:rsid w:val="00A84F0D"/>
    <w:rsid w:val="00A91437"/>
    <w:rsid w:val="00A92000"/>
    <w:rsid w:val="00A93C71"/>
    <w:rsid w:val="00A94D14"/>
    <w:rsid w:val="00AA29B9"/>
    <w:rsid w:val="00AA2A56"/>
    <w:rsid w:val="00AA3206"/>
    <w:rsid w:val="00AA4667"/>
    <w:rsid w:val="00AB13E7"/>
    <w:rsid w:val="00AB1520"/>
    <w:rsid w:val="00AB182B"/>
    <w:rsid w:val="00AB3811"/>
    <w:rsid w:val="00AB46A7"/>
    <w:rsid w:val="00AB569B"/>
    <w:rsid w:val="00AB6ACE"/>
    <w:rsid w:val="00AD3B31"/>
    <w:rsid w:val="00AD5199"/>
    <w:rsid w:val="00AD593E"/>
    <w:rsid w:val="00AD64DC"/>
    <w:rsid w:val="00AD7E0A"/>
    <w:rsid w:val="00AE0357"/>
    <w:rsid w:val="00AE42DE"/>
    <w:rsid w:val="00AE569C"/>
    <w:rsid w:val="00AE5B52"/>
    <w:rsid w:val="00AF1AF3"/>
    <w:rsid w:val="00B0202F"/>
    <w:rsid w:val="00B03A07"/>
    <w:rsid w:val="00B07460"/>
    <w:rsid w:val="00B07ED3"/>
    <w:rsid w:val="00B07F7F"/>
    <w:rsid w:val="00B1112A"/>
    <w:rsid w:val="00B11E54"/>
    <w:rsid w:val="00B123FC"/>
    <w:rsid w:val="00B13D62"/>
    <w:rsid w:val="00B1411F"/>
    <w:rsid w:val="00B14444"/>
    <w:rsid w:val="00B1543C"/>
    <w:rsid w:val="00B15497"/>
    <w:rsid w:val="00B2040C"/>
    <w:rsid w:val="00B2379A"/>
    <w:rsid w:val="00B278C6"/>
    <w:rsid w:val="00B300EF"/>
    <w:rsid w:val="00B316A6"/>
    <w:rsid w:val="00B3228C"/>
    <w:rsid w:val="00B337B1"/>
    <w:rsid w:val="00B37A65"/>
    <w:rsid w:val="00B4119E"/>
    <w:rsid w:val="00B424C4"/>
    <w:rsid w:val="00B42B56"/>
    <w:rsid w:val="00B44C22"/>
    <w:rsid w:val="00B4648C"/>
    <w:rsid w:val="00B46550"/>
    <w:rsid w:val="00B50729"/>
    <w:rsid w:val="00B52DFE"/>
    <w:rsid w:val="00B55090"/>
    <w:rsid w:val="00B5532E"/>
    <w:rsid w:val="00B5638A"/>
    <w:rsid w:val="00B5662C"/>
    <w:rsid w:val="00B56CD3"/>
    <w:rsid w:val="00B601AE"/>
    <w:rsid w:val="00B649A1"/>
    <w:rsid w:val="00B673D1"/>
    <w:rsid w:val="00B70FF4"/>
    <w:rsid w:val="00B7411A"/>
    <w:rsid w:val="00B7422E"/>
    <w:rsid w:val="00B74CD8"/>
    <w:rsid w:val="00B7653C"/>
    <w:rsid w:val="00B77D97"/>
    <w:rsid w:val="00B80CE8"/>
    <w:rsid w:val="00B81C63"/>
    <w:rsid w:val="00B85E6A"/>
    <w:rsid w:val="00B87AB6"/>
    <w:rsid w:val="00B944C7"/>
    <w:rsid w:val="00B945BA"/>
    <w:rsid w:val="00B95832"/>
    <w:rsid w:val="00BA161F"/>
    <w:rsid w:val="00BA1EB9"/>
    <w:rsid w:val="00BA317D"/>
    <w:rsid w:val="00BA3D31"/>
    <w:rsid w:val="00BA449D"/>
    <w:rsid w:val="00BA6ABA"/>
    <w:rsid w:val="00BB2991"/>
    <w:rsid w:val="00BB6B50"/>
    <w:rsid w:val="00BB71E4"/>
    <w:rsid w:val="00BC0B56"/>
    <w:rsid w:val="00BC161C"/>
    <w:rsid w:val="00BC3F44"/>
    <w:rsid w:val="00BC55A4"/>
    <w:rsid w:val="00BC6529"/>
    <w:rsid w:val="00BD3759"/>
    <w:rsid w:val="00BD3CCF"/>
    <w:rsid w:val="00BD642C"/>
    <w:rsid w:val="00BD646A"/>
    <w:rsid w:val="00BD78F4"/>
    <w:rsid w:val="00BE1EB7"/>
    <w:rsid w:val="00BE27F9"/>
    <w:rsid w:val="00BE2C23"/>
    <w:rsid w:val="00BF066F"/>
    <w:rsid w:val="00BF1C94"/>
    <w:rsid w:val="00BF2D84"/>
    <w:rsid w:val="00BF2E4E"/>
    <w:rsid w:val="00BF3574"/>
    <w:rsid w:val="00BF7B81"/>
    <w:rsid w:val="00C00081"/>
    <w:rsid w:val="00C061D6"/>
    <w:rsid w:val="00C07F20"/>
    <w:rsid w:val="00C116FD"/>
    <w:rsid w:val="00C1323B"/>
    <w:rsid w:val="00C15452"/>
    <w:rsid w:val="00C15649"/>
    <w:rsid w:val="00C21CA8"/>
    <w:rsid w:val="00C26A6C"/>
    <w:rsid w:val="00C26FBF"/>
    <w:rsid w:val="00C30052"/>
    <w:rsid w:val="00C3043C"/>
    <w:rsid w:val="00C31AD1"/>
    <w:rsid w:val="00C336B9"/>
    <w:rsid w:val="00C369AF"/>
    <w:rsid w:val="00C4121E"/>
    <w:rsid w:val="00C420E2"/>
    <w:rsid w:val="00C46B0F"/>
    <w:rsid w:val="00C4752B"/>
    <w:rsid w:val="00C52E59"/>
    <w:rsid w:val="00C53028"/>
    <w:rsid w:val="00C530F4"/>
    <w:rsid w:val="00C65C84"/>
    <w:rsid w:val="00C67C58"/>
    <w:rsid w:val="00C7059F"/>
    <w:rsid w:val="00C71630"/>
    <w:rsid w:val="00C72183"/>
    <w:rsid w:val="00C726CB"/>
    <w:rsid w:val="00C73EB1"/>
    <w:rsid w:val="00C757FB"/>
    <w:rsid w:val="00C7639C"/>
    <w:rsid w:val="00C773E0"/>
    <w:rsid w:val="00C80369"/>
    <w:rsid w:val="00C8191C"/>
    <w:rsid w:val="00C85D5A"/>
    <w:rsid w:val="00C95CD1"/>
    <w:rsid w:val="00CA0B75"/>
    <w:rsid w:val="00CA6448"/>
    <w:rsid w:val="00CA6732"/>
    <w:rsid w:val="00CB6F93"/>
    <w:rsid w:val="00CB72FC"/>
    <w:rsid w:val="00CC1555"/>
    <w:rsid w:val="00CC1846"/>
    <w:rsid w:val="00CC4DFA"/>
    <w:rsid w:val="00CC52A9"/>
    <w:rsid w:val="00CC6B0F"/>
    <w:rsid w:val="00CD401A"/>
    <w:rsid w:val="00CD637B"/>
    <w:rsid w:val="00CD74D6"/>
    <w:rsid w:val="00CE2DF8"/>
    <w:rsid w:val="00CE2FE6"/>
    <w:rsid w:val="00CE7E77"/>
    <w:rsid w:val="00CF1710"/>
    <w:rsid w:val="00CF1F51"/>
    <w:rsid w:val="00CF2788"/>
    <w:rsid w:val="00CF2F0B"/>
    <w:rsid w:val="00CF3697"/>
    <w:rsid w:val="00CF462D"/>
    <w:rsid w:val="00CF4860"/>
    <w:rsid w:val="00CF4B02"/>
    <w:rsid w:val="00CF6462"/>
    <w:rsid w:val="00CF6FA9"/>
    <w:rsid w:val="00D03017"/>
    <w:rsid w:val="00D05587"/>
    <w:rsid w:val="00D05CB6"/>
    <w:rsid w:val="00D06A6E"/>
    <w:rsid w:val="00D07707"/>
    <w:rsid w:val="00D07FD7"/>
    <w:rsid w:val="00D15E7D"/>
    <w:rsid w:val="00D2388C"/>
    <w:rsid w:val="00D24328"/>
    <w:rsid w:val="00D25067"/>
    <w:rsid w:val="00D2708C"/>
    <w:rsid w:val="00D34732"/>
    <w:rsid w:val="00D44A2E"/>
    <w:rsid w:val="00D54C3E"/>
    <w:rsid w:val="00D622E9"/>
    <w:rsid w:val="00D72A49"/>
    <w:rsid w:val="00D85A14"/>
    <w:rsid w:val="00D86FF8"/>
    <w:rsid w:val="00D871C8"/>
    <w:rsid w:val="00D91AB7"/>
    <w:rsid w:val="00D92CA2"/>
    <w:rsid w:val="00D94628"/>
    <w:rsid w:val="00D9582F"/>
    <w:rsid w:val="00D97175"/>
    <w:rsid w:val="00D97A81"/>
    <w:rsid w:val="00DA2529"/>
    <w:rsid w:val="00DA42D9"/>
    <w:rsid w:val="00DA4E24"/>
    <w:rsid w:val="00DB0B66"/>
    <w:rsid w:val="00DB506C"/>
    <w:rsid w:val="00DB7ADC"/>
    <w:rsid w:val="00DC5147"/>
    <w:rsid w:val="00DC613F"/>
    <w:rsid w:val="00DD08D6"/>
    <w:rsid w:val="00DD4491"/>
    <w:rsid w:val="00DD7AFD"/>
    <w:rsid w:val="00DE17CF"/>
    <w:rsid w:val="00DE1BE9"/>
    <w:rsid w:val="00DE1C92"/>
    <w:rsid w:val="00DE3672"/>
    <w:rsid w:val="00DE36B2"/>
    <w:rsid w:val="00DE45A7"/>
    <w:rsid w:val="00DE53EE"/>
    <w:rsid w:val="00DF02FD"/>
    <w:rsid w:val="00DF20BC"/>
    <w:rsid w:val="00DF59D6"/>
    <w:rsid w:val="00DF638E"/>
    <w:rsid w:val="00DF759E"/>
    <w:rsid w:val="00DF7DB5"/>
    <w:rsid w:val="00E01699"/>
    <w:rsid w:val="00E13B0D"/>
    <w:rsid w:val="00E26121"/>
    <w:rsid w:val="00E26EDD"/>
    <w:rsid w:val="00E35003"/>
    <w:rsid w:val="00E412C4"/>
    <w:rsid w:val="00E42775"/>
    <w:rsid w:val="00E430CD"/>
    <w:rsid w:val="00E4543E"/>
    <w:rsid w:val="00E61699"/>
    <w:rsid w:val="00E6676A"/>
    <w:rsid w:val="00E72560"/>
    <w:rsid w:val="00E72813"/>
    <w:rsid w:val="00E7514C"/>
    <w:rsid w:val="00E80AB8"/>
    <w:rsid w:val="00E821CE"/>
    <w:rsid w:val="00E85BA9"/>
    <w:rsid w:val="00E873AE"/>
    <w:rsid w:val="00E91C8D"/>
    <w:rsid w:val="00E94658"/>
    <w:rsid w:val="00E9493E"/>
    <w:rsid w:val="00E94AD8"/>
    <w:rsid w:val="00EA0E37"/>
    <w:rsid w:val="00EA0EB2"/>
    <w:rsid w:val="00EA13A6"/>
    <w:rsid w:val="00EA5136"/>
    <w:rsid w:val="00EA568A"/>
    <w:rsid w:val="00EB1A9B"/>
    <w:rsid w:val="00EB2D16"/>
    <w:rsid w:val="00EB34E0"/>
    <w:rsid w:val="00EB3C10"/>
    <w:rsid w:val="00EB3C31"/>
    <w:rsid w:val="00EB4CF1"/>
    <w:rsid w:val="00EB6393"/>
    <w:rsid w:val="00EB7643"/>
    <w:rsid w:val="00EC143E"/>
    <w:rsid w:val="00EC54EE"/>
    <w:rsid w:val="00ED2913"/>
    <w:rsid w:val="00EE04C1"/>
    <w:rsid w:val="00EE1B29"/>
    <w:rsid w:val="00EE3F44"/>
    <w:rsid w:val="00EE4615"/>
    <w:rsid w:val="00EE4AC9"/>
    <w:rsid w:val="00EE52F8"/>
    <w:rsid w:val="00EE5AB0"/>
    <w:rsid w:val="00EF0204"/>
    <w:rsid w:val="00EF1A91"/>
    <w:rsid w:val="00EF258C"/>
    <w:rsid w:val="00EF266D"/>
    <w:rsid w:val="00EF27D7"/>
    <w:rsid w:val="00EF29DB"/>
    <w:rsid w:val="00EF52E0"/>
    <w:rsid w:val="00EF5648"/>
    <w:rsid w:val="00F008D3"/>
    <w:rsid w:val="00F052BC"/>
    <w:rsid w:val="00F06608"/>
    <w:rsid w:val="00F06B55"/>
    <w:rsid w:val="00F11603"/>
    <w:rsid w:val="00F11AF4"/>
    <w:rsid w:val="00F1479E"/>
    <w:rsid w:val="00F15973"/>
    <w:rsid w:val="00F15C17"/>
    <w:rsid w:val="00F2033C"/>
    <w:rsid w:val="00F23CD6"/>
    <w:rsid w:val="00F23E99"/>
    <w:rsid w:val="00F26F33"/>
    <w:rsid w:val="00F3567E"/>
    <w:rsid w:val="00F35EEF"/>
    <w:rsid w:val="00F37311"/>
    <w:rsid w:val="00F45A5D"/>
    <w:rsid w:val="00F465C5"/>
    <w:rsid w:val="00F469B2"/>
    <w:rsid w:val="00F477B8"/>
    <w:rsid w:val="00F501E4"/>
    <w:rsid w:val="00F50242"/>
    <w:rsid w:val="00F50C29"/>
    <w:rsid w:val="00F52949"/>
    <w:rsid w:val="00F54275"/>
    <w:rsid w:val="00F56DE0"/>
    <w:rsid w:val="00F64609"/>
    <w:rsid w:val="00F66862"/>
    <w:rsid w:val="00F701DE"/>
    <w:rsid w:val="00F70576"/>
    <w:rsid w:val="00F7391C"/>
    <w:rsid w:val="00F74A9E"/>
    <w:rsid w:val="00F75FB9"/>
    <w:rsid w:val="00F80CE2"/>
    <w:rsid w:val="00F85A0F"/>
    <w:rsid w:val="00F85AED"/>
    <w:rsid w:val="00F868CE"/>
    <w:rsid w:val="00F8718D"/>
    <w:rsid w:val="00F948C3"/>
    <w:rsid w:val="00F94E8A"/>
    <w:rsid w:val="00F95C70"/>
    <w:rsid w:val="00FA0208"/>
    <w:rsid w:val="00FA2D22"/>
    <w:rsid w:val="00FA3CAB"/>
    <w:rsid w:val="00FA3CB2"/>
    <w:rsid w:val="00FA5CC7"/>
    <w:rsid w:val="00FA6EAE"/>
    <w:rsid w:val="00FA7727"/>
    <w:rsid w:val="00FB0638"/>
    <w:rsid w:val="00FC6221"/>
    <w:rsid w:val="00FC775B"/>
    <w:rsid w:val="00FD1BE2"/>
    <w:rsid w:val="00FD2D87"/>
    <w:rsid w:val="00FD33E4"/>
    <w:rsid w:val="00FD5A58"/>
    <w:rsid w:val="00FD5FF3"/>
    <w:rsid w:val="00FE0DBC"/>
    <w:rsid w:val="00FE12CE"/>
    <w:rsid w:val="00FE16DB"/>
    <w:rsid w:val="00FE1776"/>
    <w:rsid w:val="00FE21C6"/>
    <w:rsid w:val="00FE28BC"/>
    <w:rsid w:val="00FE3F55"/>
    <w:rsid w:val="00FE4D91"/>
    <w:rsid w:val="00FE534A"/>
    <w:rsid w:val="00FE5BDE"/>
    <w:rsid w:val="00FE7B4E"/>
    <w:rsid w:val="00FF00AE"/>
    <w:rsid w:val="00FF257E"/>
    <w:rsid w:val="00FF26B1"/>
    <w:rsid w:val="00FF40C5"/>
    <w:rsid w:val="00FF4825"/>
    <w:rsid w:val="00FF4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E9"/>
    <w:rPr>
      <w:sz w:val="24"/>
    </w:rPr>
  </w:style>
  <w:style w:type="paragraph" w:styleId="Nadpis1">
    <w:name w:val="heading 1"/>
    <w:basedOn w:val="Normln"/>
    <w:next w:val="Normln"/>
    <w:link w:val="Nadpis1Char"/>
    <w:uiPriority w:val="9"/>
    <w:qFormat/>
    <w:rsid w:val="00D622E9"/>
    <w:pPr>
      <w:keepNext/>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outlineLvl w:val="0"/>
    </w:pPr>
    <w:rPr>
      <w:b/>
      <w:sz w:val="28"/>
      <w:u w:val="single"/>
    </w:rPr>
  </w:style>
  <w:style w:type="paragraph" w:styleId="Nadpis2">
    <w:name w:val="heading 2"/>
    <w:basedOn w:val="Normln"/>
    <w:next w:val="Normln"/>
    <w:link w:val="Nadpis2Char"/>
    <w:qFormat/>
    <w:rsid w:val="00D622E9"/>
    <w:pPr>
      <w:numPr>
        <w:ilvl w:val="1"/>
        <w:numId w:val="1"/>
      </w:numPr>
      <w:jc w:val="both"/>
      <w:outlineLvl w:val="1"/>
    </w:pPr>
  </w:style>
  <w:style w:type="paragraph" w:styleId="Nadpis3">
    <w:name w:val="heading 3"/>
    <w:basedOn w:val="Normln"/>
    <w:next w:val="Nzev"/>
    <w:link w:val="Nadpis3Char"/>
    <w:qFormat/>
    <w:rsid w:val="00630396"/>
    <w:pPr>
      <w:numPr>
        <w:ilvl w:val="2"/>
        <w:numId w:val="1"/>
      </w:numPr>
      <w:jc w:val="both"/>
      <w:outlineLvl w:val="2"/>
    </w:pPr>
  </w:style>
  <w:style w:type="paragraph" w:styleId="Nadpis4">
    <w:name w:val="heading 4"/>
    <w:basedOn w:val="Normln"/>
    <w:next w:val="Normln"/>
    <w:qFormat/>
    <w:rsid w:val="00D622E9"/>
    <w:pPr>
      <w:numPr>
        <w:ilvl w:val="3"/>
        <w:numId w:val="1"/>
      </w:numPr>
      <w:jc w:val="both"/>
      <w:outlineLvl w:val="3"/>
    </w:pPr>
  </w:style>
  <w:style w:type="paragraph" w:styleId="Nadpis5">
    <w:name w:val="heading 5"/>
    <w:basedOn w:val="Normln"/>
    <w:next w:val="Normln"/>
    <w:qFormat/>
    <w:rsid w:val="00D622E9"/>
    <w:pPr>
      <w:numPr>
        <w:ilvl w:val="4"/>
        <w:numId w:val="1"/>
      </w:numPr>
      <w:outlineLvl w:val="4"/>
    </w:pPr>
  </w:style>
  <w:style w:type="paragraph" w:styleId="Nadpis6">
    <w:name w:val="heading 6"/>
    <w:basedOn w:val="Normln"/>
    <w:next w:val="Normln"/>
    <w:autoRedefine/>
    <w:qFormat/>
    <w:rsid w:val="008D0F7F"/>
    <w:pPr>
      <w:outlineLvl w:val="5"/>
    </w:pPr>
    <w:rPr>
      <w:szCs w:val="32"/>
    </w:rPr>
  </w:style>
  <w:style w:type="paragraph" w:styleId="Nadpis7">
    <w:name w:val="heading 7"/>
    <w:basedOn w:val="Normln"/>
    <w:next w:val="Normln"/>
    <w:qFormat/>
    <w:rsid w:val="00226A4E"/>
    <w:pPr>
      <w:tabs>
        <w:tab w:val="num" w:pos="1296"/>
      </w:tabs>
      <w:spacing w:before="240" w:after="60"/>
      <w:ind w:left="1296" w:hanging="1296"/>
      <w:outlineLvl w:val="6"/>
    </w:pPr>
  </w:style>
  <w:style w:type="paragraph" w:styleId="Nadpis8">
    <w:name w:val="heading 8"/>
    <w:basedOn w:val="Normln"/>
    <w:next w:val="Normln"/>
    <w:qFormat/>
    <w:rsid w:val="00226A4E"/>
    <w:pPr>
      <w:tabs>
        <w:tab w:val="num" w:pos="1440"/>
      </w:tabs>
      <w:jc w:val="both"/>
      <w:outlineLvl w:val="7"/>
    </w:pPr>
  </w:style>
  <w:style w:type="paragraph" w:styleId="Nadpis9">
    <w:name w:val="heading 9"/>
    <w:basedOn w:val="Normln"/>
    <w:next w:val="Normln"/>
    <w:qFormat/>
    <w:rsid w:val="00226A4E"/>
    <w:pPr>
      <w:tabs>
        <w:tab w:val="num" w:pos="1584"/>
      </w:tabs>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00081"/>
    <w:pPr>
      <w:spacing w:before="240" w:after="60"/>
      <w:jc w:val="center"/>
      <w:outlineLvl w:val="0"/>
    </w:pPr>
    <w:rPr>
      <w:rFonts w:ascii="Arial" w:hAnsi="Arial"/>
      <w:b/>
      <w:kern w:val="28"/>
      <w:sz w:val="32"/>
    </w:rPr>
  </w:style>
  <w:style w:type="paragraph" w:styleId="Zpat">
    <w:name w:val="footer"/>
    <w:basedOn w:val="Normln"/>
    <w:link w:val="ZpatChar"/>
    <w:uiPriority w:val="99"/>
    <w:rsid w:val="00C00081"/>
    <w:pPr>
      <w:tabs>
        <w:tab w:val="center" w:pos="4536"/>
        <w:tab w:val="right" w:pos="9072"/>
      </w:tabs>
    </w:pPr>
  </w:style>
  <w:style w:type="character" w:customStyle="1" w:styleId="ZpatChar">
    <w:name w:val="Zápatí Char"/>
    <w:basedOn w:val="Standardnpsmoodstavce"/>
    <w:link w:val="Zpat"/>
    <w:uiPriority w:val="99"/>
    <w:rsid w:val="00191DEC"/>
  </w:style>
  <w:style w:type="character" w:styleId="slostrnky">
    <w:name w:val="page number"/>
    <w:basedOn w:val="Standardnpsmoodstavce"/>
    <w:rsid w:val="00C00081"/>
  </w:style>
  <w:style w:type="paragraph" w:styleId="Zhlav">
    <w:name w:val="header"/>
    <w:basedOn w:val="Normln"/>
    <w:rsid w:val="00C00081"/>
    <w:pPr>
      <w:tabs>
        <w:tab w:val="center" w:pos="4536"/>
        <w:tab w:val="right" w:pos="9072"/>
      </w:tabs>
    </w:pPr>
  </w:style>
  <w:style w:type="character" w:styleId="Odkaznakoment">
    <w:name w:val="annotation reference"/>
    <w:semiHidden/>
    <w:rsid w:val="00C00081"/>
    <w:rPr>
      <w:sz w:val="16"/>
      <w:szCs w:val="16"/>
    </w:rPr>
  </w:style>
  <w:style w:type="paragraph" w:styleId="Textkomente">
    <w:name w:val="annotation text"/>
    <w:basedOn w:val="Normln"/>
    <w:semiHidden/>
    <w:rsid w:val="00C00081"/>
  </w:style>
  <w:style w:type="paragraph" w:styleId="Pedmtkomente">
    <w:name w:val="annotation subject"/>
    <w:basedOn w:val="Textkomente"/>
    <w:next w:val="Textkomente"/>
    <w:semiHidden/>
    <w:rsid w:val="00C00081"/>
    <w:rPr>
      <w:b/>
      <w:bCs/>
    </w:rPr>
  </w:style>
  <w:style w:type="paragraph" w:styleId="Textbubliny">
    <w:name w:val="Balloon Text"/>
    <w:basedOn w:val="Normln"/>
    <w:semiHidden/>
    <w:rsid w:val="00C00081"/>
    <w:rPr>
      <w:rFonts w:ascii="Tahoma" w:hAnsi="Tahoma" w:cs="Tahoma"/>
      <w:sz w:val="16"/>
      <w:szCs w:val="16"/>
    </w:rPr>
  </w:style>
  <w:style w:type="paragraph" w:styleId="Rozloendokumentu">
    <w:name w:val="Document Map"/>
    <w:basedOn w:val="Normln"/>
    <w:semiHidden/>
    <w:rsid w:val="00C00081"/>
    <w:pPr>
      <w:shd w:val="clear" w:color="auto" w:fill="000080"/>
    </w:pPr>
    <w:rPr>
      <w:rFonts w:ascii="Tahoma" w:hAnsi="Tahoma" w:cs="Tahoma"/>
    </w:rPr>
  </w:style>
  <w:style w:type="paragraph" w:customStyle="1" w:styleId="NaSted">
    <w:name w:val="NaStřed"/>
    <w:basedOn w:val="Normln"/>
    <w:rsid w:val="004448DA"/>
    <w:pPr>
      <w:jc w:val="center"/>
    </w:pPr>
    <w:rPr>
      <w:snapToGrid w:val="0"/>
    </w:rPr>
  </w:style>
  <w:style w:type="character" w:styleId="Siln">
    <w:name w:val="Strong"/>
    <w:qFormat/>
    <w:rsid w:val="004448DA"/>
    <w:rPr>
      <w:b/>
      <w:bCs/>
    </w:rPr>
  </w:style>
  <w:style w:type="paragraph" w:customStyle="1" w:styleId="odsaz10blok">
    <w:name w:val="odsaz10blok"/>
    <w:basedOn w:val="Normln"/>
    <w:rsid w:val="00B56CD3"/>
    <w:pPr>
      <w:ind w:left="567"/>
      <w:jc w:val="both"/>
    </w:pPr>
    <w:rPr>
      <w:snapToGrid w:val="0"/>
      <w:szCs w:val="24"/>
    </w:rPr>
  </w:style>
  <w:style w:type="character" w:styleId="Zvraznn">
    <w:name w:val="Emphasis"/>
    <w:qFormat/>
    <w:rsid w:val="00B56CD3"/>
    <w:rPr>
      <w:i/>
      <w:iCs/>
    </w:rPr>
  </w:style>
  <w:style w:type="paragraph" w:customStyle="1" w:styleId="Smlouva">
    <w:name w:val="Smlouva"/>
    <w:basedOn w:val="Normln"/>
    <w:rsid w:val="008D0F7F"/>
    <w:pPr>
      <w:spacing w:before="240" w:after="240"/>
      <w:jc w:val="center"/>
    </w:pPr>
    <w:rPr>
      <w:b/>
      <w:sz w:val="32"/>
    </w:rPr>
  </w:style>
  <w:style w:type="table" w:styleId="Mkatabulky">
    <w:name w:val="Table Grid"/>
    <w:basedOn w:val="Normlntabulka"/>
    <w:rsid w:val="00A1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
    <w:name w:val="zákl"/>
    <w:basedOn w:val="Normln"/>
    <w:rsid w:val="00630396"/>
    <w:pPr>
      <w:spacing w:after="60"/>
      <w:jc w:val="both"/>
    </w:pPr>
  </w:style>
  <w:style w:type="paragraph" w:styleId="Revize">
    <w:name w:val="Revision"/>
    <w:hidden/>
    <w:uiPriority w:val="99"/>
    <w:semiHidden/>
    <w:rsid w:val="00C30052"/>
    <w:rPr>
      <w:sz w:val="24"/>
    </w:rPr>
  </w:style>
  <w:style w:type="character" w:customStyle="1" w:styleId="Nadpis2Char">
    <w:name w:val="Nadpis 2 Char"/>
    <w:basedOn w:val="Standardnpsmoodstavce"/>
    <w:link w:val="Nadpis2"/>
    <w:rsid w:val="00E26EDD"/>
    <w:rPr>
      <w:sz w:val="24"/>
    </w:rPr>
  </w:style>
  <w:style w:type="character" w:customStyle="1" w:styleId="tw4winMark">
    <w:name w:val="tw4winMark"/>
    <w:uiPriority w:val="99"/>
    <w:rsid w:val="00E26EDD"/>
    <w:rPr>
      <w:rFonts w:ascii="Courier New" w:hAnsi="Courier New"/>
      <w:vanish/>
      <w:color w:val="800080"/>
      <w:vertAlign w:val="subscript"/>
    </w:rPr>
  </w:style>
  <w:style w:type="character" w:customStyle="1" w:styleId="Nadpis3Char">
    <w:name w:val="Nadpis 3 Char"/>
    <w:basedOn w:val="Standardnpsmoodstavce"/>
    <w:link w:val="Nadpis3"/>
    <w:rsid w:val="00593F9F"/>
    <w:rPr>
      <w:sz w:val="24"/>
    </w:rPr>
  </w:style>
  <w:style w:type="character" w:customStyle="1" w:styleId="Nadpis1Char">
    <w:name w:val="Nadpis 1 Char"/>
    <w:basedOn w:val="Standardnpsmoodstavce"/>
    <w:link w:val="Nadpis1"/>
    <w:uiPriority w:val="9"/>
    <w:rsid w:val="006030BC"/>
    <w:rPr>
      <w:b/>
      <w:sz w:val="28"/>
      <w:u w:val="single"/>
    </w:rPr>
  </w:style>
  <w:style w:type="paragraph" w:styleId="Odstavecseseznamem">
    <w:name w:val="List Paragraph"/>
    <w:basedOn w:val="Normln"/>
    <w:uiPriority w:val="34"/>
    <w:qFormat/>
    <w:rsid w:val="000D04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E9"/>
    <w:rPr>
      <w:sz w:val="24"/>
    </w:rPr>
  </w:style>
  <w:style w:type="paragraph" w:styleId="Nadpis1">
    <w:name w:val="heading 1"/>
    <w:basedOn w:val="Normln"/>
    <w:next w:val="Normln"/>
    <w:link w:val="Nadpis1Char"/>
    <w:uiPriority w:val="9"/>
    <w:qFormat/>
    <w:rsid w:val="00D622E9"/>
    <w:pPr>
      <w:keepNext/>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outlineLvl w:val="0"/>
    </w:pPr>
    <w:rPr>
      <w:b/>
      <w:sz w:val="28"/>
      <w:u w:val="single"/>
    </w:rPr>
  </w:style>
  <w:style w:type="paragraph" w:styleId="Nadpis2">
    <w:name w:val="heading 2"/>
    <w:basedOn w:val="Normln"/>
    <w:next w:val="Normln"/>
    <w:link w:val="Nadpis2Char"/>
    <w:qFormat/>
    <w:rsid w:val="00D622E9"/>
    <w:pPr>
      <w:numPr>
        <w:ilvl w:val="1"/>
        <w:numId w:val="1"/>
      </w:numPr>
      <w:jc w:val="both"/>
      <w:outlineLvl w:val="1"/>
    </w:pPr>
  </w:style>
  <w:style w:type="paragraph" w:styleId="Nadpis3">
    <w:name w:val="heading 3"/>
    <w:basedOn w:val="Normln"/>
    <w:next w:val="Nzev"/>
    <w:link w:val="Nadpis3Char"/>
    <w:qFormat/>
    <w:rsid w:val="00630396"/>
    <w:pPr>
      <w:numPr>
        <w:ilvl w:val="2"/>
        <w:numId w:val="1"/>
      </w:numPr>
      <w:jc w:val="both"/>
      <w:outlineLvl w:val="2"/>
    </w:pPr>
  </w:style>
  <w:style w:type="paragraph" w:styleId="Nadpis4">
    <w:name w:val="heading 4"/>
    <w:basedOn w:val="Normln"/>
    <w:next w:val="Normln"/>
    <w:qFormat/>
    <w:rsid w:val="00D622E9"/>
    <w:pPr>
      <w:numPr>
        <w:ilvl w:val="3"/>
        <w:numId w:val="1"/>
      </w:numPr>
      <w:jc w:val="both"/>
      <w:outlineLvl w:val="3"/>
    </w:pPr>
  </w:style>
  <w:style w:type="paragraph" w:styleId="Nadpis5">
    <w:name w:val="heading 5"/>
    <w:basedOn w:val="Normln"/>
    <w:next w:val="Normln"/>
    <w:qFormat/>
    <w:rsid w:val="00D622E9"/>
    <w:pPr>
      <w:numPr>
        <w:ilvl w:val="4"/>
        <w:numId w:val="1"/>
      </w:numPr>
      <w:outlineLvl w:val="4"/>
    </w:pPr>
  </w:style>
  <w:style w:type="paragraph" w:styleId="Nadpis6">
    <w:name w:val="heading 6"/>
    <w:basedOn w:val="Normln"/>
    <w:next w:val="Normln"/>
    <w:autoRedefine/>
    <w:qFormat/>
    <w:rsid w:val="008D0F7F"/>
    <w:pPr>
      <w:outlineLvl w:val="5"/>
    </w:pPr>
    <w:rPr>
      <w:szCs w:val="32"/>
    </w:rPr>
  </w:style>
  <w:style w:type="paragraph" w:styleId="Nadpis7">
    <w:name w:val="heading 7"/>
    <w:basedOn w:val="Normln"/>
    <w:next w:val="Normln"/>
    <w:qFormat/>
    <w:rsid w:val="00226A4E"/>
    <w:pPr>
      <w:tabs>
        <w:tab w:val="num" w:pos="1296"/>
      </w:tabs>
      <w:spacing w:before="240" w:after="60"/>
      <w:ind w:left="1296" w:hanging="1296"/>
      <w:outlineLvl w:val="6"/>
    </w:pPr>
  </w:style>
  <w:style w:type="paragraph" w:styleId="Nadpis8">
    <w:name w:val="heading 8"/>
    <w:basedOn w:val="Normln"/>
    <w:next w:val="Normln"/>
    <w:qFormat/>
    <w:rsid w:val="00226A4E"/>
    <w:pPr>
      <w:tabs>
        <w:tab w:val="num" w:pos="1440"/>
      </w:tabs>
      <w:jc w:val="both"/>
      <w:outlineLvl w:val="7"/>
    </w:pPr>
  </w:style>
  <w:style w:type="paragraph" w:styleId="Nadpis9">
    <w:name w:val="heading 9"/>
    <w:basedOn w:val="Normln"/>
    <w:next w:val="Normln"/>
    <w:qFormat/>
    <w:rsid w:val="00226A4E"/>
    <w:pPr>
      <w:tabs>
        <w:tab w:val="num" w:pos="1584"/>
      </w:tabs>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00081"/>
    <w:pPr>
      <w:spacing w:before="240" w:after="60"/>
      <w:jc w:val="center"/>
      <w:outlineLvl w:val="0"/>
    </w:pPr>
    <w:rPr>
      <w:rFonts w:ascii="Arial" w:hAnsi="Arial"/>
      <w:b/>
      <w:kern w:val="28"/>
      <w:sz w:val="32"/>
    </w:rPr>
  </w:style>
  <w:style w:type="paragraph" w:styleId="Zpat">
    <w:name w:val="footer"/>
    <w:basedOn w:val="Normln"/>
    <w:link w:val="ZpatChar"/>
    <w:uiPriority w:val="99"/>
    <w:rsid w:val="00C00081"/>
    <w:pPr>
      <w:tabs>
        <w:tab w:val="center" w:pos="4536"/>
        <w:tab w:val="right" w:pos="9072"/>
      </w:tabs>
    </w:pPr>
  </w:style>
  <w:style w:type="character" w:customStyle="1" w:styleId="ZpatChar">
    <w:name w:val="Zápatí Char"/>
    <w:basedOn w:val="Standardnpsmoodstavce"/>
    <w:link w:val="Zpat"/>
    <w:uiPriority w:val="99"/>
    <w:rsid w:val="00191DEC"/>
  </w:style>
  <w:style w:type="character" w:styleId="slostrnky">
    <w:name w:val="page number"/>
    <w:basedOn w:val="Standardnpsmoodstavce"/>
    <w:rsid w:val="00C00081"/>
  </w:style>
  <w:style w:type="paragraph" w:styleId="Zhlav">
    <w:name w:val="header"/>
    <w:basedOn w:val="Normln"/>
    <w:rsid w:val="00C00081"/>
    <w:pPr>
      <w:tabs>
        <w:tab w:val="center" w:pos="4536"/>
        <w:tab w:val="right" w:pos="9072"/>
      </w:tabs>
    </w:pPr>
  </w:style>
  <w:style w:type="character" w:styleId="Odkaznakoment">
    <w:name w:val="annotation reference"/>
    <w:semiHidden/>
    <w:rsid w:val="00C00081"/>
    <w:rPr>
      <w:sz w:val="16"/>
      <w:szCs w:val="16"/>
    </w:rPr>
  </w:style>
  <w:style w:type="paragraph" w:styleId="Textkomente">
    <w:name w:val="annotation text"/>
    <w:basedOn w:val="Normln"/>
    <w:semiHidden/>
    <w:rsid w:val="00C00081"/>
  </w:style>
  <w:style w:type="paragraph" w:styleId="Pedmtkomente">
    <w:name w:val="annotation subject"/>
    <w:basedOn w:val="Textkomente"/>
    <w:next w:val="Textkomente"/>
    <w:semiHidden/>
    <w:rsid w:val="00C00081"/>
    <w:rPr>
      <w:b/>
      <w:bCs/>
    </w:rPr>
  </w:style>
  <w:style w:type="paragraph" w:styleId="Textbubliny">
    <w:name w:val="Balloon Text"/>
    <w:basedOn w:val="Normln"/>
    <w:semiHidden/>
    <w:rsid w:val="00C00081"/>
    <w:rPr>
      <w:rFonts w:ascii="Tahoma" w:hAnsi="Tahoma" w:cs="Tahoma"/>
      <w:sz w:val="16"/>
      <w:szCs w:val="16"/>
    </w:rPr>
  </w:style>
  <w:style w:type="paragraph" w:styleId="Rozloendokumentu">
    <w:name w:val="Document Map"/>
    <w:basedOn w:val="Normln"/>
    <w:semiHidden/>
    <w:rsid w:val="00C00081"/>
    <w:pPr>
      <w:shd w:val="clear" w:color="auto" w:fill="000080"/>
    </w:pPr>
    <w:rPr>
      <w:rFonts w:ascii="Tahoma" w:hAnsi="Tahoma" w:cs="Tahoma"/>
    </w:rPr>
  </w:style>
  <w:style w:type="paragraph" w:customStyle="1" w:styleId="NaSted">
    <w:name w:val="NaStřed"/>
    <w:basedOn w:val="Normln"/>
    <w:rsid w:val="004448DA"/>
    <w:pPr>
      <w:jc w:val="center"/>
    </w:pPr>
    <w:rPr>
      <w:snapToGrid w:val="0"/>
    </w:rPr>
  </w:style>
  <w:style w:type="character" w:styleId="Siln">
    <w:name w:val="Strong"/>
    <w:qFormat/>
    <w:rsid w:val="004448DA"/>
    <w:rPr>
      <w:b/>
      <w:bCs/>
    </w:rPr>
  </w:style>
  <w:style w:type="paragraph" w:customStyle="1" w:styleId="odsaz10blok">
    <w:name w:val="odsaz10blok"/>
    <w:basedOn w:val="Normln"/>
    <w:rsid w:val="00B56CD3"/>
    <w:pPr>
      <w:ind w:left="567"/>
      <w:jc w:val="both"/>
    </w:pPr>
    <w:rPr>
      <w:snapToGrid w:val="0"/>
      <w:szCs w:val="24"/>
    </w:rPr>
  </w:style>
  <w:style w:type="character" w:styleId="Zvraznn">
    <w:name w:val="Emphasis"/>
    <w:qFormat/>
    <w:rsid w:val="00B56CD3"/>
    <w:rPr>
      <w:i/>
      <w:iCs/>
    </w:rPr>
  </w:style>
  <w:style w:type="paragraph" w:customStyle="1" w:styleId="Smlouva">
    <w:name w:val="Smlouva"/>
    <w:basedOn w:val="Normln"/>
    <w:rsid w:val="008D0F7F"/>
    <w:pPr>
      <w:spacing w:before="240" w:after="240"/>
      <w:jc w:val="center"/>
    </w:pPr>
    <w:rPr>
      <w:b/>
      <w:sz w:val="32"/>
    </w:rPr>
  </w:style>
  <w:style w:type="table" w:styleId="Mkatabulky">
    <w:name w:val="Table Grid"/>
    <w:basedOn w:val="Normlntabulka"/>
    <w:rsid w:val="00A16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
    <w:name w:val="zákl"/>
    <w:basedOn w:val="Normln"/>
    <w:rsid w:val="00630396"/>
    <w:pPr>
      <w:spacing w:after="60"/>
      <w:jc w:val="both"/>
    </w:pPr>
  </w:style>
  <w:style w:type="paragraph" w:styleId="Revize">
    <w:name w:val="Revision"/>
    <w:hidden/>
    <w:uiPriority w:val="99"/>
    <w:semiHidden/>
    <w:rsid w:val="00C30052"/>
    <w:rPr>
      <w:sz w:val="24"/>
    </w:rPr>
  </w:style>
  <w:style w:type="character" w:customStyle="1" w:styleId="Nadpis2Char">
    <w:name w:val="Nadpis 2 Char"/>
    <w:basedOn w:val="Standardnpsmoodstavce"/>
    <w:link w:val="Nadpis2"/>
    <w:rsid w:val="00E26EDD"/>
    <w:rPr>
      <w:sz w:val="24"/>
    </w:rPr>
  </w:style>
  <w:style w:type="character" w:customStyle="1" w:styleId="tw4winMark">
    <w:name w:val="tw4winMark"/>
    <w:uiPriority w:val="99"/>
    <w:rsid w:val="00E26EDD"/>
    <w:rPr>
      <w:rFonts w:ascii="Courier New" w:hAnsi="Courier New"/>
      <w:vanish/>
      <w:color w:val="800080"/>
      <w:vertAlign w:val="subscript"/>
    </w:rPr>
  </w:style>
  <w:style w:type="character" w:customStyle="1" w:styleId="Nadpis3Char">
    <w:name w:val="Nadpis 3 Char"/>
    <w:basedOn w:val="Standardnpsmoodstavce"/>
    <w:link w:val="Nadpis3"/>
    <w:rsid w:val="00593F9F"/>
    <w:rPr>
      <w:sz w:val="24"/>
    </w:rPr>
  </w:style>
  <w:style w:type="character" w:customStyle="1" w:styleId="Nadpis1Char">
    <w:name w:val="Nadpis 1 Char"/>
    <w:basedOn w:val="Standardnpsmoodstavce"/>
    <w:link w:val="Nadpis1"/>
    <w:uiPriority w:val="9"/>
    <w:rsid w:val="006030BC"/>
    <w:rPr>
      <w:b/>
      <w:sz w:val="28"/>
      <w:u w:val="single"/>
    </w:rPr>
  </w:style>
  <w:style w:type="paragraph" w:styleId="Odstavecseseznamem">
    <w:name w:val="List Paragraph"/>
    <w:basedOn w:val="Normln"/>
    <w:uiPriority w:val="34"/>
    <w:qFormat/>
    <w:rsid w:val="000D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99FE-8436-4D76-A863-DE2B8DE9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6583</Words>
  <Characters>39968</Characters>
  <Application>Microsoft Office Word</Application>
  <DocSecurity>0</DocSecurity>
  <Lines>333</Lines>
  <Paragraphs>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46459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2017-03-21T12:26:00Z</dcterms:created>
  <dcterms:modified xsi:type="dcterms:W3CDTF">2017-03-21T12:26:00Z</dcterms:modified>
</cp:coreProperties>
</file>