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28" w:rsidRDefault="005A1528" w:rsidP="005A1528">
      <w:pPr>
        <w:pStyle w:val="Zkladntext20"/>
        <w:shd w:val="clear" w:color="auto" w:fill="auto"/>
        <w:ind w:left="567"/>
      </w:pP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rPr>
          <w:b/>
          <w:bCs/>
        </w:rPr>
        <w:t xml:space="preserve">Památník národního písemnictví, </w:t>
      </w:r>
      <w:r>
        <w:t>státní příspěvková organizace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t>se sídlem: Strahovské nádvoří 1/132,118 38 Praha 1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t>IČO: 000 23 311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  <w:jc w:val="both"/>
      </w:pPr>
      <w:r>
        <w:t xml:space="preserve">zastoupený: Mgr. Zdeňkem Freislebenem, ředitelem PNP kontaktní osoba: </w:t>
      </w:r>
      <w:r w:rsidR="005A1528">
        <w:t>xxx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t xml:space="preserve">bankovní </w:t>
      </w:r>
      <w:r>
        <w:t>spojení: Česká národní banka, č. ú.: 10437011 /0710</w:t>
      </w:r>
    </w:p>
    <w:p w:rsidR="001D61AA" w:rsidRDefault="00C12CD9" w:rsidP="005A1528">
      <w:pPr>
        <w:pStyle w:val="Zkladntext1"/>
        <w:shd w:val="clear" w:color="auto" w:fill="auto"/>
        <w:spacing w:after="260" w:line="262" w:lineRule="auto"/>
        <w:ind w:left="567"/>
      </w:pPr>
      <w:r>
        <w:t xml:space="preserve">(dále jen </w:t>
      </w:r>
      <w:r>
        <w:rPr>
          <w:b/>
          <w:bCs/>
        </w:rPr>
        <w:t>„půjčitel")</w:t>
      </w:r>
    </w:p>
    <w:p w:rsidR="001D61AA" w:rsidRDefault="00C12CD9" w:rsidP="005A1528">
      <w:pPr>
        <w:pStyle w:val="Zkladntext1"/>
        <w:shd w:val="clear" w:color="auto" w:fill="auto"/>
        <w:spacing w:after="260" w:line="262" w:lineRule="auto"/>
        <w:ind w:left="567"/>
        <w:jc w:val="both"/>
      </w:pPr>
      <w:r>
        <w:t>a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rPr>
          <w:b/>
          <w:bCs/>
        </w:rPr>
        <w:t xml:space="preserve">Národní památkový ústav, </w:t>
      </w:r>
      <w:r>
        <w:t>státní příspěvková organizace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t>IČO: 750 32 333, DIČ: CZ75032333,</w:t>
      </w:r>
    </w:p>
    <w:p w:rsidR="001D61AA" w:rsidRDefault="00C12CD9" w:rsidP="005A1528">
      <w:pPr>
        <w:pStyle w:val="Zkladntext1"/>
        <w:shd w:val="clear" w:color="auto" w:fill="auto"/>
        <w:spacing w:line="262" w:lineRule="auto"/>
        <w:ind w:left="567"/>
      </w:pPr>
      <w:r>
        <w:t>se sídlem: Valdštejnské nám. 162/3, PSČ 118 01 Praha 1 - Malá Strana, zastoupen: Ing. arch.</w:t>
      </w:r>
      <w:r>
        <w:t xml:space="preserve"> Naděždou Goryczkovou, generální ředitelkou bankovní spojení: Česká národní banka, č. ú.: 60039011/0710 kontaktní osoba: </w:t>
      </w:r>
      <w:r w:rsidR="005A1528">
        <w:t>xxx</w:t>
      </w:r>
    </w:p>
    <w:p w:rsidR="001D61AA" w:rsidRDefault="00C12CD9" w:rsidP="005A1528">
      <w:pPr>
        <w:pStyle w:val="Zkladntext1"/>
        <w:shd w:val="clear" w:color="auto" w:fill="auto"/>
        <w:spacing w:after="1080" w:line="262" w:lineRule="auto"/>
        <w:ind w:left="567"/>
        <w:jc w:val="both"/>
      </w:pPr>
      <w:r>
        <w:t xml:space="preserve">(dále jen </w:t>
      </w:r>
      <w:r>
        <w:rPr>
          <w:b/>
          <w:bCs/>
        </w:rPr>
        <w:t>„výpůjčitel")</w:t>
      </w:r>
    </w:p>
    <w:p w:rsidR="001D61AA" w:rsidRDefault="00C12CD9" w:rsidP="005A1528">
      <w:pPr>
        <w:pStyle w:val="Zkladntext1"/>
        <w:shd w:val="clear" w:color="auto" w:fill="auto"/>
        <w:ind w:left="567"/>
        <w:jc w:val="center"/>
      </w:pPr>
      <w:r>
        <w:t>jako smluvní strany uzavřely níže uvedeného dne, měsíce a roku tento</w:t>
      </w:r>
    </w:p>
    <w:p w:rsidR="001D61AA" w:rsidRDefault="00C12CD9" w:rsidP="005A1528">
      <w:pPr>
        <w:pStyle w:val="Zkladntext1"/>
        <w:shd w:val="clear" w:color="auto" w:fill="auto"/>
        <w:spacing w:after="260"/>
        <w:ind w:left="567"/>
        <w:jc w:val="center"/>
      </w:pPr>
      <w:r>
        <w:rPr>
          <w:b/>
          <w:bCs/>
        </w:rPr>
        <w:t>Dodatek č. 1 ke Smlouvě</w:t>
      </w:r>
      <w:r>
        <w:rPr>
          <w:b/>
          <w:bCs/>
        </w:rPr>
        <w:t xml:space="preserve"> o dočasném bezplatném užívání kulturního mobiliáře:</w:t>
      </w:r>
    </w:p>
    <w:p w:rsidR="001D61AA" w:rsidRDefault="00C12CD9" w:rsidP="005A1528">
      <w:pPr>
        <w:pStyle w:val="Zkladntext1"/>
        <w:shd w:val="clear" w:color="auto" w:fill="auto"/>
        <w:spacing w:line="264" w:lineRule="auto"/>
        <w:ind w:left="567"/>
        <w:jc w:val="center"/>
      </w:pPr>
      <w:r>
        <w:rPr>
          <w:b/>
          <w:bCs/>
        </w:rPr>
        <w:t>Článek I.</w:t>
      </w:r>
    </w:p>
    <w:p w:rsidR="001D61AA" w:rsidRDefault="00C12CD9" w:rsidP="005A1528">
      <w:pPr>
        <w:pStyle w:val="Nadpis10"/>
        <w:keepNext/>
        <w:keepLines/>
        <w:shd w:val="clear" w:color="auto" w:fill="auto"/>
        <w:spacing w:line="264" w:lineRule="auto"/>
        <w:ind w:left="567"/>
      </w:pPr>
      <w:bookmarkStart w:id="0" w:name="bookmark0"/>
      <w:bookmarkStart w:id="1" w:name="bookmark1"/>
      <w:r>
        <w:t>Úvodní ustanovení</w:t>
      </w:r>
      <w:bookmarkEnd w:id="0"/>
      <w:bookmarkEnd w:id="1"/>
    </w:p>
    <w:p w:rsidR="001D61AA" w:rsidRDefault="00C12CD9" w:rsidP="005A1528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line="264" w:lineRule="auto"/>
        <w:ind w:left="567" w:hanging="360"/>
        <w:jc w:val="both"/>
      </w:pPr>
      <w:r>
        <w:t xml:space="preserve">Výše uvedené smluvní strany prohlašují, že dne 18. 6. 2021 uzavřely Smlouvu o dočasném bezplatném užívání kulturního mobiliáře, v NPÚ pod č.j.: NPÚ- 310/48617/2021 (dále jen </w:t>
      </w:r>
      <w:r>
        <w:t>„Smlouva")</w:t>
      </w:r>
    </w:p>
    <w:p w:rsidR="001D61AA" w:rsidRDefault="00C12CD9" w:rsidP="005A1528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after="260" w:line="264" w:lineRule="auto"/>
        <w:ind w:left="567" w:hanging="360"/>
        <w:jc w:val="both"/>
      </w:pPr>
      <w:r>
        <w:t>S ohledem na následné ujednání mezi stranami dochází k rozšíření předmětu výpůjčky, a proto se smluvní strany dohodly na níže uvedené změně Smlouvy.</w:t>
      </w:r>
    </w:p>
    <w:p w:rsidR="001D61AA" w:rsidRDefault="00C12CD9" w:rsidP="005A1528">
      <w:pPr>
        <w:pStyle w:val="Zkladntext1"/>
        <w:shd w:val="clear" w:color="auto" w:fill="auto"/>
        <w:ind w:left="567"/>
        <w:jc w:val="center"/>
      </w:pPr>
      <w:r>
        <w:rPr>
          <w:b/>
          <w:bCs/>
        </w:rPr>
        <w:t>Článek II.</w:t>
      </w:r>
    </w:p>
    <w:p w:rsidR="001D61AA" w:rsidRDefault="00C12CD9" w:rsidP="005A1528">
      <w:pPr>
        <w:pStyle w:val="Nadpis10"/>
        <w:keepNext/>
        <w:keepLines/>
        <w:shd w:val="clear" w:color="auto" w:fill="auto"/>
        <w:spacing w:line="259" w:lineRule="auto"/>
        <w:ind w:left="567"/>
      </w:pPr>
      <w:bookmarkStart w:id="2" w:name="bookmark2"/>
      <w:bookmarkStart w:id="3" w:name="bookmark3"/>
      <w:r>
        <w:t>Předmět Dodatku</w:t>
      </w:r>
      <w:bookmarkEnd w:id="2"/>
      <w:bookmarkEnd w:id="3"/>
    </w:p>
    <w:p w:rsidR="001D61AA" w:rsidRDefault="00C12CD9" w:rsidP="005A1528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ind w:left="567" w:hanging="360"/>
        <w:jc w:val="both"/>
      </w:pPr>
      <w:r>
        <w:t>Smluvní strany se dohodly, že bude rozšířen předmět výpůjčky o soubor</w:t>
      </w:r>
      <w:r>
        <w:t xml:space="preserve"> nábytku, podrobně specifikovaný v příloze tohoto Dodatku.</w:t>
      </w:r>
    </w:p>
    <w:p w:rsidR="001D61AA" w:rsidRDefault="00C12CD9" w:rsidP="005A1528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ind w:left="567" w:hanging="360"/>
        <w:jc w:val="both"/>
      </w:pPr>
      <w:r>
        <w:t xml:space="preserve">Z výše uvedeného důvodu si smluvní strany sjednaly, že znění článku č. I. odstavec 1. se mění a nově zní takto: se nahrazuje tímto zněním: </w:t>
      </w:r>
      <w:r>
        <w:rPr>
          <w:i/>
          <w:iCs/>
        </w:rPr>
        <w:t>„Půjčitel je příslušný hospodařit s movitými věcmi ve vlas</w:t>
      </w:r>
      <w:r>
        <w:rPr>
          <w:i/>
          <w:iCs/>
        </w:rPr>
        <w:t>tnictví státu, které se nacházejí v jeho depozitářích a jsou uvedené v přílohách č. 1 — 5 této smlouvy (dále jen „předmět výpůjčky"). Podrobnější specifikace předmětů je uvedena v daných přílohách i s fotografiemi."</w:t>
      </w:r>
    </w:p>
    <w:p w:rsidR="001D61AA" w:rsidRDefault="00C12CD9" w:rsidP="005A1528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ind w:left="567" w:hanging="360"/>
        <w:jc w:val="both"/>
      </w:pPr>
      <w:r>
        <w:t xml:space="preserve">Dále se mění znění článku č. III. odst. </w:t>
      </w:r>
      <w:r>
        <w:t xml:space="preserve">1 a nově zní: </w:t>
      </w:r>
      <w:r>
        <w:rPr>
          <w:i/>
          <w:iCs/>
        </w:rPr>
        <w:t>„Výpůjčitel bude předmět výpůjčky používat k tomuto účelu: prezentace na vybraných památkových objektech."</w:t>
      </w:r>
    </w:p>
    <w:p w:rsidR="001D61AA" w:rsidRDefault="00C12CD9" w:rsidP="005A1528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ind w:left="567" w:hanging="283"/>
      </w:pPr>
      <w:r>
        <w:t>Seznam příloh ve Smlouvě se doplňuje o přílohu č. 5, která je součástí tohoto Dodatku</w:t>
      </w:r>
    </w:p>
    <w:p w:rsidR="001D61AA" w:rsidRDefault="00C12CD9" w:rsidP="005A1528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260"/>
        <w:ind w:left="567" w:hanging="283"/>
      </w:pPr>
      <w:r>
        <w:t xml:space="preserve">Příloha č. 1 Smlouvy se upravuje a nově zní: </w:t>
      </w:r>
      <w:r>
        <w:t>Seznam předmětů výpůjčky s fotografiemi (Praha)</w:t>
      </w:r>
    </w:p>
    <w:p w:rsidR="005A1528" w:rsidRPr="005A1528" w:rsidRDefault="005A1528" w:rsidP="005A1528">
      <w:pPr>
        <w:pStyle w:val="Zkladntext1"/>
        <w:tabs>
          <w:tab w:val="left" w:pos="719"/>
        </w:tabs>
        <w:spacing w:line="240" w:lineRule="auto"/>
        <w:ind w:left="567"/>
        <w:jc w:val="center"/>
        <w:rPr>
          <w:b/>
        </w:rPr>
      </w:pPr>
      <w:r w:rsidRPr="005A1528">
        <w:rPr>
          <w:b/>
        </w:rPr>
        <w:t>Článek III.</w:t>
      </w:r>
    </w:p>
    <w:p w:rsidR="005A1528" w:rsidRPr="005A1528" w:rsidRDefault="005A1528" w:rsidP="005A1528">
      <w:pPr>
        <w:pStyle w:val="Zkladntext1"/>
        <w:tabs>
          <w:tab w:val="left" w:pos="719"/>
        </w:tabs>
        <w:spacing w:line="240" w:lineRule="auto"/>
        <w:ind w:left="567"/>
        <w:jc w:val="center"/>
        <w:rPr>
          <w:b/>
        </w:rPr>
      </w:pPr>
      <w:r w:rsidRPr="005A1528">
        <w:rPr>
          <w:b/>
        </w:rPr>
        <w:t>Závěrečná ustanovení</w:t>
      </w:r>
    </w:p>
    <w:p w:rsidR="005A1528" w:rsidRDefault="005A1528" w:rsidP="005A1528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260"/>
        <w:ind w:left="567" w:hanging="283"/>
      </w:pPr>
      <w:r>
        <w:t>Ostatní ustanovení Smlouvy zůstávají nezměněna.</w:t>
      </w:r>
    </w:p>
    <w:p w:rsidR="005A1528" w:rsidRDefault="005A1528" w:rsidP="005A1528">
      <w:pPr>
        <w:pStyle w:val="Zkladntext1"/>
        <w:shd w:val="clear" w:color="auto" w:fill="auto"/>
        <w:tabs>
          <w:tab w:val="left" w:pos="719"/>
        </w:tabs>
        <w:spacing w:after="260"/>
        <w:ind w:left="567"/>
      </w:pPr>
    </w:p>
    <w:p w:rsidR="005A1528" w:rsidRDefault="005A1528" w:rsidP="005A1528">
      <w:pPr>
        <w:pStyle w:val="Default"/>
        <w:numPr>
          <w:ilvl w:val="0"/>
          <w:numId w:val="3"/>
        </w:numPr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Tento Dodatek ke Smlouvě byl sepsán ve dvou vyhotoveních. Každá ze smluvních stran obdrží po jednom totožném vyhotovení. </w:t>
      </w:r>
    </w:p>
    <w:p w:rsidR="005A1528" w:rsidRDefault="005A1528" w:rsidP="005A1528">
      <w:pPr>
        <w:pStyle w:val="Default"/>
        <w:numPr>
          <w:ilvl w:val="0"/>
          <w:numId w:val="3"/>
        </w:numPr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Tento Dodatek podléhá povinnosti uveřejnění dle zákona č. 340/2015 Sb., o zvláštních podmínkách účinnosti některých smluv, uveřejňování těchto smluv a o registru smluv (zákon o registru smluv). Tento Dodatek nabude účinnosti dnem uveřejnění a jeho uveřejnění zajistí NPÚ. Smluvní strany berou na vědomí, že tento Dodatek může být předmětem zveřejnění i dle jiných právních předpisů. </w:t>
      </w:r>
    </w:p>
    <w:p w:rsidR="005A1528" w:rsidRDefault="005A1528" w:rsidP="005A1528">
      <w:pPr>
        <w:pStyle w:val="Default"/>
        <w:numPr>
          <w:ilvl w:val="0"/>
          <w:numId w:val="3"/>
        </w:numPr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strany se zavazují spolupůsobit jako osoba povinná v souladu se zákonem č. 320/2001 Sb., o finanční kontrole ve veřejné správě a o změně některých zákonů (zákon o finanční kontrole), ve znění pozdějších předpisů. </w:t>
      </w:r>
    </w:p>
    <w:p w:rsidR="005A1528" w:rsidRDefault="005A1528" w:rsidP="005A1528">
      <w:pPr>
        <w:pStyle w:val="Default"/>
        <w:numPr>
          <w:ilvl w:val="0"/>
          <w:numId w:val="3"/>
        </w:numPr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strany prohlašují, že tento Dodatek uzavřely podle své pravé a svobodné vůle prosté omylů, nikoliv v tísni a že vzájemné plnění dle tohoto Dodatku nenív hrubém nepoměru. Tento Dodatek je pro obě smluvní strany určitý a srozumitelný. </w:t>
      </w:r>
    </w:p>
    <w:p w:rsidR="005A1528" w:rsidRDefault="005A1528" w:rsidP="005A1528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Informace k ochraně osobních údajů jsou ze strany NPÚ uveřejněny na webových stránkách </w:t>
      </w:r>
      <w:r>
        <w:rPr>
          <w:color w:val="115FB3"/>
          <w:sz w:val="20"/>
          <w:szCs w:val="20"/>
        </w:rPr>
        <w:t xml:space="preserve">www.npu.cz </w:t>
      </w:r>
      <w:r>
        <w:rPr>
          <w:sz w:val="20"/>
          <w:szCs w:val="20"/>
        </w:rPr>
        <w:t xml:space="preserve">v sekci „Ochrana osobních údajů". </w:t>
      </w:r>
    </w:p>
    <w:p w:rsidR="001D61AA" w:rsidRPr="005A1528" w:rsidRDefault="005A1528" w:rsidP="005A1528">
      <w:pPr>
        <w:pStyle w:val="Odstavecseseznamem"/>
        <w:numPr>
          <w:ilvl w:val="0"/>
          <w:numId w:val="3"/>
        </w:numPr>
        <w:spacing w:line="360" w:lineRule="exact"/>
        <w:ind w:left="567" w:hanging="283"/>
        <w:rPr>
          <w:rFonts w:asciiTheme="minorHAnsi" w:hAnsiTheme="minorHAnsi" w:cstheme="minorHAnsi"/>
        </w:rPr>
      </w:pPr>
      <w:r w:rsidRPr="005A1528">
        <w:rPr>
          <w:rFonts w:asciiTheme="minorHAnsi" w:hAnsiTheme="minorHAnsi" w:cstheme="minorHAnsi"/>
          <w:sz w:val="20"/>
          <w:szCs w:val="20"/>
        </w:rPr>
        <w:lastRenderedPageBreak/>
        <w:t>Nedílnou součástí tohoto dodatku je i: Příloha č. 5: Seznam předmětů výpůjčky s fotografiemi (Slatiňany).</w:t>
      </w: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Default="005A1528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24195C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Praze</w:t>
      </w:r>
      <w:r w:rsidR="0024195C">
        <w:rPr>
          <w:rFonts w:asciiTheme="minorHAnsi" w:hAnsiTheme="minorHAnsi" w:cstheme="minorHAnsi"/>
          <w:sz w:val="20"/>
          <w:szCs w:val="20"/>
        </w:rPr>
        <w:t xml:space="preserve">, dne </w:t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</w:r>
      <w:r w:rsidR="0024195C">
        <w:rPr>
          <w:rFonts w:asciiTheme="minorHAnsi" w:hAnsiTheme="minorHAnsi" w:cstheme="minorHAnsi"/>
          <w:sz w:val="20"/>
          <w:szCs w:val="20"/>
        </w:rPr>
        <w:tab/>
        <w:t>V Praze, dne</w:t>
      </w:r>
    </w:p>
    <w:p w:rsidR="0024195C" w:rsidRDefault="0024195C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24195C" w:rsidRDefault="0024195C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24195C" w:rsidRDefault="0024195C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24195C" w:rsidRPr="005A1528" w:rsidRDefault="0024195C" w:rsidP="0024195C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24195C" w:rsidRDefault="0024195C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Mgr. Zdeněk Freisleben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Ing. arch. Naděžda Goryczková</w:t>
      </w:r>
    </w:p>
    <w:p w:rsidR="0024195C" w:rsidRPr="005A1528" w:rsidRDefault="0024195C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</w:t>
      </w:r>
      <w:bookmarkStart w:id="4" w:name="_GoBack"/>
      <w:bookmarkEnd w:id="4"/>
      <w:r>
        <w:rPr>
          <w:rFonts w:asciiTheme="minorHAnsi" w:hAnsiTheme="minorHAnsi" w:cstheme="minorHAnsi"/>
          <w:sz w:val="20"/>
          <w:szCs w:val="20"/>
        </w:rPr>
        <w:t>editel PNP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generální ředitelka NPÚ</w:t>
      </w: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360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after="705" w:line="1" w:lineRule="exact"/>
        <w:ind w:left="567"/>
        <w:rPr>
          <w:rFonts w:asciiTheme="minorHAnsi" w:hAnsiTheme="minorHAnsi" w:cstheme="minorHAnsi"/>
          <w:sz w:val="20"/>
          <w:szCs w:val="20"/>
        </w:rPr>
      </w:pPr>
    </w:p>
    <w:p w:rsidR="001D61AA" w:rsidRPr="005A1528" w:rsidRDefault="001D61AA" w:rsidP="005A1528">
      <w:pPr>
        <w:spacing w:line="1" w:lineRule="exact"/>
        <w:ind w:left="567"/>
        <w:rPr>
          <w:rFonts w:asciiTheme="minorHAnsi" w:hAnsiTheme="minorHAnsi" w:cstheme="minorHAnsi"/>
          <w:sz w:val="20"/>
          <w:szCs w:val="20"/>
        </w:rPr>
      </w:pPr>
    </w:p>
    <w:sectPr w:rsidR="001D61AA" w:rsidRPr="005A1528">
      <w:pgSz w:w="11900" w:h="16840"/>
      <w:pgMar w:top="301" w:right="1376" w:bottom="301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9" w:rsidRDefault="00C12CD9">
      <w:r>
        <w:separator/>
      </w:r>
    </w:p>
  </w:endnote>
  <w:endnote w:type="continuationSeparator" w:id="0">
    <w:p w:rsidR="00C12CD9" w:rsidRDefault="00C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9" w:rsidRDefault="00C12CD9"/>
  </w:footnote>
  <w:footnote w:type="continuationSeparator" w:id="0">
    <w:p w:rsidR="00C12CD9" w:rsidRDefault="00C12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7441"/>
    <w:multiLevelType w:val="multilevel"/>
    <w:tmpl w:val="3844D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226BC4"/>
    <w:multiLevelType w:val="multilevel"/>
    <w:tmpl w:val="3844D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A22DF"/>
    <w:multiLevelType w:val="multilevel"/>
    <w:tmpl w:val="E97248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A"/>
    <w:rsid w:val="001D61AA"/>
    <w:rsid w:val="0024195C"/>
    <w:rsid w:val="005A1528"/>
    <w:rsid w:val="00C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77D"/>
  <w15:docId w15:val="{BE13E321-8A41-478F-9479-2BF11FD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2" w:lineRule="auto"/>
      <w:ind w:left="-68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5A152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Odstavecseseznamem">
    <w:name w:val="List Paragraph"/>
    <w:basedOn w:val="Normln"/>
    <w:uiPriority w:val="34"/>
    <w:qFormat/>
    <w:rsid w:val="005A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KMBT_C224-20210830095449</vt:lpstr>
    </vt:vector>
  </TitlesOfParts>
  <Company>HP Inc.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KMBT_C224-20210830095449</dc:title>
  <dc:subject/>
  <dc:creator/>
  <cp:keywords/>
  <cp:lastModifiedBy>Janouchová Miroslava</cp:lastModifiedBy>
  <cp:revision>2</cp:revision>
  <dcterms:created xsi:type="dcterms:W3CDTF">2021-09-03T06:36:00Z</dcterms:created>
  <dcterms:modified xsi:type="dcterms:W3CDTF">2021-09-03T06:47:00Z</dcterms:modified>
</cp:coreProperties>
</file>