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231775" distL="114300" distR="114300" simplePos="0" relativeHeight="125829378" behindDoc="0" locked="0" layoutInCell="1" allowOverlap="1">
            <wp:simplePos x="0" y="0"/>
            <wp:positionH relativeFrom="page">
              <wp:posOffset>5418455</wp:posOffset>
            </wp:positionH>
            <wp:positionV relativeFrom="paragraph">
              <wp:posOffset>12700</wp:posOffset>
            </wp:positionV>
            <wp:extent cx="1475105" cy="38417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75105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478790</wp:posOffset>
                </wp:positionV>
                <wp:extent cx="600710" cy="14605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2021005088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9.15000000000003pt;margin-top:37.700000000000003pt;width:47.300000000000004pt;height:11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2021005088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8"/>
          <w:b/>
          <w:bCs/>
        </w:rPr>
        <w:t>KUPNÍ SMLOUVA</w:t>
      </w:r>
      <w:bookmarkEnd w:id="0"/>
    </w:p>
    <w:p>
      <w:pPr>
        <w:pStyle w:val="Style1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13"/>
        </w:rPr>
        <w:t>podle ustanovení § 2079 a násl. zákona č. 89/2012 Sb., občanský zákoník,</w:t>
        <w:br/>
        <w:t>uzavřená mezi</w:t>
      </w:r>
      <w:bookmarkEnd w:id="2"/>
    </w:p>
    <w:tbl>
      <w:tblPr>
        <w:tblOverlap w:val="never"/>
        <w:jc w:val="center"/>
        <w:tblLayout w:type="fixed"/>
      </w:tblPr>
      <w:tblGrid>
        <w:gridCol w:w="2726"/>
        <w:gridCol w:w="6374"/>
      </w:tblGrid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8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Kamenice 798/1 d, 625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MUDr. Hana Albrechtová, ředitelka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spacing w:val="1"/>
                <w:shd w:val="clear" w:color="auto" w:fill="000000"/>
              </w:rPr>
              <w:t>.</w:t>
            </w:r>
            <w:r>
              <w:rPr>
                <w:rStyle w:val="CharStyle18"/>
                <w:spacing w:val="2"/>
                <w:shd w:val="clear" w:color="auto" w:fill="000000"/>
              </w:rPr>
              <w:t>.............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2"/>
                <w:shd w:val="clear" w:color="auto" w:fill="000000"/>
              </w:rPr>
              <w:t>....</w:t>
            </w:r>
            <w:r>
              <w:rPr>
                <w:rStyle w:val="CharStyle18"/>
                <w:spacing w:val="3"/>
                <w:shd w:val="clear" w:color="auto" w:fill="000000"/>
              </w:rPr>
              <w:t>..........</w:t>
            </w:r>
            <w:r>
              <w:rPr>
                <w:rStyle w:val="CharStyle18"/>
                <w:u w:val="single"/>
                <w:shd w:val="clear" w:color="auto" w:fill="000000"/>
                <w:lang w:val="en-US" w:eastAsia="en-US" w:bidi="en-US"/>
              </w:rPr>
              <w:t>​.......................</w:t>
            </w:r>
            <w:r>
              <w:rPr>
                <w:rStyle w:val="CharStyle18"/>
                <w:spacing w:val="1"/>
                <w:u w:val="single"/>
                <w:shd w:val="clear" w:color="auto" w:fill="000000"/>
                <w:lang w:val="en-US" w:eastAsia="en-US" w:bidi="en-US"/>
              </w:rPr>
              <w:t>..........</w:t>
            </w:r>
            <w:r>
              <w:rPr>
                <w:rStyle w:val="CharStyle18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7"/>
                <w:shd w:val="clear" w:color="auto" w:fill="000000"/>
              </w:rPr>
              <w:t>.....</w:t>
            </w:r>
            <w:r>
              <w:rPr>
                <w:rStyle w:val="CharStyle18"/>
                <w:spacing w:val="8"/>
                <w:shd w:val="clear" w:color="auto" w:fill="000000"/>
              </w:rPr>
              <w:t>.</w:t>
            </w:r>
            <w:r>
              <w:rPr>
                <w:rStyle w:val="CharStyle18"/>
                <w:shd w:val="clear" w:color="auto" w:fill="000000"/>
              </w:rPr>
              <w:t>​.......</w:t>
            </w:r>
            <w:r>
              <w:rPr>
                <w:rStyle w:val="CharStyle18"/>
                <w:spacing w:val="1"/>
                <w:shd w:val="clear" w:color="auto" w:fill="000000"/>
              </w:rPr>
              <w:t>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8"/>
                <w:shd w:val="clear" w:color="auto" w:fill="000000"/>
              </w:rPr>
              <w:t>.</w:t>
            </w:r>
            <w:r>
              <w:rPr>
                <w:rStyle w:val="CharStyle18"/>
                <w:spacing w:val="9"/>
                <w:shd w:val="clear" w:color="auto" w:fill="000000"/>
              </w:rPr>
              <w:t>.....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6"/>
                <w:shd w:val="clear" w:color="auto" w:fill="000000"/>
              </w:rPr>
              <w:t>....</w:t>
            </w:r>
            <w:r>
              <w:rPr>
                <w:rStyle w:val="CharStyle18"/>
                <w:spacing w:val="7"/>
                <w:shd w:val="clear" w:color="auto" w:fill="000000"/>
              </w:rPr>
              <w:t>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10"/>
                <w:shd w:val="clear" w:color="auto" w:fill="000000"/>
              </w:rPr>
              <w:t>..</w:t>
            </w:r>
            <w:r>
              <w:rPr>
                <w:rStyle w:val="CharStyle18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80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IČO: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DIČ: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Zápis v OR: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00346292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CZ00346292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Krajský soud v Brně sp. zn. Pr 1245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MONETA Money Bank, a.s., č. ú.</w:t>
            </w:r>
            <w:r>
              <w:rPr>
                <w:rStyle w:val="CharStyle18"/>
                <w:shd w:val="clear" w:color="auto" w:fill="000000"/>
              </w:rPr>
              <w:t>.​</w:t>
            </w:r>
            <w:r>
              <w:rPr>
                <w:rStyle w:val="CharStyle18"/>
                <w:spacing w:val="1"/>
                <w:shd w:val="clear" w:color="auto" w:fill="000000"/>
              </w:rPr>
              <w:t>........................</w:t>
            </w:r>
            <w:r>
              <w:rPr>
                <w:rStyle w:val="CharStyle18"/>
                <w:spacing w:val="2"/>
                <w:shd w:val="clear" w:color="auto" w:fill="000000"/>
              </w:rPr>
              <w:t>..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 xml:space="preserve">(dále jen </w:t>
      </w:r>
      <w:r>
        <w:rPr>
          <w:rStyle w:val="CharStyle15"/>
          <w:b/>
          <w:bCs/>
          <w:i/>
          <w:iCs/>
        </w:rPr>
        <w:t>„kupující')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26"/>
        <w:gridCol w:w="6370"/>
      </w:tblGrid>
      <w:tr>
        <w:trPr>
          <w:trHeight w:val="64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d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b/>
                <w:bCs/>
              </w:rPr>
              <w:t>M e d i m spol. s r.o.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Selská 80, 614 00 Brno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Vladimír Pelánek, jednatel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spacing w:val="1"/>
                <w:shd w:val="clear" w:color="auto" w:fill="000000"/>
              </w:rPr>
              <w:t>...............</w:t>
            </w:r>
            <w:r>
              <w:rPr>
                <w:rStyle w:val="CharStyle18"/>
                <w:shd w:val="clear" w:color="auto" w:fill="000000"/>
              </w:rPr>
              <w:t>​.............</w:t>
            </w:r>
            <w:r>
              <w:rPr>
                <w:rStyle w:val="CharStyle18"/>
                <w:spacing w:val="1"/>
                <w:shd w:val="clear" w:color="auto" w:fill="000000"/>
              </w:rPr>
              <w:t>...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47903279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CZ47903279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C9264</w:t>
            </w:r>
          </w:p>
        </w:tc>
      </w:tr>
      <w:tr>
        <w:trPr>
          <w:trHeight w:val="40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 xml:space="preserve">Komerční banka, a.s., č.ú. </w:t>
            </w:r>
            <w:r>
              <w:rPr>
                <w:rStyle w:val="CharStyle18"/>
                <w:spacing w:val="1"/>
                <w:shd w:val="clear" w:color="auto" w:fill="000000"/>
              </w:rPr>
              <w:t>.........</w:t>
            </w:r>
            <w:r>
              <w:rPr>
                <w:rStyle w:val="CharStyle18"/>
                <w:spacing w:val="2"/>
                <w:shd w:val="clear" w:color="auto" w:fill="000000"/>
              </w:rPr>
              <w:t>.................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5"/>
        </w:rPr>
        <w:t xml:space="preserve">(dále jen </w:t>
      </w:r>
      <w:r>
        <w:rPr>
          <w:rStyle w:val="CharStyle15"/>
          <w:b/>
          <w:bCs/>
          <w:i/>
          <w:iCs/>
        </w:rPr>
        <w:t>„prodávající')</w:t>
      </w:r>
    </w:p>
    <w:p>
      <w:pPr>
        <w:widowControl w:val="0"/>
        <w:spacing w:after="1039" w:line="1" w:lineRule="exact"/>
      </w:pP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40"/>
        <w:ind w:left="0" w:right="0" w:firstLine="0"/>
        <w:jc w:val="both"/>
      </w:pPr>
      <w:r>
        <w:rPr>
          <w:rStyle w:val="CharStyle5"/>
        </w:rPr>
        <w:t>Prodávající je oprávněn na základě svého vlastnického práva nakládat s tímto zbožím: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rStyle w:val="CharStyle5"/>
          <w:b/>
          <w:bCs/>
        </w:rPr>
        <w:t>60 ks zádržných systémů do vozidel s vakuovou matrací (dětských).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/>
        <w:ind w:left="420" w:right="0" w:firstLine="0"/>
        <w:jc w:val="both"/>
      </w:pPr>
      <w:r>
        <w:rPr>
          <w:rStyle w:val="CharStyle5"/>
        </w:rPr>
        <w:t>Bližší specifikace tohoto zboží a jeho jednotkové ceny jsou uvedeny v příloze č. 1, která je nedílnou součástí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60"/>
        <w:ind w:left="420" w:right="0" w:hanging="420"/>
        <w:jc w:val="both"/>
      </w:pPr>
      <w:r>
        <w:rPr>
          <w:rStyle w:val="CharStyle5"/>
        </w:rPr>
        <w:t>Prodávající prodává zboží podle čl. 1 této smlouvy se všemi jeho součástmi kupujícímu, a kupující kupuje toto zboží do svého vlastnictví za kupní cenu podle čl. 6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60" w:line="271" w:lineRule="auto"/>
        <w:ind w:left="420" w:right="0" w:hanging="420"/>
        <w:jc w:val="both"/>
      </w:pPr>
      <w:r>
        <w:rPr>
          <w:rStyle w:val="CharStyle5"/>
        </w:rPr>
        <w:t xml:space="preserve">Prodávající se zavazuje splnit svůj závazek k dodání zboží podle čl. 1 této smlouvy nejpozdéji do </w:t>
      </w:r>
      <w:r>
        <w:rPr>
          <w:rStyle w:val="CharStyle5"/>
          <w:b/>
          <w:bCs/>
        </w:rPr>
        <w:t xml:space="preserve">30.11. 2021 </w:t>
      </w:r>
      <w:r>
        <w:rPr>
          <w:rStyle w:val="CharStyle5"/>
        </w:rPr>
        <w:t>ode dne účinnosti této smlouvy, a to v místě plnění, čímž se rozumí sídlo kupujícího dle záhlaví k této smlouvě.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00"/>
        <w:ind w:left="420" w:right="0" w:hanging="420"/>
        <w:jc w:val="both"/>
      </w:pPr>
      <w:r>
        <w:rPr>
          <w:rStyle w:val="CharStyle5"/>
        </w:rPr>
        <w:t>Závazek prodávajícího k dodání zboží podle čl. 1 této smlouvy se pak považuje za splněný dnem předání a převzetí tohoto zboží, prostého všech vad, formou písemného předávacího protokolu, podepsaného oběma smluvními stranami.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260" w:line="266" w:lineRule="auto"/>
        <w:ind w:left="420" w:right="0" w:hanging="420"/>
        <w:jc w:val="both"/>
      </w:pPr>
      <w:r>
        <w:rPr>
          <w:rStyle w:val="CharStyle5"/>
        </w:rPr>
        <w:t>Nebezpečí škody na převáděném zboží a vlastnické právo k tomuto zboží přechází z prodávajícího na kupujícího dnem splnění závazku prodávajícího k dodání tohoto zboží způsobem podle čl. 4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0" w:line="286" w:lineRule="auto"/>
        <w:ind w:left="420" w:right="0" w:hanging="420"/>
        <w:jc w:val="both"/>
      </w:pPr>
      <w:r>
        <w:rPr>
          <w:rStyle w:val="CharStyle5"/>
        </w:rPr>
        <w:t>Kupující se zavazuje zaplatit prodávajícímu za předmět koupě a prodeje podle čl. 1 této smlouvy kupní cenu ve výši: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center"/>
      </w:pPr>
      <w:r>
        <w:rPr>
          <w:rStyle w:val="CharStyle5"/>
          <w:b/>
          <w:bCs/>
        </w:rPr>
        <w:t xml:space="preserve">562 200,00 Kč </w:t>
      </w:r>
      <w:r>
        <w:rPr>
          <w:rStyle w:val="CharStyle5"/>
        </w:rPr>
        <w:t xml:space="preserve">bez DPH, tzn. </w:t>
      </w:r>
      <w:r>
        <w:rPr>
          <w:rStyle w:val="CharStyle5"/>
          <w:b/>
          <w:bCs/>
        </w:rPr>
        <w:t xml:space="preserve">680 262,00 Kč </w:t>
      </w:r>
      <w:r>
        <w:rPr>
          <w:rStyle w:val="CharStyle5"/>
        </w:rPr>
        <w:t>včetně DPH.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420" w:right="0" w:firstLine="0"/>
        <w:jc w:val="both"/>
      </w:pPr>
      <w:r>
        <w:rPr>
          <w:rStyle w:val="CharStyle5"/>
        </w:rPr>
        <w:t>Součástí této ceny jsou veškeré náklady prodávajícího na splnění jeho závazku k dodání zboží podle této smlouvy. Změna ceny je možná pouze v případě zákonné změny sazby DPH.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rStyle w:val="CharStyle5"/>
        </w:rPr>
        <w:t xml:space="preserve">Kupní cena podle čl. 6 této smlouvy je splatná na účet prodávajícího po splnění závazku prodávajícího k dodání zboží podle čl. 1 této smlouvy způsobem podle čl. 4 této smlouvy ve lhůtě do 30-ti dnů ode dne doručení jejího písemného vyúčtování (daňového dokladu/faktury). Faktura bude doručena elektronicky na email: 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rStyle w:val="CharStyle5"/>
          <w:spacing w:val="2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CharStyle5"/>
          <w:shd w:val="clear" w:color="auto" w:fill="000000"/>
          <w:lang w:val="en-US" w:eastAsia="en-US" w:bidi="en-US"/>
        </w:rPr>
        <w:t>..</w:t>
      </w:r>
      <w:r>
        <w:rPr>
          <w:rStyle w:val="CharStyle5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5"/>
          <w:spacing w:val="1"/>
          <w:u w:val="single"/>
          <w:shd w:val="clear" w:color="auto" w:fill="000000"/>
          <w:lang w:val="en-US" w:eastAsia="en-US" w:bidi="en-US"/>
        </w:rPr>
        <w:t>...............................</w:t>
      </w:r>
      <w:r>
        <w:rPr>
          <w:rStyle w:val="CharStyle5"/>
          <w:spacing w:val="2"/>
          <w:u w:val="single"/>
          <w:shd w:val="clear" w:color="auto" w:fill="000000"/>
          <w:lang w:val="en-US" w:eastAsia="en-US" w:bidi="en-US"/>
        </w:rPr>
        <w:t>.</w:t>
      </w:r>
      <w:r>
        <w:rPr>
          <w:rStyle w:val="CharStyle5"/>
          <w:lang w:val="en-US" w:eastAsia="en-US" w:bidi="en-US"/>
        </w:rPr>
        <w:t xml:space="preserve"> </w:t>
      </w:r>
      <w:r>
        <w:rPr>
          <w:rStyle w:val="CharStyle5"/>
        </w:rPr>
        <w:t xml:space="preserve">a musí obsahovat mimo jiné toto číslo veřejné zakázky: </w:t>
      </w:r>
      <w:r>
        <w:rPr>
          <w:rStyle w:val="CharStyle5"/>
          <w:b/>
          <w:bCs/>
        </w:rPr>
        <w:t xml:space="preserve">P21V00001839. </w:t>
      </w:r>
      <w:r>
        <w:rPr>
          <w:rStyle w:val="CharStyle5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rStyle w:val="CharStyle5"/>
        </w:rPr>
        <w:t>S převodem zboží podle čl. 1 této smlouvy je spojena záruka za jeho jakost v trvání 24 měsíců. V rámci této záruky se prodávající zavazuje bezplatně odstraňovat vady na zboží podle čl. 1 této smlouvy, a to ve lhůtě do 1 týdne od doručení příslušné reklamace písemné kupujícího. Písemná forma reklamace se považuje za dodrženou i v případě jejího odeslání elektronickou formou. Vzhledem k povaze zboží podle čl. 1 této smlouvy lze provést odstranění vady jen výměnou vadného kusu zboží za nový bezvadný.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rStyle w:val="CharStyle5"/>
        </w:rPr>
        <w:t>Pro případ sporu o oprávněnost reklamace se kupujícímu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rStyle w:val="CharStyle5"/>
        </w:rPr>
        <w:t>Pro případ prodlení se splněním jeho závazku k dodání zboží ve lhůtě podle čl. 3 této smlouvy a pro případ jeho prodlení s odstraněním vady ve lhůtě podle čl. 8 této smlouvy se prodávající zavazuje zaplatit kupujícímu smluvní pokutu ve výši 0,1 % z kupní ceny podle čl. 6 této smlouvy za každý započatý den tohoto prodlení.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rStyle w:val="CharStyle5"/>
        </w:rPr>
        <w:t>Pro případ prodlení se splněním jeho závazku k dodání zboží ve lhůtě podle čl. 3 této smlouvy nebo s odstraněním vady ve lhůtě podle čl. 8 této smlouvy o více, než 2 týdny, je kupující oprávněn odstoupit od této smlouvy s účinky ex tunc.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rStyle w:val="CharStyle5"/>
        </w:rPr>
        <w:t>Pro případ prodlení kupujícího se zaplacením kupní ceny nebo její části ve lhůtě podle čl. 6 této smlouvy o víc než 2 týdny, je prodávající oprávněn od této smlouvy odstoupit s účinky ex tunc.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rStyle w:val="CharStyle5"/>
        </w:rPr>
        <w:t>Není-li touto smlouvou ujednáno jinak, řídí se vzájemný právní vztah mezi kupujícím a prodávajícím při realizaci této smlouvy ust. § 2079 a násl. občanského zákoníku.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rStyle w:val="CharStyle5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18 této smlouvy. Kupující přitom předem vylučuje přijetí tohoto návrhu s dodatkem nebo odchylkou ve smyslu ustanovení § 1740 odst. 3 občanského zákoníku.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/>
        <w:ind w:left="420" w:right="0" w:hanging="420"/>
        <w:jc w:val="both"/>
      </w:pPr>
      <w:r>
        <w:rPr>
          <w:rStyle w:val="CharStyle5"/>
        </w:rPr>
        <w:t>Prodávající bere na vědomí a souhlasí s tím, aby kupující uveřejnil tuto smlouvu v registru smluv v souladu s ustanoveními zákona č. 340/2015 Sb., o registru smluv, ve znění pozdějších předpisů.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7" w:val="left"/>
        </w:tabs>
        <w:bidi w:val="0"/>
        <w:spacing w:before="0" w:after="400"/>
        <w:ind w:left="0" w:right="0" w:firstLine="0"/>
        <w:jc w:val="both"/>
      </w:pPr>
      <w:r>
        <w:rPr>
          <w:rStyle w:val="CharStyle5"/>
        </w:rPr>
        <w:t>Tuto smlouvu lze změnit nebo zrušit pouze jinou písemnou dohodou obou smluvních stran.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4" w:name="bookmark4"/>
      <w:r>
        <w:rPr>
          <w:rStyle w:val="CharStyle13"/>
        </w:rPr>
        <w:t>2</w:t>
      </w:r>
      <w:bookmarkEnd w:id="4"/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6" w:val="left"/>
        </w:tabs>
        <w:bidi w:val="0"/>
        <w:spacing w:before="0" w:line="286" w:lineRule="auto"/>
        <w:ind w:left="420" w:right="0" w:hanging="420"/>
        <w:jc w:val="left"/>
      </w:pPr>
      <w:r>
        <w:rPr>
          <w:rStyle w:val="CharStyle5"/>
        </w:rPr>
        <w:t>Tato smlouva nabývá platnosti dnem jejího uzavření a účinnosti dnem jejího uveřejnění v registru smluv dle čl. 15 této smlouvy.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1" w:val="left"/>
        </w:tabs>
        <w:bidi w:val="0"/>
        <w:spacing w:before="0" w:after="800"/>
        <w:ind w:left="420" w:right="0" w:hanging="420"/>
        <w:jc w:val="left"/>
      </w:pPr>
      <w:r>
        <w:rPr>
          <w:rStyle w:val="CharStyle5"/>
        </w:rPr>
        <w:t>Dáno ve dvou originálních písemných vyhotoveních, z nichž každá ze smluvních stran obdrží po jednom.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1480" w:right="0" w:firstLine="20"/>
        <w:jc w:val="left"/>
      </w:pPr>
      <w:r>
        <mc:AlternateContent>
          <mc:Choice Requires="wps">
            <w:drawing>
              <wp:anchor distT="0" distB="1398905" distL="114300" distR="1604645" simplePos="0" relativeHeight="125829379" behindDoc="0" locked="0" layoutInCell="1" allowOverlap="1">
                <wp:simplePos x="0" y="0"/>
                <wp:positionH relativeFrom="page">
                  <wp:posOffset>910590</wp:posOffset>
                </wp:positionH>
                <wp:positionV relativeFrom="margin">
                  <wp:posOffset>1356360</wp:posOffset>
                </wp:positionV>
                <wp:extent cx="667385" cy="15875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738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1.700000000000003pt;margin-top:106.8pt;width:52.550000000000004pt;height:12.5pt;z-index:-125829374;mso-wrap-distance-left:9.pt;mso-wrap-distance-right:126.35000000000001pt;mso-wrap-distance-bottom:110.1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V Brně dne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417830" distB="374650" distL="141605" distR="114300" simplePos="0" relativeHeight="125829381" behindDoc="0" locked="0" layoutInCell="1" allowOverlap="1">
            <wp:simplePos x="0" y="0"/>
            <wp:positionH relativeFrom="page">
              <wp:posOffset>937895</wp:posOffset>
            </wp:positionH>
            <wp:positionV relativeFrom="margin">
              <wp:posOffset>1774190</wp:posOffset>
            </wp:positionV>
            <wp:extent cx="2133600" cy="768350"/>
            <wp:wrapSquare wrapText="bothSides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33600" cy="7683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228090" distB="635" distL="123190" distR="1736090" simplePos="0" relativeHeight="125829382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margin">
                  <wp:posOffset>2584450</wp:posOffset>
                </wp:positionV>
                <wp:extent cx="527050" cy="32893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7050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2.400000000000006pt;margin-top:203.5pt;width:41.5pt;height:25.900000000000002pt;z-index:-125829371;mso-wrap-distance-left:9.7000000000000011pt;mso-wrap-distance-top:96.700000000000003pt;mso-wrap-distance-right:136.70000000000002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ředitelka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Style w:val="CharStyle5"/>
        </w:rPr>
        <w:t>V Brně dne 6.8.2021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220" w:after="0"/>
        <w:ind w:left="1480" w:right="0" w:firstLine="20"/>
        <w:jc w:val="left"/>
      </w:pPr>
      <w: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4471035</wp:posOffset>
            </wp:positionH>
            <wp:positionV relativeFrom="margin">
              <wp:posOffset>1718945</wp:posOffset>
            </wp:positionV>
            <wp:extent cx="1347470" cy="560705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47470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5"/>
        </w:rPr>
        <w:t>Vladimír Pelánek jednatel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60"/>
        <w:ind w:left="1480" w:right="0" w:firstLine="20"/>
        <w:jc w:val="left"/>
      </w:pPr>
      <w:r>
        <w:rPr>
          <w:rStyle w:val="CharStyle5"/>
          <w:b/>
          <w:bCs/>
        </w:rPr>
        <w:t>Prodávající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1240" w:right="1307" w:bottom="1010" w:left="1439" w:header="812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5"/>
          <w:b/>
          <w:bCs/>
        </w:rPr>
        <w:t>Příloha č. 1 Specifikace, ceník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19"/>
          <w:szCs w:val="19"/>
        </w:rPr>
      </w:pPr>
      <w:r>
        <w:rPr>
          <w:rStyle w:val="CharStyle5"/>
          <w:i/>
          <w:iCs/>
          <w:sz w:val="19"/>
          <w:szCs w:val="19"/>
        </w:rPr>
        <w:t>Příloha č. 1 Specifikace, ceník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5"/>
          <w:b/>
          <w:bCs/>
        </w:rPr>
        <w:t>SPECIFIKACE</w:t>
      </w:r>
    </w:p>
    <w:tbl>
      <w:tblPr>
        <w:tblOverlap w:val="never"/>
        <w:jc w:val="center"/>
        <w:tblLayout w:type="fixed"/>
      </w:tblPr>
      <w:tblGrid>
        <w:gridCol w:w="4997"/>
        <w:gridCol w:w="4080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POLY-KF01X05 + POLY-VKF02PX01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b/>
                <w:bCs/>
              </w:rPr>
              <w:t>Výrobce: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Kohlbrat &amp;Bunz,RedVac, Rakousko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b/>
                <w:bCs/>
              </w:rPr>
              <w:t>Počet kusů: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b/>
                <w:bCs/>
              </w:rPr>
              <w:t>60</w:t>
            </w: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1430"/>
        <w:gridCol w:w="7670"/>
      </w:tblGrid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b/>
                <w:bCs/>
              </w:rPr>
              <w:t>Dětský zádržný systém</w:t>
            </w:r>
          </w:p>
        </w:tc>
      </w:tr>
      <w:tr>
        <w:trPr>
          <w:trHeight w:val="15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8"/>
              </w:rPr>
              <w:t>Dětský zádržný systém pro bezpečnou přepravu dětí ve vozidlech záchranné služby. Je kompatibilní s většinou lůžek záchranných služeb. Systém je vhodný pro novorozence a děti až do cca sedmého roku věku s výškou těla 130 cm a hmotností 35 kg. Zádržný systém je vyroben pro použití s vakuovou matrací i bez ní.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8"/>
              </w:rPr>
              <w:t>Velikost báze: šířka (hlava/nohy): 39 cm/20 cm, délka: 74 cm, hmotnost: 1,3 kg.</w:t>
            </w: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1430"/>
        <w:gridCol w:w="7670"/>
      </w:tblGrid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040" w:right="0" w:firstLine="0"/>
              <w:jc w:val="left"/>
            </w:pPr>
            <w:r>
              <w:rPr>
                <w:rStyle w:val="CharStyle18"/>
                <w:b/>
                <w:bCs/>
              </w:rPr>
              <w:t>'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rStyle w:val="CharStyle18"/>
                <w:b/>
                <w:bCs/>
              </w:rPr>
              <w:t>Vakuová matrace pro dětský zádržný systém</w:t>
            </w:r>
          </w:p>
        </w:tc>
      </w:tr>
      <w:tr>
        <w:trPr>
          <w:trHeight w:val="29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Popis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8"/>
              </w:rPr>
              <w:t>Vakuová matrace pro dětský zádržný systém pro bezpečnou přepravu dětí ve vozidlech záchranné služby. Tato integrovaná vakuová matrace slouží pro bezpečnou přepravu dětí s přidruženým traumatem, kde je indikace k fixaci. Horní a dolní vrstva matrace má být v pravidelných vzdálenostech svařena. Vakuová matrace má mít 5 upevňovacích popruhů se suchým zipem.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Style w:val="CharStyle18"/>
              </w:rPr>
              <w:t>Rozměry vakuové matrace: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760"/>
              <w:jc w:val="left"/>
            </w:pPr>
            <w:r>
              <w:rPr>
                <w:rStyle w:val="CharStyle18"/>
              </w:rPr>
              <w:t>šířka v hlavové části - 45 cm,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760" w:right="0" w:firstLine="0"/>
              <w:jc w:val="left"/>
            </w:pPr>
            <w:r>
              <w:rPr>
                <w:rStyle w:val="CharStyle18"/>
              </w:rPr>
              <w:t>šířka ve střední části - 62 cm, šířka v části nohou - 62 cm.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8"/>
              </w:rPr>
              <w:t>Délka: 138 cm.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18"/>
              </w:rPr>
              <w:t>Hmotnost: 1.2 kg.</w:t>
            </w:r>
          </w:p>
        </w:tc>
      </w:tr>
    </w:tbl>
    <w:p>
      <w:pPr>
        <w:widowControl w:val="0"/>
        <w:spacing w:after="739"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15"/>
          <w:b/>
          <w:bCs/>
        </w:rPr>
        <w:t>CENÍK</w:t>
      </w:r>
    </w:p>
    <w:tbl>
      <w:tblPr>
        <w:tblOverlap w:val="never"/>
        <w:jc w:val="center"/>
        <w:tblLayout w:type="fixed"/>
      </w:tblPr>
      <w:tblGrid>
        <w:gridCol w:w="3067"/>
        <w:gridCol w:w="1070"/>
        <w:gridCol w:w="1646"/>
        <w:gridCol w:w="1646"/>
        <w:gridCol w:w="1646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b/>
                <w:bCs/>
              </w:rPr>
              <w:t>Označeni 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  <w:b/>
                <w:bCs/>
              </w:rPr>
              <w:t>Množství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rStyle w:val="CharStyle18"/>
                <w:b/>
                <w:bCs/>
              </w:rPr>
              <w:t>Jednotková cena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rStyle w:val="CharStyle18"/>
                <w:b/>
                <w:bCs/>
              </w:rPr>
              <w:t>Cena celkem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rStyle w:val="CharStyle18"/>
                <w:b/>
                <w:bCs/>
              </w:rPr>
              <w:t>Cena celkem v Kč vč. DPH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Dětský zádržný systém vč. vakuové matrace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60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9 370,00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562 200,00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680 262,00</w:t>
            </w:r>
          </w:p>
        </w:tc>
      </w:tr>
      <w:tr>
        <w:trPr>
          <w:trHeight w:val="710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b/>
                <w:bCs/>
              </w:rPr>
              <w:t>Cena celkem k úhradě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562 200,00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8"/>
              </w:rPr>
              <w:t>680 262,00</w:t>
            </w:r>
          </w:p>
        </w:tc>
      </w:tr>
    </w:tbl>
    <w:sectPr>
      <w:footerReference w:type="default" r:id="rId12"/>
      <w:footnotePr>
        <w:pos w:val="pageBottom"/>
        <w:numFmt w:val="decimal"/>
        <w:numRestart w:val="continuous"/>
      </w:footnotePr>
      <w:pgSz w:w="11900" w:h="16840"/>
      <w:pgMar w:top="843" w:right="1416" w:bottom="1333" w:left="1378" w:header="41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929005</wp:posOffset>
              </wp:positionH>
              <wp:positionV relativeFrom="page">
                <wp:posOffset>10144760</wp:posOffset>
              </wp:positionV>
              <wp:extent cx="3679190" cy="12192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7919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</w:rPr>
                            <w:t>VZ 23-21 Zádržný systém do vozidel s vakuovou matrací (dětský)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73.150000000000006pt;margin-top:798.80000000000007pt;width:289.69999999999999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0"/>
                        <w:rFonts w:ascii="Arial" w:eastAsia="Arial" w:hAnsi="Arial" w:cs="Arial"/>
                      </w:rPr>
                      <w:t>VZ 23-21 Zádržný systém do vozidel s vakuovou matrací (dětský)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9846945</wp:posOffset>
              </wp:positionV>
              <wp:extent cx="69850" cy="10350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93.80000000000001pt;margin-top:775.35000000000002pt;width:5.5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10151745</wp:posOffset>
              </wp:positionV>
              <wp:extent cx="3679190" cy="12192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7919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</w:rPr>
                            <w:t>VZ 23-21 Zádržný systém do vozidel s vakuovou matrací (dětský)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69.850000000000009pt;margin-top:799.35000000000002pt;width:289.69999999999999pt;height:9.5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0"/>
                        <w:rFonts w:ascii="Arial" w:eastAsia="Arial" w:hAnsi="Arial" w:cs="Arial"/>
                      </w:rPr>
                      <w:t>VZ 23-21 Zádržný systém do vozidel s vakuovou matrací (dětský)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Základní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Nadpis #2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harStyle18">
    <w:name w:val="Jiné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spacing w:after="20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auto"/>
      <w:spacing w:after="260" w:line="283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/Relationships>
</file>