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Objednavatel:</w:t>
      </w:r>
    </w:p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Domov pro seniory "SKALKA" v Chebu příspěvková organizace</w:t>
      </w:r>
    </w:p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Americká 2176/52, 350 02 Cheb</w:t>
      </w:r>
    </w:p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bidi w:val="0"/>
        <w:spacing w:before="0" w:after="280" w:line="262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350 02 CHEB</w:t>
      </w:r>
    </w:p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tabs>
          <w:tab w:pos="3226" w:val="left"/>
        </w:tabs>
        <w:bidi w:val="0"/>
        <w:spacing w:before="0" w:after="28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147/2021</w:t>
      </w:r>
    </w:p>
    <w:p>
      <w:pPr>
        <w:pStyle w:val="Style6"/>
        <w:keepNext w:val="0"/>
        <w:keepLines w:val="0"/>
        <w:framePr w:w="4291" w:h="3504" w:wrap="none" w:hAnchor="page" w:x="114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Dodavatel:</w:t>
      </w:r>
    </w:p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MUSIL GASTRO, s. r. o.</w:t>
      </w:r>
    </w:p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technologie a inventář</w:t>
      </w:r>
    </w:p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Lužická 519</w:t>
      </w:r>
    </w:p>
    <w:p>
      <w:pPr>
        <w:pStyle w:val="Style2"/>
        <w:keepNext w:val="0"/>
        <w:keepLines w:val="0"/>
        <w:framePr w:w="4291" w:h="3504" w:wrap="none" w:hAnchor="page" w:x="1145" w:y="1"/>
        <w:widowControl w:val="0"/>
        <w:shd w:val="clear" w:color="auto" w:fill="auto"/>
        <w:tabs>
          <w:tab w:pos="3149" w:val="left"/>
        </w:tabs>
        <w:bidi w:val="0"/>
        <w:spacing w:before="0" w:after="140" w:line="26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353 01 Mariánské Lázně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IČ:04251458</w:t>
      </w:r>
    </w:p>
    <w:p>
      <w:pPr>
        <w:pStyle w:val="Style2"/>
        <w:keepNext w:val="0"/>
        <w:keepLines w:val="0"/>
        <w:framePr w:w="1248" w:h="283" w:wrap="none" w:hAnchor="page" w:x="6382" w:y="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OBJEDNÁVKA</w:t>
      </w:r>
    </w:p>
    <w:p>
      <w:pPr>
        <w:pStyle w:val="Style2"/>
        <w:keepNext w:val="0"/>
        <w:keepLines w:val="0"/>
        <w:framePr w:w="1723" w:h="283" w:wrap="none" w:hAnchor="page" w:x="6401" w:y="1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31.08.2021</w:t>
      </w:r>
    </w:p>
    <w:p>
      <w:pPr>
        <w:pStyle w:val="Style2"/>
        <w:keepNext w:val="0"/>
        <w:keepLines w:val="0"/>
        <w:framePr w:w="1478" w:h="283" w:wrap="none" w:hAnchor="page" w:x="7112" w:y="31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DIČ:CZ04251458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14" w:left="1139" w:right="2255" w:bottom="1303" w:header="686" w:footer="87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>Objednáváme toto zboží (služby):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Vámi zaslané nabídky dne 30.7.2021 objednáváme: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76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 Celková cena s DPH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609" w:val="righ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ŠOKER ELEKTROLUX SKYLINE CHILLS 6x GN 1/1</w:t>
        <w:tab/>
        <w:t>1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609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DESKA PRACOVNÍ</w:t>
        <w:tab/>
        <w:t>1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609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DOPRAVA, MONTÁŽ, ZPROVOZNĚNÍ</w:t>
        <w:tab/>
        <w:t>1</w:t>
      </w:r>
      <w:r>
        <w:fldChar w:fldCharType="end"/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5609" w:val="right"/>
          <w:tab w:leader="underscore" w:pos="746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ZAŠKOLENÍ PERSONÁLU KUCHAŘEM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1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16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  <w:tab/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232 320,00 Kč</w:t>
      </w:r>
    </w:p>
    <w:tbl>
      <w:tblPr>
        <w:tblOverlap w:val="never"/>
        <w:jc w:val="left"/>
        <w:tblLayout w:type="fixed"/>
      </w:tblPr>
      <w:tblGrid>
        <w:gridCol w:w="1694"/>
        <w:gridCol w:w="6168"/>
      </w:tblGrid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plnění: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 objednatele: Americká 2176/52, 350 02 Cheb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Faktura splatná 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14 dní od obdržení faktury objednavateli.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platby: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26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převodem</w:t>
              <w:tab/>
              <w:t>hotově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 zboží je do 31.10.2021.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Cestovné při revizích a servisu stroje nepřekročí částku 1.500,- Kč za cestu tam i zpět. Pro případ prodlení objednatele se zaplacením ceny dodávky sjednávají smluvní strany smluvní pokutu ve výši 0,05% za každý další den prodlení, včetně DPH. Nedodá-li dodavatel požadovanou dodávku v uvedeném termínu, zaplatí objednateli smluvní pokutu ve výši 0,05% z celkové ceny dodávky, včetně DPH za každý, byť započatý, den prodlení.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Žádáme o potvrzení objednávky a zaslání faktury na e-mail: </w:t>
      </w:r>
      <w:r>
        <w:fldChar w:fldCharType="begin"/>
      </w:r>
      <w:r>
        <w:rPr/>
        <w:instrText> HYPERLINK "mailto:fakturace@domovskalka.cz"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fakturace@domovskalka.cz</w:t>
      </w:r>
      <w:r>
        <w:fldChar w:fldCharType="end"/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3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Fakturační a dodací adresa objednatele: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Nejsme plátci DPH.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Domov pro seniory "SKALKA" v Chebu, příspěvková organizace</w:t>
      </w:r>
    </w:p>
    <w:tbl>
      <w:tblPr>
        <w:tblOverlap w:val="never"/>
        <w:jc w:val="left"/>
        <w:tblLayout w:type="fixed"/>
      </w:tblPr>
      <w:tblGrid>
        <w:gridCol w:w="1723"/>
        <w:gridCol w:w="4522"/>
      </w:tblGrid>
      <w:tr>
        <w:trPr>
          <w:trHeight w:val="7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Americká 2176/52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 02 Cheb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Zapsaný: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IČ:71175245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 Plzeň, oddíl Pr, vložka 512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207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KB Cheb</w:t>
              <w:tab/>
              <w:t>č.ú. 78-2172760267/0100</w:t>
            </w:r>
          </w:p>
        </w:tc>
      </w:tr>
    </w:tbl>
    <w:p>
      <w:pPr>
        <w:widowControl w:val="0"/>
        <w:spacing w:after="10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1120" w:right="0" w:firstLine="0"/>
        <w:jc w:val="left"/>
      </w:pPr>
      <w:r>
        <mc:AlternateContent>
          <mc:Choice Requires="wps">
            <w:drawing>
              <wp:anchor distT="0" distB="509270" distL="354965" distR="358140" simplePos="0" relativeHeight="125829378" behindDoc="0" locked="0" layoutInCell="1" allowOverlap="1">
                <wp:simplePos x="0" y="0"/>
                <wp:positionH relativeFrom="page">
                  <wp:posOffset>4704080</wp:posOffset>
                </wp:positionH>
                <wp:positionV relativeFrom="paragraph">
                  <wp:posOffset>12700</wp:posOffset>
                </wp:positionV>
                <wp:extent cx="871855" cy="17970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185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 příkazce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0.39999999999998pt;margin-top:1.pt;width:68.650000000000006pt;height:14.15pt;z-index:-125829375;mso-wrap-distance-left:27.949999999999999pt;mso-wrap-distance-right:28.199999999999999pt;mso-wrap-distance-bottom:40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příkazce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509270" distB="0" distL="114300" distR="114300" simplePos="0" relativeHeight="125829380" behindDoc="0" locked="0" layoutInCell="1" allowOverlap="1">
                <wp:simplePos x="0" y="0"/>
                <wp:positionH relativeFrom="page">
                  <wp:posOffset>4463415</wp:posOffset>
                </wp:positionH>
                <wp:positionV relativeFrom="paragraph">
                  <wp:posOffset>521970</wp:posOffset>
                </wp:positionV>
                <wp:extent cx="1356360" cy="17970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636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 správce rozpočtu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1.44999999999999pt;margin-top:41.100000000000001pt;width:106.8pt;height:14.15pt;z-index:-125829373;mso-wrap-distance-left:9.pt;mso-wrap-distance-top:40.1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správce rozpočtu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Objednávku vystavila: mob.: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9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 Je zároveň písemným záznamem o provedení předběžné řídící kontroly u výdajů před vznikem závazku ve smyslu</w:t>
        <w:br/>
        <w:t>ustanovení § 26 zákona č. 320/2001 Sb., o finanční kontrole a § 13 vyhlášky č. 416/2004 Sb., kterou se zákon o finanční kontrole</w:t>
        <w:br/>
        <w:t>provádí.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14" w:left="1139" w:right="2255" w:bottom="111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12">
    <w:name w:val="Obsah_"/>
    <w:basedOn w:val="DefaultParagraphFont"/>
    <w:link w:val="Style1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Jiné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59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271" w:lineRule="auto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Style11">
    <w:name w:val="Obsah"/>
    <w:basedOn w:val="Normal"/>
    <w:link w:val="CharStyle12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59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