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31"/>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211080021231</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6ABB77BE" w:rsidR="008D3EF2" w:rsidRPr="00C75D3B" w:rsidRDefault="00BB6AFB"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555FD841" w:rsidR="008D3EF2" w:rsidRPr="00C75D3B" w:rsidRDefault="00BB6AFB"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5357DCCB" w:rsidR="008D3EF2" w:rsidRPr="00C75D3B" w:rsidRDefault="008D3EF2" w:rsidP="008D3EF2">
            <w:pPr>
              <w:pStyle w:val="TexttabulkaCalibriLight"/>
              <w:rPr>
                <w:rFonts w:cs="Arial"/>
              </w:rPr>
            </w:pP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3726F64A" w14:textId="4BA51D8F" w:rsidR="00BB6AFB" w:rsidRDefault="00BB6AFB"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lastRenderedPageBreak/>
        <w:t>Xxx</w:t>
      </w:r>
      <w:proofErr w:type="spellEnd"/>
    </w:p>
    <w:p w14:paraId="3BC46DA3" w14:textId="47E8558E"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0EC71273" w:rsidR="005E118C" w:rsidRPr="00EF55AA" w:rsidRDefault="00BB6AFB" w:rsidP="00BB6AFB">
      <w:pPr>
        <w:pStyle w:val="4"/>
        <w:jc w:val="left"/>
        <w:rPr>
          <w:rFonts w:asciiTheme="minorHAnsi" w:hAnsiTheme="minorHAnsi"/>
          <w:sz w:val="17"/>
          <w:szCs w:val="17"/>
        </w:rPr>
      </w:pPr>
      <w:proofErr w:type="spellStart"/>
      <w:r>
        <w:rPr>
          <w:rFonts w:asciiTheme="minorHAnsi" w:hAnsiTheme="minorHAnsi"/>
          <w:sz w:val="17"/>
          <w:szCs w:val="17"/>
        </w:rPr>
        <w:t>xxx</w:t>
      </w:r>
      <w:proofErr w:type="spellEnd"/>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d) V případě omezení nebo přerušení používání produktu zabezpečeného Internetového rozhraní je Zákazník oprávněn fixovat cenu tranše emailem, a to ve formě standardizované konfirmace dodané Obchodníkem. </w:t>
      </w:r>
      <w:proofErr w:type="spellStart"/>
      <w:r>
        <w:rPr>
          <w:rFonts w:asciiTheme="minorHAnsi" w:hAnsiTheme="minorHAnsi"/>
          <w:sz w:val="17"/>
          <w:szCs w:val="17"/>
        </w:rPr>
        <w:t>innogy</w:t>
      </w:r>
      <w:proofErr w:type="spellEnd"/>
      <w:r>
        <w:rPr>
          <w:rFonts w:asciiTheme="minorHAnsi" w:hAnsiTheme="minorHAnsi"/>
          <w:sz w:val="17"/>
          <w:szCs w:val="17"/>
        </w:rPr>
        <w:t xml:space="preserve"> Live </w:t>
      </w:r>
      <w:proofErr w:type="spellStart"/>
      <w:r>
        <w:rPr>
          <w:rFonts w:asciiTheme="minorHAnsi" w:hAnsiTheme="minorHAnsi"/>
          <w:sz w:val="17"/>
          <w:szCs w:val="17"/>
        </w:rPr>
        <w:t>Quote</w:t>
      </w:r>
      <w:proofErr w:type="spellEnd"/>
      <w:r>
        <w:rPr>
          <w:rFonts w:asciiTheme="minorHAnsi" w:hAnsiTheme="minorHAnsi"/>
          <w:sz w:val="17"/>
          <w:szCs w:val="17"/>
        </w:rPr>
        <w:t xml:space="preserv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7141C6F8" w:rsidR="005E118C" w:rsidRDefault="00DF561F" w:rsidP="00120938">
            <w:pPr>
              <w:pStyle w:val="TexttabulkaCalibriLight"/>
              <w:rPr>
                <w:rFonts w:cs="Arial"/>
              </w:rPr>
            </w:pPr>
            <w:r>
              <w:rPr>
                <w:rFonts w:cs="Arial"/>
              </w:rPr>
              <w:t>Ing. Tomáš Köhler</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1099CD65" w:rsidR="005E118C" w:rsidRDefault="00DF561F" w:rsidP="00120938">
            <w:pPr>
              <w:pStyle w:val="TexttabulkaCalibriLight"/>
              <w:jc w:val="r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 xml:space="preserve">Všechny početní operace se zaokrouhlí na šest (6) desetinných míst. Jednotkové ceny za dodávku plynu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y</w:t>
      </w:r>
      <w:proofErr w:type="spellEnd"/>
      <w:r w:rsidRPr="003E6A9C">
        <w:rPr>
          <w:rFonts w:asciiTheme="minorHAnsi" w:hAnsiTheme="minorHAnsi"/>
          <w:sz w:val="17"/>
          <w:szCs w:val="17"/>
        </w:rPr>
        <w:t xml:space="preserve">,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q</w:t>
      </w:r>
      <w:proofErr w:type="spellEnd"/>
      <w:r w:rsidRPr="003E6A9C">
        <w:rPr>
          <w:rFonts w:asciiTheme="minorHAnsi" w:hAnsiTheme="minorHAnsi"/>
          <w:sz w:val="17"/>
          <w:szCs w:val="17"/>
        </w:rPr>
        <w:t xml:space="preserve"> a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m</w:t>
      </w:r>
      <w:proofErr w:type="spellEnd"/>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 xml:space="preserve">Bez ohledu na předem uvedené, smluvní strany se dohodly, že při nahrazení nebo úpravě cen z důvodů uvedených pod písmeny b) a c) tohoto článku nedojde k úpravě jednotkových cen za dodávku plynu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pro příslušný měsíc, jestliže měsíc, ve kterém by se projevilo zohlednění nahrazení nebo úprav cen na ceny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je Obchodník oprávněn Zákazníkovi jednostranně přidělit na OM VOSO standardní tolerance odběru. Standardními tolerancemi odběru se rozumí toleranční pásmo ±</w:t>
      </w:r>
      <w:proofErr w:type="gramStart"/>
      <w:r w:rsidRPr="00876255">
        <w:rPr>
          <w:rFonts w:asciiTheme="minorHAnsi" w:hAnsiTheme="minorHAnsi"/>
          <w:sz w:val="17"/>
          <w:szCs w:val="22"/>
        </w:rPr>
        <w:t>10%</w:t>
      </w:r>
      <w:proofErr w:type="gramEnd"/>
      <w:r w:rsidRPr="00876255">
        <w:rPr>
          <w:rFonts w:asciiTheme="minorHAnsi" w:hAnsiTheme="minorHAnsi"/>
          <w:sz w:val="17"/>
          <w:szCs w:val="22"/>
        </w:rPr>
        <w:t xml:space="preserve">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876255">
        <w:rPr>
          <w:rFonts w:asciiTheme="minorHAnsi" w:hAnsiTheme="minorHAnsi"/>
          <w:sz w:val="17"/>
          <w:szCs w:val="22"/>
        </w:rPr>
        <w:t>100%</w:t>
      </w:r>
      <w:proofErr w:type="gramEnd"/>
      <w:r w:rsidRPr="00876255">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 xml:space="preserve">Odběrná místa nad 630 </w:t>
            </w:r>
            <w:proofErr w:type="spellStart"/>
            <w:r w:rsidRPr="00577DB9">
              <w:rPr>
                <w:rFonts w:cs="Arial"/>
              </w:rPr>
              <w:t>MWh</w:t>
            </w:r>
            <w:proofErr w:type="spellEnd"/>
            <w:r w:rsidRPr="00577DB9">
              <w:rPr>
                <w:rFonts w:cs="Arial"/>
              </w:rPr>
              <w:t>/rok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197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27ZG700Z0000197G</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Bartákova 839 / 37,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839 / 37, Rýmařov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904368">
              <w:rPr>
                <w:rFonts w:cs="Arial"/>
                <w:szCs w:val="17"/>
              </w:rPr>
            </w:r>
            <w:r w:rsidR="00904368">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93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930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544089C5"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90A1732"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5328B793"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5C175725"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67710FE"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0D39EF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71872B0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98A5A3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7BB41CD6"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7C33FA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86E5BC3"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2CC31D1C" w14:textId="77777777" w:rsidR="00FB5A57" w:rsidRPr="00E14FD7" w:rsidRDefault="00FB5A57" w:rsidP="00F661D1">
            <w:pPr>
              <w:pStyle w:val="TexttabulkaCalibriLight"/>
              <w:jc w:val="right"/>
              <w:rPr>
                <w:rFonts w:cs="Arial"/>
                <w:sz w:val="4"/>
                <w:szCs w:val="4"/>
              </w:rPr>
            </w:pPr>
          </w:p>
        </w:tc>
      </w:tr>
      <w:tr w:rsidR="00FB5A57" w:rsidRPr="00E14FD7" w14:paraId="0F9D4E52"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4AF23929"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987B7A1"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532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27ZG700Z0000532S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69C7E3E"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6CA3F9CC"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9B2E8E3"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Hornoměstská 549 / 16,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Hornoměstská 549 / 16, Rýmařov</w:t>
            </w:r>
            <w:r w:rsidRPr="00E14FD7">
              <w:rPr>
                <w:rFonts w:cs="Arial"/>
              </w:rPr>
              <w:fldChar w:fldCharType="end"/>
            </w:r>
          </w:p>
        </w:tc>
      </w:tr>
      <w:tr w:rsidR="00FB5A57" w:rsidRPr="00E14FD7" w14:paraId="6E10A5F6" w14:textId="77777777" w:rsidTr="00F661D1">
        <w:trPr>
          <w:trHeight w:val="227"/>
        </w:trPr>
        <w:tc>
          <w:tcPr>
            <w:tcW w:w="1154" w:type="dxa"/>
            <w:tcBorders>
              <w:right w:val="single" w:sz="18" w:space="0" w:color="FFFFFF" w:themeColor="background1"/>
            </w:tcBorders>
            <w:shd w:val="clear" w:color="auto" w:fill="auto"/>
          </w:tcPr>
          <w:p w14:paraId="20D24AF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E9217BB"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5A5376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E4B356C"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64D4342"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904368">
              <w:rPr>
                <w:rFonts w:cs="Arial"/>
                <w:szCs w:val="17"/>
              </w:rPr>
            </w:r>
            <w:r w:rsidR="00904368">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D19F858"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85918BE"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D170384"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6EEDEA2"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4DFB41C"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55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1 550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50D660D"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r>
      <w:tr w:rsidR="00FB5A57" w:rsidRPr="00E14FD7" w14:paraId="229D04DB" w14:textId="77777777" w:rsidTr="00F661D1">
        <w:trPr>
          <w:trHeight w:val="227"/>
        </w:trPr>
        <w:tc>
          <w:tcPr>
            <w:tcW w:w="1154" w:type="dxa"/>
            <w:tcBorders>
              <w:right w:val="single" w:sz="18" w:space="0" w:color="FFFFFF" w:themeColor="background1"/>
            </w:tcBorders>
            <w:shd w:val="clear" w:color="auto" w:fill="auto"/>
          </w:tcPr>
          <w:p w14:paraId="0FBBB2C6"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EC618B1"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0AE1213"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0F8193A"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8EC93F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66F67F61"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9819763"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B998111"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AF92351"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2CCD8D4"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37A72757" w14:textId="77777777" w:rsidR="00FB5A57" w:rsidRPr="00E14FD7" w:rsidRDefault="00FB5A57" w:rsidP="00F661D1">
            <w:pPr>
              <w:pStyle w:val="TexttabulkaCalibriLight"/>
              <w:jc w:val="right"/>
              <w:rPr>
                <w:rFonts w:cs="Arial"/>
              </w:rPr>
            </w:pPr>
          </w:p>
        </w:tc>
      </w:tr>
      <w:tr w:rsidR="00FB5A57" w:rsidRPr="00E14FD7" w14:paraId="25EC4245"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7CD00DA3"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54A81C60"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505579F2"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7A342867"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3DFF0269"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B0C4DE2"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214CBD8"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2DCD0F3"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C48A596"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A0544E2"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47306054" w14:textId="77777777" w:rsidR="00FB5A57" w:rsidRPr="00E14FD7" w:rsidRDefault="00FB5A57" w:rsidP="00F661D1">
            <w:pPr>
              <w:pStyle w:val="TexttabulkaCalibriLight"/>
              <w:jc w:val="right"/>
              <w:rPr>
                <w:rFonts w:cs="Arial"/>
              </w:rPr>
            </w:pPr>
          </w:p>
        </w:tc>
      </w:tr>
      <w:tr w:rsidR="00FB5A57" w:rsidRPr="00E14FD7" w14:paraId="24240E83" w14:textId="77777777" w:rsidTr="00F661D1">
        <w:trPr>
          <w:trHeight w:val="28"/>
        </w:trPr>
        <w:tc>
          <w:tcPr>
            <w:tcW w:w="1154" w:type="dxa"/>
            <w:tcBorders>
              <w:top w:val="single" w:sz="6" w:space="0" w:color="auto"/>
              <w:right w:val="single" w:sz="18" w:space="0" w:color="FFFFFF" w:themeColor="background1"/>
            </w:tcBorders>
            <w:shd w:val="clear" w:color="auto" w:fill="auto"/>
          </w:tcPr>
          <w:p w14:paraId="73B71D0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52E20FE1"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587FF55"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D5B3C7E"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002C74BC"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4487044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ABCB3B4"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446A4F6"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533170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4085BF0"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FBBD696" w14:textId="77777777" w:rsidR="00FB5A57" w:rsidRPr="00E14FD7" w:rsidRDefault="00FB5A57" w:rsidP="00F661D1">
            <w:pPr>
              <w:pStyle w:val="TexttabulkaCalibriLight"/>
              <w:jc w:val="right"/>
              <w:rPr>
                <w:rFonts w:cs="Arial"/>
                <w:sz w:val="4"/>
                <w:szCs w:val="4"/>
              </w:rPr>
            </w:pPr>
          </w:p>
        </w:tc>
      </w:tr>
      <w:tr w:rsidR="00FB5A57" w:rsidRPr="00E14FD7" w14:paraId="3F449AAB"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64D7F26"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36139A30"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1184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27ZG700Z0001184K</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90F04EC"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03C9146"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E9E0577"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Žižkova 1278 / 14,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Žižkova 1278 / 14, Rýmařov</w:t>
            </w:r>
            <w:r w:rsidRPr="00E14FD7">
              <w:rPr>
                <w:rFonts w:cs="Arial"/>
              </w:rPr>
              <w:fldChar w:fldCharType="end"/>
            </w:r>
          </w:p>
        </w:tc>
      </w:tr>
      <w:tr w:rsidR="00FB5A57" w:rsidRPr="00E14FD7" w14:paraId="446BC853" w14:textId="77777777" w:rsidTr="00F661D1">
        <w:trPr>
          <w:trHeight w:val="227"/>
        </w:trPr>
        <w:tc>
          <w:tcPr>
            <w:tcW w:w="1154" w:type="dxa"/>
            <w:tcBorders>
              <w:right w:val="single" w:sz="18" w:space="0" w:color="FFFFFF" w:themeColor="background1"/>
            </w:tcBorders>
            <w:shd w:val="clear" w:color="auto" w:fill="auto"/>
          </w:tcPr>
          <w:p w14:paraId="45EE767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842FBEE"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CC7D7B6"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9AB63CB"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F203431"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904368">
              <w:rPr>
                <w:rFonts w:cs="Arial"/>
                <w:szCs w:val="17"/>
              </w:rPr>
            </w:r>
            <w:r w:rsidR="00904368">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17F26A7"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5FA88E5"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76283D3"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967E5D5"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1E8EE59"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2 41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2 410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400CC198"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r>
      <w:tr w:rsidR="00FB5A57" w:rsidRPr="00E14FD7" w14:paraId="589CB9BD" w14:textId="77777777" w:rsidTr="00F661D1">
        <w:trPr>
          <w:trHeight w:val="227"/>
        </w:trPr>
        <w:tc>
          <w:tcPr>
            <w:tcW w:w="1154" w:type="dxa"/>
            <w:tcBorders>
              <w:right w:val="single" w:sz="18" w:space="0" w:color="FFFFFF" w:themeColor="background1"/>
            </w:tcBorders>
            <w:shd w:val="clear" w:color="auto" w:fill="auto"/>
          </w:tcPr>
          <w:p w14:paraId="75F0E56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59D84AC"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6F795D2"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33B833E"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D268F01"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B48FD04"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A1F72C5"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382D431"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D1359D5"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A6A07C9"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30B987D5" w14:textId="77777777" w:rsidR="00FB5A57" w:rsidRPr="00E14FD7" w:rsidRDefault="00FB5A57" w:rsidP="00F661D1">
            <w:pPr>
              <w:pStyle w:val="TexttabulkaCalibriLight"/>
              <w:jc w:val="right"/>
              <w:rPr>
                <w:rFonts w:cs="Arial"/>
              </w:rPr>
            </w:pPr>
          </w:p>
        </w:tc>
      </w:tr>
      <w:tr w:rsidR="00FB5A57" w:rsidRPr="00E14FD7" w14:paraId="57C062DC"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0F8E6CD1"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65F149A4"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4A30FDC"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2EA471B8"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5AB70FD"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D1A8F3F"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EF64F1D"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A45BC3E"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0534C8D"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3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6AC6F4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7035B728" w14:textId="77777777" w:rsidR="00FB5A57" w:rsidRPr="00E14FD7" w:rsidRDefault="00FB5A57" w:rsidP="00F661D1">
            <w:pPr>
              <w:pStyle w:val="TexttabulkaCalibriLight"/>
              <w:jc w:val="right"/>
              <w:rPr>
                <w:rFonts w:cs="Arial"/>
              </w:rPr>
            </w:pPr>
          </w:p>
        </w:tc>
      </w:tr>
      <w:tr w:rsidR="00FB5A57" w:rsidRPr="00E14FD7" w14:paraId="4736FFBA" w14:textId="77777777" w:rsidTr="00F661D1">
        <w:trPr>
          <w:trHeight w:val="28"/>
        </w:trPr>
        <w:tc>
          <w:tcPr>
            <w:tcW w:w="1154" w:type="dxa"/>
            <w:tcBorders>
              <w:top w:val="single" w:sz="6" w:space="0" w:color="auto"/>
              <w:right w:val="single" w:sz="18" w:space="0" w:color="FFFFFF" w:themeColor="background1"/>
            </w:tcBorders>
            <w:shd w:val="clear" w:color="auto" w:fill="auto"/>
          </w:tcPr>
          <w:p w14:paraId="0A9D828B"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57A5C232"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0D17DEBF"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7C8EC0C"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2147E13"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07356018"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5B42D3F"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C388A0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013F499"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89B8B6A"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124048D6" w14:textId="77777777" w:rsidR="00FB5A57" w:rsidRPr="00E14FD7" w:rsidRDefault="00FB5A57" w:rsidP="00F661D1">
            <w:pPr>
              <w:pStyle w:val="TexttabulkaCalibriLight"/>
              <w:jc w:val="right"/>
              <w:rPr>
                <w:rFonts w:cs="Arial"/>
                <w:sz w:val="4"/>
                <w:szCs w:val="4"/>
              </w:rPr>
            </w:pPr>
          </w:p>
        </w:tc>
      </w:tr>
      <w:tr w:rsidR="00FB5A57" w:rsidRPr="00E14FD7" w14:paraId="6010D89B"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3FD4F13"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7CF50D6"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637071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27ZG700Z0637071H</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75CFFC6"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5CD4D8F"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70253FE3"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arc.734/000, Libin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parc.734/000, Libina</w:t>
            </w:r>
            <w:r w:rsidRPr="00E14FD7">
              <w:rPr>
                <w:rFonts w:cs="Arial"/>
              </w:rPr>
              <w:fldChar w:fldCharType="end"/>
            </w:r>
          </w:p>
        </w:tc>
      </w:tr>
      <w:tr w:rsidR="00FB5A57" w:rsidRPr="00E14FD7" w14:paraId="4FBE9848" w14:textId="77777777" w:rsidTr="00F661D1">
        <w:trPr>
          <w:trHeight w:val="227"/>
        </w:trPr>
        <w:tc>
          <w:tcPr>
            <w:tcW w:w="1154" w:type="dxa"/>
            <w:tcBorders>
              <w:right w:val="single" w:sz="18" w:space="0" w:color="FFFFFF" w:themeColor="background1"/>
            </w:tcBorders>
            <w:shd w:val="clear" w:color="auto" w:fill="auto"/>
          </w:tcPr>
          <w:p w14:paraId="015296F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8754CD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71234F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086D10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F0CF512"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904368">
              <w:rPr>
                <w:rFonts w:cs="Arial"/>
                <w:szCs w:val="17"/>
              </w:rPr>
            </w:r>
            <w:r w:rsidR="00904368">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3F2287FC"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C7A8B0"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89F2F1F"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DDF812B"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26B1E59"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01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1 010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277FA01"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r>
      <w:tr w:rsidR="00FB5A57" w:rsidRPr="00E14FD7" w14:paraId="1DBDDB09" w14:textId="77777777" w:rsidTr="00F661D1">
        <w:trPr>
          <w:trHeight w:val="227"/>
        </w:trPr>
        <w:tc>
          <w:tcPr>
            <w:tcW w:w="1154" w:type="dxa"/>
            <w:tcBorders>
              <w:right w:val="single" w:sz="18" w:space="0" w:color="FFFFFF" w:themeColor="background1"/>
            </w:tcBorders>
            <w:shd w:val="clear" w:color="auto" w:fill="auto"/>
          </w:tcPr>
          <w:p w14:paraId="5DE4EA8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2065539"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800422D"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CF7835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E76E6B7"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27DDE35"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1C28E63"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FDD64F8"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778BB5"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4378448"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40DA9CCA" w14:textId="77777777" w:rsidR="00FB5A57" w:rsidRPr="00E14FD7" w:rsidRDefault="00FB5A57" w:rsidP="00F661D1">
            <w:pPr>
              <w:pStyle w:val="TexttabulkaCalibriLight"/>
              <w:jc w:val="right"/>
              <w:rPr>
                <w:rFonts w:cs="Arial"/>
              </w:rPr>
            </w:pPr>
          </w:p>
        </w:tc>
      </w:tr>
      <w:tr w:rsidR="00FB5A57" w:rsidRPr="00E14FD7" w14:paraId="78FD1F3F"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788A018"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6F72788E"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587D680"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173CAA2B"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0D58F9E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2977FB4B"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AF0470E"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6EE2E9FB"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23732CE"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AA4BC9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4CE49A37"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3CD568F9" w:rsidR="003C115F" w:rsidRPr="00B55E28" w:rsidRDefault="00BB6AF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3C50471E" w:rsidR="003C115F" w:rsidRPr="00B55E28" w:rsidRDefault="00BB6AF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1F834133" w:rsidR="003C115F" w:rsidRPr="00B55E28" w:rsidRDefault="00BB6AFB"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66705F85" w:rsidR="003C115F" w:rsidRPr="00B55E28" w:rsidRDefault="00BB6AF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483FD3D5" w:rsidR="003C115F" w:rsidRPr="00B55E28" w:rsidRDefault="00BB6AF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3998ED77" w:rsidR="003C115F" w:rsidRPr="00B55E28" w:rsidRDefault="00BB6AFB"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2AAAACD4" w:rsidR="003C115F" w:rsidRPr="00B55E28" w:rsidRDefault="00BB6AF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183BE110" w:rsidR="003C115F" w:rsidRPr="00B55E28" w:rsidRDefault="00BB6AF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0395A1D0" w:rsidR="003C115F" w:rsidRPr="00B55E28" w:rsidRDefault="00BB6AFB"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59721F6D"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BB6AFB">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F6A6758" w14:textId="77777777" w:rsidR="005D7BB3" w:rsidRDefault="00B35A62" w:rsidP="00B35A62">
      <w:pPr>
        <w:pStyle w:val="3"/>
        <w:tabs>
          <w:tab w:val="clear" w:pos="425"/>
        </w:tabs>
        <w:ind w:left="283" w:hanging="198"/>
        <w:jc w:val="left"/>
        <w:rPr>
          <w:rFonts w:asciiTheme="minorHAnsi" w:hAnsiTheme="minorHAnsi"/>
          <w:sz w:val="17"/>
          <w:szCs w:val="22"/>
        </w:rPr>
      </w:pPr>
      <w:bookmarkStart w:id="3" w:name="b_prolongace1"/>
      <w:r w:rsidRPr="00772C49">
        <w:rPr>
          <w:rFonts w:asciiTheme="minorHAnsi" w:hAnsiTheme="minorHAnsi"/>
          <w:sz w:val="17"/>
          <w:szCs w:val="22"/>
        </w:rPr>
        <w:t>3.</w:t>
      </w:r>
      <w:r w:rsidRPr="00772C49">
        <w:rPr>
          <w:rFonts w:asciiTheme="minorHAnsi" w:hAnsiTheme="minorHAnsi"/>
          <w:sz w:val="17"/>
          <w:szCs w:val="22"/>
        </w:rPr>
        <w:tab/>
      </w:r>
      <w:r w:rsidR="005D7BB3">
        <w:rPr>
          <w:rFonts w:asciiTheme="minorHAnsi" w:hAnsiTheme="minorHAnsi"/>
          <w:sz w:val="17"/>
          <w:szCs w:val="22"/>
        </w:rPr>
        <w:t>Podmínky prolongace smlouvy</w:t>
      </w:r>
    </w:p>
    <w:p w14:paraId="51290BAF" w14:textId="2D20EC26"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r>
      <w:r w:rsidR="00B35A62" w:rsidRPr="00772C49">
        <w:rPr>
          <w:rFonts w:asciiTheme="minorHAnsi" w:hAnsiTheme="minorHAnsi"/>
          <w:sz w:val="17"/>
          <w:szCs w:val="22"/>
        </w:rPr>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w:t>
      </w:r>
      <w:bookmarkStart w:id="4" w:name="_Hlk59428703"/>
      <w:r w:rsidR="00B35A62" w:rsidRPr="00772C49">
        <w:rPr>
          <w:rFonts w:asciiTheme="minorHAnsi" w:hAnsiTheme="minorHAnsi"/>
          <w:sz w:val="17"/>
          <w:szCs w:val="22"/>
        </w:rPr>
        <w:t xml:space="preserve">Pokud Obchodník Zákazníkovi žádné změny do 31. července </w:t>
      </w:r>
      <w:r w:rsidR="00B35A62" w:rsidRPr="00210B4C">
        <w:rPr>
          <w:rFonts w:asciiTheme="minorHAnsi" w:hAnsiTheme="minorHAnsi"/>
          <w:sz w:val="17"/>
          <w:szCs w:val="22"/>
        </w:rPr>
        <w:t>příslušného</w:t>
      </w:r>
      <w:r w:rsidR="00B35A62"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bookmarkEnd w:id="4"/>
    </w:p>
    <w:p w14:paraId="2EB22931" w14:textId="5587064A"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r>
      <w:r w:rsidR="00B35A62" w:rsidRPr="00772C49">
        <w:rPr>
          <w:rFonts w:asciiTheme="minorHAnsi" w:hAnsiTheme="minorHAnsi"/>
          <w:sz w:val="17"/>
          <w:szCs w:val="22"/>
        </w:rPr>
        <w:t>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6E8C27F5" w:rsidR="00B35A62" w:rsidRPr="00772C49" w:rsidRDefault="005D7BB3" w:rsidP="005D7BB3">
      <w:pPr>
        <w:pStyle w:val="3"/>
        <w:tabs>
          <w:tab w:val="clear" w:pos="425"/>
        </w:tabs>
        <w:ind w:left="567" w:hanging="283"/>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r>
      <w:r w:rsidR="00B35A62" w:rsidRPr="00772C49">
        <w:rPr>
          <w:rFonts w:asciiTheme="minorHAnsi" w:hAnsiTheme="minorHAnsi"/>
          <w:sz w:val="17"/>
          <w:szCs w:val="22"/>
        </w:rPr>
        <w:t xml:space="preserve">Zákazník je oprávněn oznámit Obchodníkovi prostřednictvím aplikace innogy24, popřípadě i jiným vhodným způsobem změnu smluvního množství a denní rezervované kapacity na následující kalendářní rok nejpozději však </w:t>
      </w:r>
      <w:r w:rsidR="00B35A62"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1B93E402" w:rsidR="00B35A62" w:rsidRPr="005D7BB3" w:rsidRDefault="005D7BB3" w:rsidP="005D7BB3">
      <w:pPr>
        <w:pStyle w:val="3"/>
        <w:tabs>
          <w:tab w:val="clear" w:pos="425"/>
        </w:tabs>
        <w:ind w:left="567" w:hanging="283"/>
        <w:jc w:val="left"/>
        <w:rPr>
          <w:rFonts w:asciiTheme="minorHAnsi" w:hAnsiTheme="minorHAnsi" w:cstheme="minorHAnsi"/>
          <w:sz w:val="17"/>
          <w:szCs w:val="22"/>
        </w:rPr>
      </w:pPr>
      <w:r>
        <w:rPr>
          <w:rFonts w:asciiTheme="minorHAnsi" w:hAnsiTheme="minorHAnsi"/>
          <w:sz w:val="17"/>
          <w:szCs w:val="22"/>
        </w:rPr>
        <w:t>d)</w:t>
      </w:r>
      <w:r>
        <w:rPr>
          <w:rFonts w:asciiTheme="minorHAnsi" w:hAnsiTheme="minorHAnsi"/>
          <w:sz w:val="17"/>
          <w:szCs w:val="22"/>
        </w:rPr>
        <w:tab/>
      </w:r>
      <w:r w:rsidR="00B35A62" w:rsidRPr="00772C49">
        <w:rPr>
          <w:rFonts w:asciiTheme="minorHAnsi" w:hAnsiTheme="minorHAnsi"/>
          <w:sz w:val="17"/>
          <w:szCs w:val="22"/>
        </w:rPr>
        <w:t xml:space="preserve">V případě, že má Zákazník uzavřenou víceletou Smlouvu se sjednanými parametry ceny, ustanovení </w:t>
      </w:r>
      <w:r>
        <w:rPr>
          <w:rFonts w:asciiTheme="minorHAnsi" w:hAnsiTheme="minorHAnsi"/>
          <w:sz w:val="17"/>
          <w:szCs w:val="22"/>
        </w:rPr>
        <w:t xml:space="preserve">písm. a), b) a c) </w:t>
      </w:r>
      <w:r w:rsidR="00B35A62" w:rsidRPr="00772C49">
        <w:rPr>
          <w:rFonts w:asciiTheme="minorHAnsi" w:hAnsiTheme="minorHAnsi"/>
          <w:sz w:val="17"/>
          <w:szCs w:val="22"/>
        </w:rPr>
        <w:t xml:space="preserve">tohoto </w:t>
      </w:r>
      <w:r>
        <w:rPr>
          <w:rFonts w:asciiTheme="minorHAnsi" w:hAnsiTheme="minorHAnsi"/>
          <w:sz w:val="17"/>
          <w:szCs w:val="22"/>
        </w:rPr>
        <w:t>odstavce</w:t>
      </w:r>
      <w:r w:rsidR="00B35A62" w:rsidRPr="00772C49">
        <w:rPr>
          <w:rFonts w:asciiTheme="minorHAnsi" w:hAnsiTheme="minorHAnsi"/>
          <w:sz w:val="17"/>
          <w:szCs w:val="22"/>
        </w:rPr>
        <w:t xml:space="preserve"> se na něj nevztahuje. Zákazník je oprávněn ustanovení </w:t>
      </w:r>
      <w:r>
        <w:rPr>
          <w:rFonts w:asciiTheme="minorHAnsi" w:hAnsiTheme="minorHAnsi"/>
          <w:sz w:val="17"/>
          <w:szCs w:val="22"/>
        </w:rPr>
        <w:t xml:space="preserve">písm. a), b) a c) </w:t>
      </w:r>
      <w:r w:rsidRPr="00772C49">
        <w:rPr>
          <w:rFonts w:asciiTheme="minorHAnsi" w:hAnsiTheme="minorHAnsi"/>
          <w:sz w:val="17"/>
          <w:szCs w:val="22"/>
        </w:rPr>
        <w:t xml:space="preserve">tohoto </w:t>
      </w:r>
      <w:r>
        <w:rPr>
          <w:rFonts w:asciiTheme="minorHAnsi" w:hAnsiTheme="minorHAnsi"/>
          <w:sz w:val="17"/>
          <w:szCs w:val="22"/>
        </w:rPr>
        <w:t>odstavce</w:t>
      </w:r>
      <w:r w:rsidRPr="00772C49">
        <w:rPr>
          <w:rFonts w:asciiTheme="minorHAnsi" w:hAnsiTheme="minorHAnsi"/>
          <w:sz w:val="17"/>
          <w:szCs w:val="22"/>
        </w:rPr>
        <w:t xml:space="preserve"> </w:t>
      </w:r>
      <w:r w:rsidR="00B35A62" w:rsidRPr="00772C49">
        <w:rPr>
          <w:rFonts w:asciiTheme="minorHAnsi" w:hAnsiTheme="minorHAnsi"/>
          <w:sz w:val="17"/>
          <w:szCs w:val="22"/>
        </w:rPr>
        <w:t>využít poprvé v posledním roce platnosti takto uzavřené Smlouvy</w:t>
      </w:r>
      <w:r w:rsidR="00B35A62" w:rsidRPr="005D7BB3">
        <w:rPr>
          <w:rFonts w:asciiTheme="minorHAnsi" w:hAnsiTheme="minorHAnsi" w:cstheme="minorHAnsi"/>
          <w:sz w:val="17"/>
          <w:szCs w:val="22"/>
        </w:rPr>
        <w:t>.</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3"/>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v dokumentu „Technický standard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5"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5"/>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6" w:name="b_s_distribuci1"/>
      <w:r w:rsidRPr="00124DD6">
        <w:rPr>
          <w:rFonts w:asciiTheme="minorHAnsi" w:hAnsiTheme="minorHAnsi"/>
          <w:sz w:val="17"/>
          <w:szCs w:val="22"/>
        </w:rPr>
        <w:t xml:space="preserve"> a distribuce (včetně Řádu provozovatele </w:t>
      </w:r>
      <w:r w:rsidRPr="00124DD6">
        <w:rPr>
          <w:rFonts w:asciiTheme="minorHAnsi" w:hAnsiTheme="minorHAnsi"/>
          <w:sz w:val="17"/>
          <w:szCs w:val="22"/>
        </w:rPr>
        <w:lastRenderedPageBreak/>
        <w:t>distribuční soustavy)</w:t>
      </w:r>
      <w:bookmarkEnd w:id="6"/>
      <w:r w:rsidRPr="00124DD6">
        <w:rPr>
          <w:rFonts w:asciiTheme="minorHAnsi" w:hAnsiTheme="minorHAnsi"/>
          <w:sz w:val="17"/>
          <w:szCs w:val="22"/>
        </w:rPr>
        <w:t>, platnými v době podpisu této Smlouvy, a zavazuje se jimi řídit, jakož i jejich změnami. OP</w:t>
      </w:r>
      <w:bookmarkStart w:id="7"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7"/>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8" w:name="b_s_distribuci3"/>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a ustanovení OP mají přednost před ustanoveními Pravidel přepravy</w:t>
      </w:r>
      <w:bookmarkStart w:id="9" w:name="b_s_distribuci4"/>
      <w:r w:rsidRPr="00124DD6">
        <w:rPr>
          <w:rFonts w:asciiTheme="minorHAnsi" w:hAnsiTheme="minorHAnsi"/>
          <w:sz w:val="17"/>
          <w:szCs w:val="22"/>
        </w:rPr>
        <w:t xml:space="preserve"> a distribuce</w:t>
      </w:r>
      <w:bookmarkEnd w:id="9"/>
      <w:r w:rsidRPr="00124DD6">
        <w:rPr>
          <w:rFonts w:asciiTheme="minorHAnsi" w:hAnsiTheme="minorHAnsi"/>
          <w:sz w:val="17"/>
          <w:szCs w:val="22"/>
        </w:rPr>
        <w:t>, pokud jsou s nimi v rozporu, s výjimkou případů, kdy se od Pravidel provozu přepravní soustavy</w:t>
      </w:r>
      <w:bookmarkStart w:id="10" w:name="b_s_distribuci5"/>
      <w:r w:rsidRPr="00124DD6">
        <w:rPr>
          <w:rFonts w:asciiTheme="minorHAnsi" w:hAnsiTheme="minorHAnsi"/>
          <w:sz w:val="17"/>
          <w:szCs w:val="22"/>
        </w:rPr>
        <w:t xml:space="preserve"> a distribučních soustav</w:t>
      </w:r>
      <w:bookmarkEnd w:id="10"/>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AD165C8"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BB6AFB">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4CA3A2D1"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w:t>
            </w:r>
            <w:proofErr w:type="gramStart"/>
            <w:r w:rsidRPr="00BE08E9">
              <w:rPr>
                <w:rFonts w:asciiTheme="minorHAnsi" w:hAnsiTheme="minorHAnsi"/>
                <w:b w:val="0"/>
                <w:color w:val="auto"/>
              </w:rPr>
              <w:t>dne</w:t>
            </w:r>
            <w:r>
              <w:rPr>
                <w:rFonts w:asciiTheme="minorHAnsi" w:hAnsiTheme="minorHAnsi"/>
                <w:b w:val="0"/>
                <w:color w:val="auto"/>
              </w:rPr>
              <w:t xml:space="preserve"> </w:t>
            </w:r>
            <w:r w:rsidR="00DF561F">
              <w:rPr>
                <w:rFonts w:asciiTheme="minorHAnsi" w:hAnsiTheme="minorHAnsi"/>
                <w:b w:val="0"/>
                <w:color w:val="auto"/>
              </w:rPr>
              <w:t>:</w:t>
            </w:r>
            <w:proofErr w:type="gramEnd"/>
            <w:r w:rsidR="00DF561F">
              <w:rPr>
                <w:rFonts w:asciiTheme="minorHAnsi" w:hAnsiTheme="minorHAnsi"/>
                <w:b w:val="0"/>
                <w:color w:val="auto"/>
              </w:rPr>
              <w:t xml:space="preserve"> 29.</w:t>
            </w:r>
            <w:r w:rsidR="00BB6AFB">
              <w:rPr>
                <w:rFonts w:asciiTheme="minorHAnsi" w:hAnsiTheme="minorHAnsi"/>
                <w:b w:val="0"/>
                <w:color w:val="auto"/>
              </w:rPr>
              <w:t>8</w:t>
            </w:r>
            <w:r w:rsidR="00DF561F">
              <w:rPr>
                <w:rFonts w:asciiTheme="minorHAnsi" w:hAnsiTheme="minorHAnsi"/>
                <w:b w:val="0"/>
                <w:color w:val="auto"/>
              </w:rPr>
              <w:t>.2021</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2284F9DF" w:rsidR="00920D7C" w:rsidRPr="00CD13A2" w:rsidRDefault="00BB6AFB"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180D340B" w:rsidR="00920D7C" w:rsidRPr="00CD13A2" w:rsidRDefault="00BB6AFB"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3CEFEFB5"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bookmarkStart w:id="11" w:name="_GoBack"/>
      <w:bookmarkEnd w:id="11"/>
    </w:p>
    <w:p w14:paraId="53DFAD46" w14:textId="77777777" w:rsidR="000C115E" w:rsidRPr="008216C9" w:rsidRDefault="000C115E" w:rsidP="00BB6AFB">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26D9" w14:textId="77777777" w:rsidR="00904368" w:rsidRDefault="00904368" w:rsidP="00055080">
      <w:r>
        <w:separator/>
      </w:r>
    </w:p>
    <w:p w14:paraId="050902B7" w14:textId="77777777" w:rsidR="00904368" w:rsidRDefault="00904368"/>
  </w:endnote>
  <w:endnote w:type="continuationSeparator" w:id="0">
    <w:p w14:paraId="064FF927" w14:textId="77777777" w:rsidR="00904368" w:rsidRDefault="00904368" w:rsidP="00055080">
      <w:r>
        <w:continuationSeparator/>
      </w:r>
    </w:p>
    <w:p w14:paraId="45160969" w14:textId="77777777" w:rsidR="00904368" w:rsidRDefault="0090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7A1A5B68"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BB6AFB">
              <w:rPr>
                <w:noProof/>
              </w:rPr>
              <w:t>8</w:t>
            </w:r>
            <w:r>
              <w:rPr>
                <w:noProof/>
              </w:rPr>
              <w:fldChar w:fldCharType="end"/>
            </w:r>
          </w:p>
        </w:sdtContent>
      </w:sdt>
    </w:sdtContent>
  </w:sdt>
  <w:p w14:paraId="7DA8DBF0" w14:textId="77777777" w:rsidR="00675BC5" w:rsidRDefault="00675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514DA1FC" w:rsidR="00675BC5" w:rsidRPr="001A128F" w:rsidRDefault="00675BC5" w:rsidP="00FF5F59">
                <w:pPr>
                  <w:pStyle w:val="Zapati"/>
                  <w:tabs>
                    <w:tab w:val="clear" w:pos="4536"/>
                    <w:tab w:val="clear" w:pos="9072"/>
                    <w:tab w:val="right" w:pos="0"/>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BB6AFB">
                  <w:rPr>
                    <w:noProof/>
                  </w:rPr>
                  <w:t>8</w:t>
                </w:r>
                <w:r>
                  <w:rPr>
                    <w:noProof/>
                  </w:rPr>
                  <w:fldChar w:fldCharType="end"/>
                </w:r>
              </w:p>
            </w:sdtContent>
          </w:sdt>
        </w:sdtContent>
      </w:sdt>
    </w:sdtContent>
  </w:sdt>
  <w:p w14:paraId="0C5F13AD"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904368"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75BC5">
                          <w:t>Smlouva - zemní</w:t>
                        </w:r>
                        <w:proofErr w:type="gramEnd"/>
                        <w:r w:rsidR="00675BC5">
                          <w:t xml:space="preserve"> plyn: Distribuční přehled</w:t>
                        </w:r>
                        <w:r w:rsidR="00675BC5" w:rsidRPr="008C0A1D">
                          <w:tab/>
                        </w:r>
                        <w:r w:rsidR="00675BC5">
                          <w:t>1/1</w:t>
                        </w:r>
                      </w:sdtContent>
                    </w:sdt>
                    <w:r w:rsidR="00675BC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96CD" w14:textId="77777777" w:rsidR="00904368" w:rsidRDefault="00904368" w:rsidP="00055080">
      <w:r>
        <w:separator/>
      </w:r>
    </w:p>
    <w:p w14:paraId="3B5A0213" w14:textId="77777777" w:rsidR="00904368" w:rsidRDefault="00904368"/>
  </w:footnote>
  <w:footnote w:type="continuationSeparator" w:id="0">
    <w:p w14:paraId="5103D476" w14:textId="77777777" w:rsidR="00904368" w:rsidRDefault="00904368" w:rsidP="00055080">
      <w:r>
        <w:continuationSeparator/>
      </w:r>
    </w:p>
    <w:p w14:paraId="1AFA86A4" w14:textId="77777777" w:rsidR="00904368" w:rsidRDefault="00904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0E47"/>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13F"/>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436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6AFB"/>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1F"/>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0405-164C-42E8-8DED-0FC32E0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3326</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2021-08-31T09:10:00Z</dcterms:created>
  <dcterms:modified xsi:type="dcterms:W3CDTF">2021-08-31T09:27:00Z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