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836E" w14:textId="77777777" w:rsidR="002C46A2" w:rsidRDefault="006E669F" w:rsidP="0074458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999F" wp14:editId="7C5327B3">
                <wp:simplePos x="0" y="0"/>
                <wp:positionH relativeFrom="column">
                  <wp:posOffset>3257550</wp:posOffset>
                </wp:positionH>
                <wp:positionV relativeFrom="paragraph">
                  <wp:posOffset>-85725</wp:posOffset>
                </wp:positionV>
                <wp:extent cx="3362325" cy="11334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8A76E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Gornex s.r.o.</w:t>
                            </w:r>
                          </w:p>
                          <w:p w14:paraId="4C6C1ED9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AE83648" w14:textId="7B6C1988" w:rsidR="006E669F" w:rsidRPr="004D1EB2" w:rsidRDefault="006E669F" w:rsidP="00F22A5B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Sídlo: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V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inohradská 2165/48,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00  Praha 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14:paraId="697764FC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Kancelář: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Přátelství 39/606, 104 00  Praha 22 – Uhříněves</w:t>
                            </w:r>
                          </w:p>
                          <w:p w14:paraId="246A0911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FF9393"/>
                                <w:sz w:val="18"/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IČO: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27881598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IČ: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CZ27881598</w:t>
                            </w:r>
                          </w:p>
                          <w:p w14:paraId="12EA8BC6" w14:textId="77777777" w:rsidR="006E669F" w:rsidRPr="008B02D4" w:rsidRDefault="006E669F" w:rsidP="006E669F">
                            <w:pPr>
                              <w:pStyle w:val="Bezmezer"/>
                              <w:rPr>
                                <w:i/>
                                <w:noProof/>
                              </w:rPr>
                            </w:pPr>
                          </w:p>
                          <w:p w14:paraId="4B00E00E" w14:textId="77777777" w:rsidR="006E669F" w:rsidRPr="006E669F" w:rsidRDefault="006E669F" w:rsidP="006E669F">
                            <w:pPr>
                              <w:pStyle w:val="Bezmezer"/>
                              <w:rPr>
                                <w:noProof/>
                              </w:rPr>
                            </w:pPr>
                          </w:p>
                          <w:p w14:paraId="7BA04A9B" w14:textId="77777777" w:rsidR="006E669F" w:rsidRPr="006E669F" w:rsidRDefault="006E669F" w:rsidP="006E669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35999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6.5pt;margin-top:-6.75pt;width:264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" filled="f" stroked="f">
                <v:textbox>
                  <w:txbxContent>
                    <w:p w14:paraId="64E8A76E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Gornex s.r.o.</w:t>
                      </w:r>
                    </w:p>
                    <w:p w14:paraId="4C6C1ED9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6AE83648" w14:textId="7B6C1988" w:rsidR="006E669F" w:rsidRPr="004D1EB2" w:rsidRDefault="006E669F" w:rsidP="00F22A5B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Sídlo: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V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inohradská 2165/48,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00  Praha 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14:paraId="697764FC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Kancelář: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Přátelství 39/606, 104 00  Praha 22 – Uhříněves</w:t>
                      </w:r>
                    </w:p>
                    <w:p w14:paraId="246A0911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FF9393"/>
                          <w:sz w:val="18"/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IČO: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27881598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IČ: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CZ27881598</w:t>
                      </w:r>
                    </w:p>
                    <w:p w14:paraId="12EA8BC6" w14:textId="77777777" w:rsidR="006E669F" w:rsidRPr="008B02D4" w:rsidRDefault="006E669F" w:rsidP="006E669F">
                      <w:pPr>
                        <w:pStyle w:val="Bezmezer"/>
                        <w:rPr>
                          <w:i/>
                          <w:noProof/>
                        </w:rPr>
                      </w:pPr>
                    </w:p>
                    <w:p w14:paraId="4B00E00E" w14:textId="77777777" w:rsidR="006E669F" w:rsidRPr="006E669F" w:rsidRDefault="006E669F" w:rsidP="006E669F">
                      <w:pPr>
                        <w:pStyle w:val="Bezmezer"/>
                        <w:rPr>
                          <w:noProof/>
                        </w:rPr>
                      </w:pPr>
                    </w:p>
                    <w:p w14:paraId="7BA04A9B" w14:textId="77777777" w:rsidR="006E669F" w:rsidRPr="006E669F" w:rsidRDefault="006E669F" w:rsidP="006E669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1D26EE0C" wp14:editId="79870B1D">
            <wp:extent cx="2105025" cy="727190"/>
            <wp:effectExtent l="0" t="0" r="63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05EDB9DA" w14:textId="77777777" w:rsidR="00744581" w:rsidRDefault="00744581" w:rsidP="00744581">
      <w:pPr>
        <w:pBdr>
          <w:top w:val="single" w:sz="4" w:space="1" w:color="auto"/>
        </w:pBdr>
        <w:spacing w:after="0"/>
      </w:pPr>
    </w:p>
    <w:p w14:paraId="03E65EF4" w14:textId="77777777" w:rsidR="00A263E2" w:rsidRPr="00A263E2" w:rsidRDefault="00A263E2" w:rsidP="00A263E2">
      <w:pPr>
        <w:pStyle w:val="Normln1"/>
        <w:ind w:firstLine="360"/>
        <w:jc w:val="both"/>
        <w:rPr>
          <w:rFonts w:ascii="Calibri" w:hAnsi="Calibri"/>
          <w:b/>
          <w:color w:val="auto"/>
          <w:sz w:val="22"/>
          <w:u w:val="single"/>
        </w:rPr>
      </w:pPr>
      <w:r w:rsidRPr="00A263E2">
        <w:rPr>
          <w:rFonts w:ascii="Calibri" w:hAnsi="Calibri"/>
          <w:b/>
          <w:color w:val="auto"/>
          <w:sz w:val="22"/>
          <w:u w:val="single"/>
        </w:rPr>
        <w:t xml:space="preserve">Níže uvedeného dne, měsíce a roku uzavřeli </w:t>
      </w:r>
    </w:p>
    <w:p w14:paraId="37D55822" w14:textId="77777777" w:rsidR="00A263E2" w:rsidRDefault="00A263E2" w:rsidP="00A263E2">
      <w:pPr>
        <w:pStyle w:val="Normln1"/>
        <w:ind w:firstLine="360"/>
        <w:jc w:val="both"/>
        <w:rPr>
          <w:rFonts w:ascii="Calibri" w:hAnsi="Calibri"/>
          <w:color w:val="auto"/>
          <w:sz w:val="22"/>
        </w:rPr>
      </w:pPr>
    </w:p>
    <w:p w14:paraId="0EA2F19D" w14:textId="6FF79BD6" w:rsidR="00A263E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      Číslo smlouvy kupujícího:         </w:t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 xml:space="preserve">                          </w:t>
      </w:r>
    </w:p>
    <w:p w14:paraId="1C1BBEAC" w14:textId="60FBBDAB" w:rsidR="00A263E2" w:rsidRDefault="00A263E2" w:rsidP="00A263E2">
      <w:pPr>
        <w:pStyle w:val="Normln1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      Číslo smlouvy prodávajícího: </w:t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</w:p>
    <w:p w14:paraId="6F6E8D85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7F381AA1" w14:textId="6958E936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>Firma: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Gornex s.r.o.</w:t>
      </w:r>
    </w:p>
    <w:p w14:paraId="2662814F" w14:textId="3D70CDB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>Sídlo: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V</w:t>
      </w:r>
      <w:r w:rsidR="00BE3FC6" w:rsidRPr="002D17A8">
        <w:rPr>
          <w:rFonts w:cstheme="minorHAnsi"/>
        </w:rPr>
        <w:t>inohradská 2165/48</w:t>
      </w:r>
      <w:r w:rsidR="00BA4DE1" w:rsidRPr="002D17A8">
        <w:rPr>
          <w:rFonts w:cstheme="minorHAnsi"/>
        </w:rPr>
        <w:t>, 1</w:t>
      </w:r>
      <w:r w:rsidR="00BE3FC6" w:rsidRPr="002D17A8">
        <w:rPr>
          <w:rFonts w:cstheme="minorHAnsi"/>
        </w:rPr>
        <w:t>20</w:t>
      </w:r>
      <w:r w:rsidR="00BA4DE1" w:rsidRPr="002D17A8">
        <w:rPr>
          <w:rFonts w:cstheme="minorHAnsi"/>
        </w:rPr>
        <w:t xml:space="preserve"> 00  Praha </w:t>
      </w:r>
      <w:r w:rsidR="00BE3FC6" w:rsidRPr="002D17A8">
        <w:rPr>
          <w:rFonts w:cstheme="minorHAnsi"/>
        </w:rPr>
        <w:t>2</w:t>
      </w:r>
    </w:p>
    <w:p w14:paraId="2C07800D" w14:textId="03F306D3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IČ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27881598</w:t>
      </w:r>
    </w:p>
    <w:p w14:paraId="36C85016" w14:textId="6E726FD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DIČ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CZ27881598</w:t>
      </w:r>
    </w:p>
    <w:p w14:paraId="3DB51BE8" w14:textId="66C93F43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Zastoupená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Ivem Šťástkou - jednatelem</w:t>
      </w:r>
    </w:p>
    <w:p w14:paraId="67FC6ACC" w14:textId="28E3102D" w:rsidR="00A263E2" w:rsidRPr="002D17A8" w:rsidRDefault="00A263E2" w:rsidP="00A263E2">
      <w:pPr>
        <w:pStyle w:val="Bezmezer"/>
        <w:rPr>
          <w:rFonts w:cstheme="minorHAnsi"/>
          <w:lang w:eastAsia="ar-SA"/>
        </w:rPr>
      </w:pPr>
      <w:r w:rsidRPr="002D17A8">
        <w:rPr>
          <w:rFonts w:cstheme="minorHAnsi"/>
          <w:lang w:eastAsia="ar-SA"/>
        </w:rPr>
        <w:t>Zapsaná v </w:t>
      </w:r>
      <w:r w:rsidR="00BA4DE1" w:rsidRPr="002D17A8">
        <w:rPr>
          <w:rFonts w:cstheme="minorHAnsi"/>
          <w:lang w:eastAsia="ar-SA"/>
        </w:rPr>
        <w:tab/>
      </w:r>
      <w:r w:rsidR="00BA4DE1" w:rsidRPr="002D17A8">
        <w:rPr>
          <w:rFonts w:cstheme="minorHAnsi"/>
          <w:lang w:eastAsia="ar-SA"/>
        </w:rPr>
        <w:tab/>
      </w:r>
      <w:r w:rsidR="00BA4DE1" w:rsidRPr="002D17A8">
        <w:rPr>
          <w:rFonts w:cstheme="minorHAnsi"/>
          <w:lang w:eastAsia="ar-SA"/>
        </w:rPr>
        <w:tab/>
        <w:t>u Městského soudu v Praze, C 123845</w:t>
      </w:r>
    </w:p>
    <w:p w14:paraId="5999F3F1" w14:textId="667775DB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Číslo. účtu: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35-9366850297/0100</w:t>
      </w:r>
    </w:p>
    <w:p w14:paraId="02304A9B" w14:textId="4FC87BD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Telefon: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+420 603 778 024</w:t>
      </w:r>
    </w:p>
    <w:p w14:paraId="11AADEEC" w14:textId="3D355BBA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E-mail: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2D17A8">
        <w:rPr>
          <w:rFonts w:cstheme="minorHAnsi"/>
        </w:rPr>
        <w:tab/>
      </w:r>
      <w:r w:rsidR="00BA4DE1" w:rsidRPr="002D17A8">
        <w:rPr>
          <w:rFonts w:cstheme="minorHAnsi"/>
        </w:rPr>
        <w:t>info@gornex.cz</w:t>
      </w:r>
    </w:p>
    <w:p w14:paraId="6336C991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47DFBB9B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(dále jen „Prodávající“)</w:t>
      </w:r>
    </w:p>
    <w:p w14:paraId="6D2D13C7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755CBDC3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a</w:t>
      </w:r>
    </w:p>
    <w:p w14:paraId="01E8E771" w14:textId="77777777" w:rsidR="00A263E2" w:rsidRDefault="00A263E2" w:rsidP="00A263E2">
      <w:pPr>
        <w:rPr>
          <w:rFonts w:eastAsia="ヒラギノ角ゴ Pro W3"/>
        </w:rPr>
      </w:pPr>
    </w:p>
    <w:p w14:paraId="5F03886E" w14:textId="1F7E6ED0" w:rsidR="00A263E2" w:rsidRPr="005C0516" w:rsidRDefault="00960A2E" w:rsidP="00A263E2">
      <w:pPr>
        <w:pStyle w:val="Bezmezer"/>
      </w:pPr>
      <w:r>
        <w:t>Město:</w:t>
      </w:r>
      <w:r>
        <w:tab/>
      </w:r>
      <w:r>
        <w:tab/>
      </w:r>
      <w:r>
        <w:tab/>
      </w:r>
      <w:r>
        <w:tab/>
      </w:r>
      <w:r w:rsidR="00CB3945">
        <w:t>M</w:t>
      </w:r>
      <w:r w:rsidR="0044722F">
        <w:t>ěstský obvod Liberec – Vratislavice nad Nisou</w:t>
      </w:r>
    </w:p>
    <w:p w14:paraId="7F204D4E" w14:textId="5196FBFC" w:rsidR="00A263E2" w:rsidRDefault="00A263E2" w:rsidP="00A263E2">
      <w:pPr>
        <w:pStyle w:val="Bezmezer"/>
      </w:pPr>
      <w:r>
        <w:t>Zastoupen</w:t>
      </w:r>
      <w:r w:rsidR="00960A2E">
        <w:t>é</w:t>
      </w:r>
      <w:r>
        <w:t>:</w:t>
      </w:r>
      <w:r w:rsidR="00960A2E">
        <w:tab/>
      </w:r>
      <w:r w:rsidR="00960A2E">
        <w:tab/>
      </w:r>
      <w:r w:rsidR="00960A2E">
        <w:tab/>
      </w:r>
      <w:r w:rsidR="0044722F">
        <w:t xml:space="preserve">Lukášem Pohankou </w:t>
      </w:r>
      <w:r w:rsidR="00BE3FC6">
        <w:t>– starostou</w:t>
      </w:r>
      <w:r>
        <w:tab/>
      </w:r>
    </w:p>
    <w:p w14:paraId="1542A1C0" w14:textId="1DA801C2" w:rsidR="00A263E2" w:rsidRDefault="00A263E2" w:rsidP="00A263E2">
      <w:pPr>
        <w:pStyle w:val="Bezmezer"/>
      </w:pPr>
      <w:r>
        <w:t xml:space="preserve">Sídlo: </w:t>
      </w:r>
      <w:r>
        <w:tab/>
      </w:r>
      <w:r>
        <w:tab/>
      </w:r>
      <w:r w:rsidR="00BE3FC6">
        <w:tab/>
      </w:r>
      <w:r w:rsidR="00BE3FC6">
        <w:tab/>
      </w:r>
      <w:r w:rsidR="0044722F">
        <w:t>Tanvaldská 50, 463 11 Liberec 30</w:t>
      </w:r>
    </w:p>
    <w:p w14:paraId="3843F255" w14:textId="1E6B922E" w:rsidR="00A263E2" w:rsidRDefault="00A263E2" w:rsidP="00A263E2">
      <w:pPr>
        <w:pStyle w:val="Bezmezer"/>
      </w:pPr>
      <w:r>
        <w:t xml:space="preserve">Telefon: </w:t>
      </w:r>
      <w:r>
        <w:tab/>
      </w:r>
      <w:r w:rsidR="00BE3FC6">
        <w:tab/>
      </w:r>
      <w:r w:rsidR="00BE3FC6">
        <w:tab/>
      </w:r>
      <w:hyperlink r:id="rId9" w:history="1">
        <w:r w:rsidR="005D6CB3" w:rsidRPr="00975109">
          <w:rPr>
            <w:rStyle w:val="Hypertextovodkaz"/>
          </w:rPr>
          <w:t>vratislavice</w:t>
        </w:r>
        <w:r w:rsidR="005D6CB3" w:rsidRPr="00975109">
          <w:rPr>
            <w:rStyle w:val="Hypertextovodkaz"/>
            <w:rFonts w:cstheme="minorHAnsi"/>
          </w:rPr>
          <w:t>@vratislavice.cz</w:t>
        </w:r>
      </w:hyperlink>
      <w:r w:rsidR="007247C1">
        <w:rPr>
          <w:rFonts w:cstheme="minorHAnsi"/>
        </w:rPr>
        <w:t xml:space="preserve"> </w:t>
      </w:r>
    </w:p>
    <w:p w14:paraId="6E5A1417" w14:textId="5686C25C" w:rsidR="00BE3FC6" w:rsidRDefault="00A263E2" w:rsidP="00A263E2">
      <w:pPr>
        <w:pStyle w:val="Bezmezer"/>
      </w:pPr>
      <w:r>
        <w:t>E-mail:</w:t>
      </w:r>
      <w:r>
        <w:tab/>
      </w:r>
      <w:r>
        <w:tab/>
      </w:r>
      <w:r w:rsidR="00BE3FC6">
        <w:tab/>
      </w:r>
      <w:r w:rsidR="00BE3FC6">
        <w:tab/>
      </w:r>
      <w:r w:rsidR="007247C1">
        <w:t>482 428 810</w:t>
      </w:r>
    </w:p>
    <w:p w14:paraId="20F2301A" w14:textId="08F4CE3E" w:rsidR="00A263E2" w:rsidRPr="005C0516" w:rsidRDefault="00A263E2" w:rsidP="00A263E2">
      <w:pPr>
        <w:pStyle w:val="Bezmezer"/>
      </w:pPr>
      <w:r>
        <w:t>IČ:</w:t>
      </w:r>
      <w:r w:rsidR="00BE3FC6">
        <w:tab/>
      </w:r>
      <w:r w:rsidR="00BE3FC6">
        <w:tab/>
      </w:r>
      <w:r w:rsidR="00BE3FC6">
        <w:tab/>
      </w:r>
      <w:r w:rsidR="00BE3FC6">
        <w:tab/>
      </w:r>
      <w:r w:rsidR="0044722F">
        <w:t>00262978</w:t>
      </w:r>
      <w:r>
        <w:tab/>
      </w:r>
    </w:p>
    <w:p w14:paraId="062C1031" w14:textId="2A4CDF21" w:rsidR="00A263E2" w:rsidRPr="005C0516" w:rsidRDefault="00A263E2" w:rsidP="00A263E2">
      <w:pPr>
        <w:pStyle w:val="Bezmezer"/>
      </w:pPr>
      <w:r w:rsidRPr="005C0516">
        <w:t xml:space="preserve">DIČ: </w:t>
      </w:r>
      <w:r w:rsidRPr="005C0516">
        <w:tab/>
      </w:r>
      <w:r w:rsidRPr="005C0516">
        <w:tab/>
      </w:r>
      <w:r w:rsidR="00BE3FC6">
        <w:tab/>
      </w:r>
      <w:r w:rsidR="00BE3FC6">
        <w:tab/>
        <w:t>CZ00</w:t>
      </w:r>
      <w:r w:rsidR="0044722F">
        <w:t>262978</w:t>
      </w:r>
    </w:p>
    <w:p w14:paraId="6375EADC" w14:textId="515834A2" w:rsidR="00A263E2" w:rsidRPr="00F6357A" w:rsidRDefault="00A263E2" w:rsidP="00A263E2">
      <w:pPr>
        <w:pStyle w:val="Bezmezer"/>
      </w:pPr>
      <w:r>
        <w:t xml:space="preserve">Číslo účtu: </w:t>
      </w:r>
      <w:r>
        <w:tab/>
      </w:r>
      <w:r w:rsidR="00BE3FC6">
        <w:tab/>
      </w:r>
      <w:r w:rsidR="00BE3FC6">
        <w:tab/>
      </w:r>
    </w:p>
    <w:p w14:paraId="3DBFE991" w14:textId="77777777" w:rsidR="00A263E2" w:rsidRPr="00A27134" w:rsidRDefault="00A263E2" w:rsidP="00A263E2"/>
    <w:p w14:paraId="06702BE2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(dále jen „Kupující“)</w:t>
      </w:r>
    </w:p>
    <w:p w14:paraId="1850262A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55D4E16A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tuto </w:t>
      </w:r>
    </w:p>
    <w:p w14:paraId="62D87646" w14:textId="3AB1C641" w:rsidR="00A263E2" w:rsidRPr="00474A56" w:rsidRDefault="00474A56" w:rsidP="00474A56">
      <w:pPr>
        <w:pStyle w:val="Normln1"/>
        <w:rPr>
          <w:rFonts w:ascii="Calibri" w:hAnsi="Calibri"/>
          <w:b/>
          <w:color w:val="auto"/>
          <w:spacing w:val="32"/>
          <w:szCs w:val="24"/>
        </w:rPr>
      </w:pPr>
      <w:r>
        <w:rPr>
          <w:rFonts w:ascii="Calibri" w:hAnsi="Calibri"/>
          <w:b/>
          <w:color w:val="auto"/>
          <w:spacing w:val="32"/>
          <w:sz w:val="36"/>
        </w:rPr>
        <w:t xml:space="preserve">                          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K</w:t>
      </w:r>
      <w:r w:rsidR="00A263E2">
        <w:rPr>
          <w:rFonts w:ascii="Calibri" w:hAnsi="Calibri"/>
          <w:b/>
          <w:color w:val="auto"/>
          <w:spacing w:val="32"/>
          <w:sz w:val="36"/>
        </w:rPr>
        <w:t> 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u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p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n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í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  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 xml:space="preserve"> s</w:t>
      </w:r>
      <w:r w:rsidR="00A263E2">
        <w:rPr>
          <w:rFonts w:ascii="Calibri" w:hAnsi="Calibri"/>
          <w:b/>
          <w:color w:val="auto"/>
          <w:spacing w:val="32"/>
          <w:sz w:val="36"/>
        </w:rPr>
        <w:t> 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m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l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o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u</w:t>
      </w:r>
      <w:r w:rsidR="00A263E2"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v</w:t>
      </w:r>
      <w:r>
        <w:rPr>
          <w:rFonts w:ascii="Calibri" w:hAnsi="Calibri"/>
          <w:b/>
          <w:color w:val="auto"/>
          <w:spacing w:val="32"/>
          <w:sz w:val="36"/>
        </w:rPr>
        <w:t> </w:t>
      </w:r>
      <w:r w:rsidR="00A263E2" w:rsidRPr="00A263E2">
        <w:rPr>
          <w:rFonts w:ascii="Calibri" w:hAnsi="Calibri"/>
          <w:b/>
          <w:color w:val="auto"/>
          <w:spacing w:val="32"/>
          <w:sz w:val="36"/>
        </w:rPr>
        <w:t>u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="003E62A8">
        <w:rPr>
          <w:rFonts w:ascii="Calibri" w:hAnsi="Calibri"/>
          <w:b/>
          <w:color w:val="auto"/>
          <w:spacing w:val="32"/>
          <w:sz w:val="36"/>
        </w:rPr>
        <w:t xml:space="preserve">       </w:t>
      </w:r>
      <w:r>
        <w:rPr>
          <w:rFonts w:ascii="Calibri" w:hAnsi="Calibri"/>
          <w:b/>
          <w:color w:val="auto"/>
          <w:spacing w:val="32"/>
          <w:szCs w:val="24"/>
        </w:rPr>
        <w:t>č. 235/2021/01</w:t>
      </w:r>
    </w:p>
    <w:p w14:paraId="253E424F" w14:textId="77777777" w:rsidR="00A263E2" w:rsidRPr="002A0692" w:rsidRDefault="00A263E2" w:rsidP="00A263E2">
      <w:pPr>
        <w:pStyle w:val="Normln1"/>
        <w:jc w:val="center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 (Kupující a Prodávající jsou dále společně označovány jako „Smluvní strany“ nebo jednotlivě jako „Smluvní strana“ nebo „Účastník“; Tato smlouva je dále označována jako „Smlouva“).</w:t>
      </w:r>
    </w:p>
    <w:p w14:paraId="6082933C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0C574A07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  <w:bCs/>
        </w:rPr>
        <w:t>Předmět koupě</w:t>
      </w:r>
    </w:p>
    <w:p w14:paraId="0BBFB13C" w14:textId="663D77BD" w:rsidR="00A263E2" w:rsidRPr="002A0692" w:rsidRDefault="00A263E2" w:rsidP="00A263E2">
      <w:pPr>
        <w:widowControl w:val="0"/>
        <w:numPr>
          <w:ilvl w:val="1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</w:pPr>
      <w:r w:rsidRPr="002A0692">
        <w:rPr>
          <w:rFonts w:eastAsia="ヒラギノ角ゴ Pro W3"/>
        </w:rPr>
        <w:t xml:space="preserve">Prodávající se zavazuje, že odevzdá Kupujícímu věc </w:t>
      </w:r>
      <w:r w:rsidR="00CB3945">
        <w:rPr>
          <w:rFonts w:eastAsia="ヒラギノ角ゴ Pro W3"/>
        </w:rPr>
        <w:t>(4 ks dopravního zařízení – radarů SYDO Traffic ZEUS</w:t>
      </w:r>
      <w:r w:rsidR="00252F63">
        <w:rPr>
          <w:rFonts w:eastAsia="ヒラギノ角ゴ Pro W3"/>
        </w:rPr>
        <w:t>, se zobrazením registrační značky</w:t>
      </w:r>
      <w:r w:rsidR="00CB3945">
        <w:rPr>
          <w:rFonts w:eastAsia="ヒラギノ角ゴ Pro W3"/>
        </w:rPr>
        <w:t xml:space="preserve">) </w:t>
      </w:r>
      <w:r w:rsidRPr="002A0692">
        <w:rPr>
          <w:rFonts w:eastAsia="ヒラギノ角ゴ Pro W3"/>
        </w:rPr>
        <w:t xml:space="preserve">popsanou v příloze č. 1. této Smlouvy (dále také „Předmět koupě“) a </w:t>
      </w:r>
      <w:r w:rsidRPr="002A0692">
        <w:t>umožní mu nabýt k ní vlastnické právo. Kupující Předmět koupě kupuje, a zavazuje se, že Předmět koupě převezme a zaplatí Prodávajícímu kupní cenu. Spolu s Předmětem koupě předá Prodávající Kupujícímu doklady, které se k Předmětu koupě vztahují.</w:t>
      </w:r>
    </w:p>
    <w:p w14:paraId="53FEF13C" w14:textId="77777777" w:rsidR="00A263E2" w:rsidRPr="002A0692" w:rsidRDefault="00A263E2" w:rsidP="00A263E2">
      <w:pPr>
        <w:suppressAutoHyphens/>
      </w:pPr>
    </w:p>
    <w:p w14:paraId="76796B9A" w14:textId="7657FB4F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 xml:space="preserve">Kupní cena </w:t>
      </w:r>
      <w:r w:rsidR="0044722F">
        <w:rPr>
          <w:rFonts w:ascii="Calibri" w:hAnsi="Calibri"/>
          <w:b/>
        </w:rPr>
        <w:t xml:space="preserve">zařízení </w:t>
      </w:r>
      <w:r w:rsidRPr="002A0692">
        <w:rPr>
          <w:rFonts w:ascii="Calibri" w:hAnsi="Calibri"/>
          <w:b/>
        </w:rPr>
        <w:t>a její splatnost</w:t>
      </w:r>
    </w:p>
    <w:p w14:paraId="2B21E6DC" w14:textId="7F0DB745" w:rsidR="00A263E2" w:rsidRPr="002A0692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Smluvní strany se dohodly na celkové kupní ceně za Předmět koupě ve výši </w:t>
      </w:r>
      <w:r w:rsidR="0044722F">
        <w:rPr>
          <w:rFonts w:ascii="Calibri" w:hAnsi="Calibri"/>
        </w:rPr>
        <w:t>580</w:t>
      </w:r>
      <w:r w:rsidR="00BE3FC6">
        <w:rPr>
          <w:rFonts w:ascii="Calibri" w:hAnsi="Calibri"/>
        </w:rPr>
        <w:t>.000</w:t>
      </w:r>
      <w:r>
        <w:rPr>
          <w:rFonts w:ascii="Calibri" w:hAnsi="Calibri"/>
        </w:rPr>
        <w:t>,-</w:t>
      </w:r>
      <w:r w:rsidRPr="002A0692">
        <w:rPr>
          <w:rFonts w:ascii="Calibri" w:hAnsi="Calibri"/>
        </w:rPr>
        <w:t xml:space="preserve"> Kč (slovy: „</w:t>
      </w:r>
      <w:r w:rsidR="0044722F">
        <w:rPr>
          <w:rFonts w:ascii="Calibri" w:hAnsi="Calibri"/>
        </w:rPr>
        <w:t>pětsetosmdesáttisíc</w:t>
      </w:r>
      <w:r>
        <w:rPr>
          <w:rFonts w:ascii="Calibri" w:hAnsi="Calibri"/>
        </w:rPr>
        <w:t xml:space="preserve">korunčeských´´) </w:t>
      </w:r>
      <w:bookmarkStart w:id="0" w:name="_Hlk531206343"/>
      <w:r w:rsidRPr="002A0692">
        <w:rPr>
          <w:rFonts w:ascii="Calibri" w:hAnsi="Calibri"/>
        </w:rPr>
        <w:t xml:space="preserve">bez daně z přidané hodnoty. Ke kupní ceně bude připočtena daň z přidané hodnoty v zákonné výši. </w:t>
      </w:r>
    </w:p>
    <w:bookmarkEnd w:id="0"/>
    <w:p w14:paraId="4EA25FC3" w14:textId="34FEF3F4" w:rsidR="00A263E2" w:rsidRPr="0044722F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Kupní cenu Kupující zaplatí </w:t>
      </w:r>
      <w:r w:rsidRPr="002A0692">
        <w:rPr>
          <w:rFonts w:ascii="Calibri" w:hAnsi="Calibri" w:cs="Helvetica"/>
        </w:rPr>
        <w:t xml:space="preserve">bezhotovostně, a to na základě faktury - daňového dokladu. Faktura bude mít splatnost </w:t>
      </w:r>
      <w:r w:rsidR="00184589">
        <w:rPr>
          <w:rFonts w:ascii="Calibri" w:hAnsi="Calibri"/>
        </w:rPr>
        <w:t>14</w:t>
      </w:r>
      <w:r>
        <w:rPr>
          <w:rFonts w:ascii="Calibri" w:hAnsi="Calibri"/>
        </w:rPr>
        <w:t xml:space="preserve"> </w:t>
      </w:r>
      <w:r w:rsidRPr="002A0692">
        <w:rPr>
          <w:rFonts w:ascii="Calibri" w:hAnsi="Calibri" w:cs="Helvetica"/>
        </w:rPr>
        <w:t>dnů ode dne převzetí zboží Kupujícím. Prodávající vystaví fakturu s datem uskutečnění zdanitelného plnění ke dni</w:t>
      </w:r>
      <w:r w:rsidR="00176F16">
        <w:rPr>
          <w:rFonts w:ascii="Calibri" w:hAnsi="Calibri" w:cs="Helvetica"/>
        </w:rPr>
        <w:t>,</w:t>
      </w:r>
      <w:r w:rsidRPr="002A0692">
        <w:rPr>
          <w:rFonts w:ascii="Calibri" w:hAnsi="Calibri" w:cs="Helvetica"/>
        </w:rPr>
        <w:t> kdy bude Předmět koupě dopraven na místo uvedené v odstavci 3.1. této Smlouvy. Faktura bude zaslána poštou nebo předána osobně Kupujícímu. V případě bezhotovostního placení jakékoliv platby dle této Smlouvy je povinnost zaplatit splněna dnem připsání příslušné finanční částky na účet věřitele.</w:t>
      </w:r>
    </w:p>
    <w:p w14:paraId="33E19921" w14:textId="7B7DFA4B" w:rsidR="0044722F" w:rsidRPr="002A0692" w:rsidRDefault="0044722F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 w:cs="Helvetica"/>
        </w:rPr>
        <w:lastRenderedPageBreak/>
        <w:t xml:space="preserve">Kupující neposkytuje zálohy. </w:t>
      </w:r>
    </w:p>
    <w:p w14:paraId="46408D83" w14:textId="2AF816F1" w:rsidR="00A263E2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>V případě prodlení Kupujícího s placením kupní ceny nebo její části bude Kupující povinen zaplatit Prodávajícímu smluvní pokutu ve výši 0,2 % z dlužné částky za každý i započatý den prodlení. Nárok na náhradu škody, která vznikla porušením povinnosti, na kterou se vztahuje smluvní pokuta, není ujednáními o smluvních pokutách nijak dotčen. Zaplacením smluvních pokut dle této smlouvy není dotčen nárok na náhradu škody v míře přesahující smluvní pokutu. Smluvní strany sjednávají, že ustanovení § 2050 NOZ se nepoužije.</w:t>
      </w:r>
    </w:p>
    <w:p w14:paraId="3581B3FB" w14:textId="77777777" w:rsidR="00A263E2" w:rsidRPr="002A0692" w:rsidRDefault="00A263E2" w:rsidP="00A263E2">
      <w:pPr>
        <w:pStyle w:val="BodyText1"/>
        <w:spacing w:line="240" w:lineRule="auto"/>
        <w:rPr>
          <w:rFonts w:ascii="Calibri" w:hAnsi="Calibri"/>
          <w:color w:val="auto"/>
          <w:sz w:val="22"/>
        </w:rPr>
      </w:pPr>
    </w:p>
    <w:p w14:paraId="4BE27269" w14:textId="77777777" w:rsidR="00A263E2" w:rsidRPr="002A0692" w:rsidRDefault="00A263E2" w:rsidP="00A263E2">
      <w:pPr>
        <w:pStyle w:val="BodyText1"/>
        <w:keepNext/>
        <w:numPr>
          <w:ilvl w:val="0"/>
          <w:numId w:val="28"/>
        </w:numPr>
        <w:spacing w:line="240" w:lineRule="auto"/>
        <w:ind w:hanging="567"/>
        <w:rPr>
          <w:rFonts w:ascii="Calibri" w:hAnsi="Calibri"/>
          <w:b/>
          <w:color w:val="auto"/>
          <w:sz w:val="22"/>
        </w:rPr>
      </w:pPr>
      <w:r w:rsidRPr="002A0692">
        <w:rPr>
          <w:rFonts w:ascii="Calibri" w:hAnsi="Calibri"/>
          <w:b/>
          <w:color w:val="auto"/>
          <w:sz w:val="22"/>
        </w:rPr>
        <w:t>Dodání a převzetí Předmětu koupě</w:t>
      </w:r>
    </w:p>
    <w:p w14:paraId="494BF1E6" w14:textId="1DB2A684" w:rsidR="00A263E2" w:rsidRPr="00BA1C2A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Prodávající Kupujícímu odevzdá Předmět koupě, jakož i doklady, které se k Předmětu koupě vztahují nejpozději do </w:t>
      </w:r>
      <w:r w:rsidR="00CB3945">
        <w:rPr>
          <w:rFonts w:ascii="Calibri" w:hAnsi="Calibri"/>
          <w:color w:val="auto"/>
          <w:sz w:val="22"/>
        </w:rPr>
        <w:t>6</w:t>
      </w:r>
      <w:r w:rsidR="002D17A8">
        <w:rPr>
          <w:rFonts w:ascii="Calibri" w:hAnsi="Calibri"/>
          <w:color w:val="auto"/>
          <w:sz w:val="22"/>
        </w:rPr>
        <w:t xml:space="preserve">0-ti dnů, ode dne </w:t>
      </w:r>
      <w:r w:rsidR="00EE29B4">
        <w:rPr>
          <w:rFonts w:ascii="Calibri" w:hAnsi="Calibri"/>
          <w:color w:val="auto"/>
          <w:sz w:val="22"/>
        </w:rPr>
        <w:t>podpisu smlouvy</w:t>
      </w:r>
      <w:r w:rsidR="002D17A8"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Prodávající splní povinnost odevzdat Předmět koupě Kupujícímu jeho uvedením do provozu v</w:t>
      </w:r>
      <w:r w:rsidR="0044722F">
        <w:rPr>
          <w:rFonts w:ascii="Calibri" w:hAnsi="Calibri"/>
          <w:color w:val="auto"/>
          <w:sz w:val="22"/>
        </w:rPr>
        <w:t> Liberci, v městském obvodu Vratislavice nad Nisou</w:t>
      </w:r>
      <w:r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Předmět koupě je uvedený do provozu</w:t>
      </w:r>
      <w:r w:rsidR="00BE3FC6">
        <w:rPr>
          <w:rFonts w:ascii="Calibri" w:hAnsi="Calibri"/>
          <w:color w:val="auto"/>
          <w:sz w:val="22"/>
        </w:rPr>
        <w:t>,</w:t>
      </w:r>
      <w:r w:rsidRPr="002A0692">
        <w:rPr>
          <w:rFonts w:ascii="Calibri" w:hAnsi="Calibri"/>
          <w:color w:val="auto"/>
          <w:sz w:val="22"/>
        </w:rPr>
        <w:t xml:space="preserve"> pokud nebude mít podstatné vady bránící jeho užívání</w:t>
      </w:r>
      <w:r w:rsidR="002D17A8"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</w:t>
      </w:r>
      <w:r w:rsidRPr="00BA1C2A">
        <w:rPr>
          <w:rFonts w:ascii="Calibri" w:hAnsi="Calibri"/>
          <w:color w:val="auto"/>
          <w:sz w:val="22"/>
        </w:rPr>
        <w:t>Na žádost Prodávajícího je Kupující povinen odevzdání Předmětu koupě písemně potvrdit</w:t>
      </w:r>
      <w:r>
        <w:rPr>
          <w:rFonts w:ascii="Calibri" w:hAnsi="Calibri"/>
          <w:color w:val="auto"/>
          <w:sz w:val="22"/>
        </w:rPr>
        <w:t xml:space="preserve"> prostřednictvím předávacího protokolu</w:t>
      </w:r>
    </w:p>
    <w:p w14:paraId="018BD089" w14:textId="77777777" w:rsidR="00A263E2" w:rsidRPr="00EE29B4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EE29B4">
        <w:rPr>
          <w:rFonts w:ascii="Calibri" w:hAnsi="Calibri"/>
          <w:color w:val="auto"/>
          <w:sz w:val="22"/>
        </w:rPr>
        <w:t xml:space="preserve">Prodávající si vyhrazuje k Předmětu koupě vlastnické právo, Kupující se stane vlastníkem Předmětu koupě teprve úplným zaplacením kupní ceny. </w:t>
      </w:r>
    </w:p>
    <w:p w14:paraId="6BCBD249" w14:textId="5985410B" w:rsidR="00A263E2" w:rsidRPr="00EE29B4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EE29B4">
        <w:rPr>
          <w:rFonts w:ascii="Calibri" w:hAnsi="Calibri"/>
          <w:color w:val="auto"/>
          <w:sz w:val="22"/>
        </w:rPr>
        <w:t xml:space="preserve">Nebezpečí škody na Předmětu koupě na Kupujícího přechází již jeho </w:t>
      </w:r>
      <w:r w:rsidR="00CB3945">
        <w:rPr>
          <w:rFonts w:ascii="Calibri" w:hAnsi="Calibri"/>
          <w:color w:val="auto"/>
          <w:sz w:val="22"/>
        </w:rPr>
        <w:t>o</w:t>
      </w:r>
      <w:r w:rsidRPr="00EE29B4">
        <w:rPr>
          <w:rFonts w:ascii="Calibri" w:hAnsi="Calibri"/>
          <w:color w:val="auto"/>
          <w:sz w:val="22"/>
        </w:rPr>
        <w:t>devzdáním. Týž následek má, nepřevezme-li Kupující Předmět koupě, ač mu s n</w:t>
      </w:r>
      <w:r w:rsidR="00BE3FC6" w:rsidRPr="00EE29B4">
        <w:rPr>
          <w:rFonts w:ascii="Calibri" w:hAnsi="Calibri"/>
          <w:color w:val="auto"/>
          <w:sz w:val="22"/>
        </w:rPr>
        <w:t>í</w:t>
      </w:r>
      <w:r w:rsidRPr="00EE29B4">
        <w:rPr>
          <w:rFonts w:ascii="Calibri" w:hAnsi="Calibri"/>
          <w:color w:val="auto"/>
          <w:sz w:val="22"/>
        </w:rPr>
        <w:t>m Prodávající umožnil nakládat. Škoda na Předmětu koupě, vzniklá po přechodu nebezpečí škody na Předmětu koupě na Kupujícího, nemá vliv na jeho povinnost zaplatit kupní cenu.</w:t>
      </w:r>
    </w:p>
    <w:p w14:paraId="296DCADB" w14:textId="1EF28EB0" w:rsidR="00EE29B4" w:rsidRPr="00EE29B4" w:rsidRDefault="00EE29B4" w:rsidP="00EE29B4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EE29B4">
        <w:rPr>
          <w:rFonts w:ascii="Calibri" w:hAnsi="Calibri"/>
          <w:sz w:val="22"/>
        </w:rPr>
        <w:t xml:space="preserve">Sankce za nesplnění dodání předmětu koupě ve stanoveném termínu </w:t>
      </w:r>
      <w:r w:rsidR="00CB3945">
        <w:rPr>
          <w:rFonts w:ascii="Calibri" w:hAnsi="Calibri"/>
          <w:sz w:val="22"/>
        </w:rPr>
        <w:t xml:space="preserve">touto Smlouvou </w:t>
      </w:r>
      <w:r w:rsidRPr="00EE29B4">
        <w:rPr>
          <w:rFonts w:ascii="Calibri" w:hAnsi="Calibri"/>
          <w:sz w:val="22"/>
        </w:rPr>
        <w:t xml:space="preserve">je stanovena na částku 2.000 Kč, za každý den prodlení. </w:t>
      </w:r>
    </w:p>
    <w:p w14:paraId="054F3568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4AC0919A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Odpovědnost za vady a záruka za jakost</w:t>
      </w:r>
    </w:p>
    <w:p w14:paraId="589E8AF9" w14:textId="77777777" w:rsidR="00A263E2" w:rsidRPr="003A6998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Oprávnění uplatnit právo z vady se nevztahuje na opotřebení Předmětu koupě způsobené jeho obvyklým užíváním, </w:t>
      </w:r>
      <w:r w:rsidRPr="003A6998">
        <w:rPr>
          <w:rFonts w:ascii="Calibri" w:hAnsi="Calibri"/>
        </w:rPr>
        <w:t>nebo vyplývá-li to z povahy věci.</w:t>
      </w:r>
    </w:p>
    <w:p w14:paraId="55465DFA" w14:textId="0C273FAD" w:rsidR="00A263E2" w:rsidRPr="00187C99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187C99">
        <w:rPr>
          <w:rFonts w:ascii="Calibri" w:hAnsi="Calibri"/>
        </w:rPr>
        <w:t xml:space="preserve">Nemá-li Předmět koupě vlastnosti stanovené v ustanovení § 2161 NOZ, nemůže kupující požadovat dodání nového Předmětu koupě bez vad, ani výměnu vadné součásti, pokud lze odstranit vadu opravou; v takovém případě má Kupující právo na bezplatné odstranění vady. Pokud by se jednalo o vadu neodstranitelnou, či </w:t>
      </w:r>
      <w:r w:rsidR="0073130D">
        <w:rPr>
          <w:rFonts w:ascii="Calibri" w:hAnsi="Calibri"/>
        </w:rPr>
        <w:t xml:space="preserve">     </w:t>
      </w:r>
      <w:r w:rsidRPr="00187C99">
        <w:rPr>
          <w:rFonts w:ascii="Calibri" w:hAnsi="Calibri"/>
        </w:rPr>
        <w:t>o vadu, jejímž odstraněním by byla narušena povaha Předmětu koupě, má Kupující též právo požadovat po Prodávajícím výměnu vadné součásti či dodání nového Předmětu koupě bez vad.</w:t>
      </w:r>
    </w:p>
    <w:p w14:paraId="079032C4" w14:textId="787312CB" w:rsidR="00A263E2" w:rsidRPr="00BA1C2A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>Prodávající poskytuje záruku za jakost. Záruční doba</w:t>
      </w:r>
      <w:r>
        <w:rPr>
          <w:rFonts w:ascii="Calibri" w:hAnsi="Calibri"/>
        </w:rPr>
        <w:t xml:space="preserve"> na Předmět koupě</w:t>
      </w:r>
      <w:r w:rsidRPr="002A0692">
        <w:rPr>
          <w:rFonts w:ascii="Calibri" w:hAnsi="Calibri"/>
        </w:rPr>
        <w:t xml:space="preserve"> činí </w:t>
      </w:r>
      <w:r>
        <w:rPr>
          <w:rFonts w:ascii="Calibri" w:hAnsi="Calibri"/>
        </w:rPr>
        <w:t>24</w:t>
      </w:r>
      <w:r>
        <w:rPr>
          <w:rStyle w:val="Odkaznakoment"/>
          <w:rFonts w:eastAsia="Times New Roman"/>
        </w:rPr>
        <w:t xml:space="preserve"> </w:t>
      </w:r>
      <w:r w:rsidRPr="00BA1C2A">
        <w:rPr>
          <w:rStyle w:val="Odkaznakoment"/>
          <w:rFonts w:ascii="Calibri" w:eastAsia="Times New Roman" w:hAnsi="Calibri" w:cs="Calibri"/>
        </w:rPr>
        <w:t>m</w:t>
      </w:r>
      <w:r w:rsidRPr="002A0692">
        <w:rPr>
          <w:rFonts w:ascii="Calibri" w:hAnsi="Calibri"/>
        </w:rPr>
        <w:t>ěsíců</w:t>
      </w:r>
      <w:r>
        <w:rPr>
          <w:rFonts w:ascii="Calibri" w:hAnsi="Calibri"/>
        </w:rPr>
        <w:t xml:space="preserve">. </w:t>
      </w:r>
      <w:r w:rsidRPr="002A0692">
        <w:rPr>
          <w:rFonts w:ascii="Calibri" w:hAnsi="Calibri"/>
        </w:rPr>
        <w:t xml:space="preserve">Záruční doba běží od odevzdání věci Kupujícímu. </w:t>
      </w:r>
      <w:r w:rsidRPr="002A0692">
        <w:rPr>
          <w:rFonts w:ascii="Calibri" w:hAnsi="Calibri" w:cs="Arial"/>
        </w:rPr>
        <w:t xml:space="preserve">Kupující nemá právo ze záruky </w:t>
      </w:r>
      <w:r>
        <w:rPr>
          <w:rFonts w:ascii="Calibri" w:hAnsi="Calibri" w:cs="Arial"/>
        </w:rPr>
        <w:t>zejména</w:t>
      </w:r>
      <w:r w:rsidRPr="002A0692">
        <w:rPr>
          <w:rFonts w:ascii="Calibri" w:hAnsi="Calibri" w:cs="Arial"/>
        </w:rPr>
        <w:t xml:space="preserve"> způsobila-li vadu po přechodu nebezpečí škody na věci na kupujícího vnější událost, (ii) je – li vada způsobena </w:t>
      </w:r>
      <w:r w:rsidRPr="002A0692">
        <w:rPr>
          <w:rFonts w:ascii="Calibri" w:hAnsi="Calibri"/>
        </w:rPr>
        <w:t xml:space="preserve">opotřebením Předmětu koupě způsobeným jeho obvyklým užíváním. Záruka za jakost se nevztahuje na </w:t>
      </w:r>
      <w:r w:rsidRPr="00BA1C2A">
        <w:rPr>
          <w:rFonts w:ascii="Calibri" w:hAnsi="Calibri"/>
        </w:rPr>
        <w:t>spotřební materiál</w:t>
      </w:r>
      <w:r>
        <w:rPr>
          <w:rFonts w:ascii="Calibri" w:hAnsi="Calibri"/>
        </w:rPr>
        <w:t>,</w:t>
      </w:r>
      <w:r w:rsidRPr="00BA1C2A">
        <w:rPr>
          <w:rFonts w:ascii="Calibri" w:hAnsi="Calibri"/>
        </w:rPr>
        <w:t xml:space="preserve"> </w:t>
      </w:r>
      <w:r>
        <w:rPr>
          <w:rFonts w:ascii="Calibri" w:hAnsi="Calibri"/>
        </w:rPr>
        <w:t>jako jsou těsnění, baterky</w:t>
      </w:r>
      <w:r w:rsidR="00184589">
        <w:rPr>
          <w:rFonts w:ascii="Calibri" w:hAnsi="Calibri"/>
        </w:rPr>
        <w:t>,</w:t>
      </w:r>
      <w:r>
        <w:rPr>
          <w:rFonts w:ascii="Calibri" w:hAnsi="Calibri"/>
        </w:rPr>
        <w:t xml:space="preserve"> HDD </w:t>
      </w:r>
      <w:r w:rsidRPr="00BA1C2A">
        <w:rPr>
          <w:rFonts w:ascii="Calibri" w:hAnsi="Calibri"/>
        </w:rPr>
        <w:t xml:space="preserve">apod. </w:t>
      </w:r>
      <w:r w:rsidR="00184589">
        <w:rPr>
          <w:rFonts w:ascii="Calibri" w:hAnsi="Calibri"/>
        </w:rPr>
        <w:t>a</w:t>
      </w:r>
      <w:r w:rsidRPr="00BA1C2A">
        <w:rPr>
          <w:rFonts w:ascii="Calibri" w:hAnsi="Calibri"/>
        </w:rPr>
        <w:t xml:space="preserve"> na věci které se ze své povahy při provozu Předmětu koupě opotřebovávají a/nebo spotřebovávají. </w:t>
      </w:r>
    </w:p>
    <w:p w14:paraId="41F82EBE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692608EF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Odpovědnost za škodu a vyšší moc</w:t>
      </w:r>
    </w:p>
    <w:p w14:paraId="7331B7D3" w14:textId="22DAE7F2" w:rsidR="00A263E2" w:rsidRPr="002A0692" w:rsidRDefault="00A263E2" w:rsidP="00A263E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>Na odpovědnost za škody a náhrady škod se vztahují ustanovení § 2894 a následujících NOZ, nevyplývá-li z této Smlouvy jinak.</w:t>
      </w:r>
    </w:p>
    <w:p w14:paraId="55661548" w14:textId="77777777" w:rsidR="00A263E2" w:rsidRDefault="00A263E2" w:rsidP="00A263E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Smluvní strana se zprostí </w:t>
      </w:r>
      <w:r w:rsidRPr="002A0692">
        <w:rPr>
          <w:rFonts w:ascii="Calibri" w:hAnsi="Calibri" w:cs="Arial"/>
        </w:rPr>
        <w:t>povinnosti k náhradě škody, prokáže-li, že jí ve splnění povinnosti ze Smlouvy dočasně nebo trvale zabránila mimořádná nepředvídatelná a nepřekonatelná překážka vzniklá nezávisle na její vůli.</w:t>
      </w:r>
      <w:r w:rsidRPr="002A069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6C3D8C4A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103BD664" w14:textId="77777777" w:rsidR="00A263E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Závěrečná ustanovení</w:t>
      </w:r>
    </w:p>
    <w:p w14:paraId="276F3B06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Smluvní strany prohlašují, že adresou pro doručování jsou adresy (poštovní a e-mailová) uvedené u nich uvedené v záhlaví této smlouvy. Povinnost smluvní strany doručit písemnost druhé smluvní straně je splněna:</w:t>
      </w:r>
    </w:p>
    <w:p w14:paraId="71382D5E" w14:textId="77777777" w:rsidR="00A263E2" w:rsidRPr="002A0692" w:rsidRDefault="00A263E2" w:rsidP="00A263E2">
      <w:pPr>
        <w:pStyle w:val="MediumList2-Accent41"/>
        <w:numPr>
          <w:ilvl w:val="0"/>
          <w:numId w:val="33"/>
        </w:numPr>
        <w:tabs>
          <w:tab w:val="left" w:pos="1418"/>
        </w:tabs>
        <w:ind w:left="1418" w:hanging="567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při doručování poštou, jakmile pošta písemnost adresátovi doručí. Účinky doručení však nastanou i tehdy, jestliže pošta písemnost adresovanou na adresu pro doručení vrátí jako nedoručenou z důvodů, že adresát písemnost nevyzvedl v úložní lhůtě, nebo ji odmítl převzít, či se na adrese pro doručování již nezdržuje, či z jakéhokoliv jiného důvodu. Za den doručení se v takovém případě považuje den, kdy byla písemnost vrácena druhé smluvní straně. Adresu pro doručování jsou smluvní strany oprávněné změnit, a to písemným oznámením doručeným druhé smluvní straně;</w:t>
      </w:r>
    </w:p>
    <w:p w14:paraId="13316756" w14:textId="77777777" w:rsidR="00A263E2" w:rsidRPr="002A0692" w:rsidRDefault="00A263E2" w:rsidP="00A263E2">
      <w:pPr>
        <w:pStyle w:val="MediumList2-Accent41"/>
        <w:numPr>
          <w:ilvl w:val="0"/>
          <w:numId w:val="33"/>
        </w:numPr>
        <w:tabs>
          <w:tab w:val="left" w:pos="1418"/>
        </w:tabs>
        <w:ind w:left="1418" w:hanging="567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Arial"/>
          <w:sz w:val="22"/>
          <w:szCs w:val="22"/>
        </w:rPr>
        <w:t xml:space="preserve">při doručování e-mailem se smluvním stranám doručuje na e-mailovou adresu uvedenou v záhlaví této Smlouvy, uvedenou adresu jsou smluvní strany oprávněny změnit, a to písemným oznámením doručeným druhé smluvní straně. Účinky doručení nastanou tehdy, jestliže </w:t>
      </w:r>
      <w:r w:rsidRPr="002A0692">
        <w:rPr>
          <w:rFonts w:ascii="Calibri" w:hAnsi="Calibri"/>
          <w:sz w:val="22"/>
          <w:szCs w:val="22"/>
        </w:rPr>
        <w:t xml:space="preserve">bude doručení </w:t>
      </w:r>
      <w:r w:rsidRPr="002A0692">
        <w:rPr>
          <w:rFonts w:ascii="Calibri" w:hAnsi="Calibri" w:cs="Arial"/>
          <w:sz w:val="22"/>
          <w:szCs w:val="22"/>
        </w:rPr>
        <w:t>e-mail</w:t>
      </w:r>
      <w:r w:rsidRPr="002A0692">
        <w:rPr>
          <w:rFonts w:ascii="Calibri" w:hAnsi="Calibri"/>
          <w:sz w:val="22"/>
          <w:szCs w:val="22"/>
        </w:rPr>
        <w:t>u</w:t>
      </w:r>
      <w:r w:rsidRPr="002A0692">
        <w:rPr>
          <w:rFonts w:ascii="Calibri" w:hAnsi="Calibri" w:cs="Arial"/>
          <w:sz w:val="22"/>
          <w:szCs w:val="22"/>
        </w:rPr>
        <w:t xml:space="preserve"> </w:t>
      </w:r>
      <w:r w:rsidRPr="002A0692">
        <w:rPr>
          <w:rFonts w:ascii="Calibri" w:hAnsi="Calibri"/>
          <w:sz w:val="22"/>
          <w:szCs w:val="22"/>
        </w:rPr>
        <w:t>potvrzeno nebo bude jinak prokázáno jeho přijetí druhou stranou</w:t>
      </w:r>
      <w:r w:rsidRPr="002A0692">
        <w:rPr>
          <w:rFonts w:ascii="Calibri" w:hAnsi="Calibri" w:cs="Arial"/>
          <w:sz w:val="22"/>
          <w:szCs w:val="22"/>
        </w:rPr>
        <w:t xml:space="preserve">. Za den, kdy bylo </w:t>
      </w:r>
      <w:r w:rsidRPr="002A0692">
        <w:rPr>
          <w:rFonts w:ascii="Calibri" w:hAnsi="Calibri"/>
          <w:sz w:val="22"/>
          <w:szCs w:val="22"/>
        </w:rPr>
        <w:t xml:space="preserve">doručení </w:t>
      </w:r>
      <w:r w:rsidRPr="002A0692">
        <w:rPr>
          <w:rFonts w:ascii="Calibri" w:hAnsi="Calibri" w:cs="Arial"/>
          <w:sz w:val="22"/>
          <w:szCs w:val="22"/>
        </w:rPr>
        <w:t>e-mail</w:t>
      </w:r>
      <w:r w:rsidRPr="002A0692">
        <w:rPr>
          <w:rFonts w:ascii="Calibri" w:hAnsi="Calibri"/>
          <w:sz w:val="22"/>
          <w:szCs w:val="22"/>
        </w:rPr>
        <w:t>u</w:t>
      </w:r>
      <w:r w:rsidRPr="002A0692">
        <w:rPr>
          <w:rFonts w:ascii="Calibri" w:hAnsi="Calibri" w:cs="Arial"/>
          <w:sz w:val="22"/>
          <w:szCs w:val="22"/>
        </w:rPr>
        <w:t xml:space="preserve"> </w:t>
      </w:r>
      <w:r w:rsidRPr="002A0692">
        <w:rPr>
          <w:rFonts w:ascii="Calibri" w:hAnsi="Calibri"/>
          <w:sz w:val="22"/>
          <w:szCs w:val="22"/>
        </w:rPr>
        <w:t>potvrzeno nebo jinak prokázáno</w:t>
      </w:r>
      <w:r w:rsidRPr="002A0692">
        <w:rPr>
          <w:rFonts w:ascii="Calibri" w:hAnsi="Calibri" w:cs="Arial"/>
          <w:sz w:val="22"/>
          <w:szCs w:val="22"/>
        </w:rPr>
        <w:t>.</w:t>
      </w:r>
    </w:p>
    <w:p w14:paraId="69560F34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lastRenderedPageBreak/>
        <w:t>Tato smlouva</w:t>
      </w:r>
      <w:r w:rsidRPr="002A0692">
        <w:rPr>
          <w:rFonts w:ascii="Calibri" w:hAnsi="Calibri" w:cs="Calibri"/>
          <w:sz w:val="22"/>
          <w:szCs w:val="22"/>
        </w:rPr>
        <w:t>, právní a závazkové vztahy jím založené a z něj plynoucí se řídí právním řádem České republiky a zejména ustanovení</w:t>
      </w:r>
      <w:r w:rsidRPr="002A0692">
        <w:rPr>
          <w:rFonts w:ascii="Calibri" w:hAnsi="Calibri"/>
          <w:sz w:val="22"/>
          <w:szCs w:val="22"/>
        </w:rPr>
        <w:t>m</w:t>
      </w:r>
      <w:r w:rsidRPr="002A0692">
        <w:rPr>
          <w:rFonts w:ascii="Calibri" w:hAnsi="Calibri" w:cs="Calibri"/>
          <w:sz w:val="22"/>
          <w:szCs w:val="22"/>
        </w:rPr>
        <w:t xml:space="preserve"> § 2079 </w:t>
      </w:r>
      <w:r w:rsidRPr="002A0692">
        <w:rPr>
          <w:rFonts w:ascii="Calibri" w:hAnsi="Calibri"/>
          <w:sz w:val="22"/>
          <w:szCs w:val="22"/>
        </w:rPr>
        <w:t xml:space="preserve">a n. </w:t>
      </w:r>
      <w:r w:rsidRPr="002A0692">
        <w:rPr>
          <w:rFonts w:ascii="Calibri" w:hAnsi="Calibri" w:cs="Calibri"/>
          <w:sz w:val="22"/>
          <w:szCs w:val="22"/>
        </w:rPr>
        <w:t xml:space="preserve">zákonem č. 89/2012 Sb. (v této Smlouvě také jen „NOZ“). Účastníci prohlašují, že si nejsou vědomi toho, že by </w:t>
      </w:r>
      <w:r w:rsidRPr="002A0692">
        <w:rPr>
          <w:rFonts w:ascii="Calibri" w:hAnsi="Calibri"/>
          <w:bCs/>
          <w:sz w:val="22"/>
          <w:szCs w:val="22"/>
        </w:rPr>
        <w:t xml:space="preserve">tato smlouva </w:t>
      </w:r>
      <w:r w:rsidRPr="002A0692">
        <w:rPr>
          <w:rFonts w:ascii="Calibri" w:hAnsi="Calibri" w:cs="Calibri"/>
          <w:sz w:val="22"/>
          <w:szCs w:val="22"/>
        </w:rPr>
        <w:t xml:space="preserve">směřovala ke zhoršení jejich právního postavení. </w:t>
      </w:r>
    </w:p>
    <w:p w14:paraId="25922A3D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>Účastníci se budou snažit řešit případné spory a nároky (dále jen „Spory“) vzniklé v souvislosti s </w:t>
      </w:r>
      <w:r w:rsidRPr="002A0692">
        <w:rPr>
          <w:rFonts w:ascii="Calibri" w:hAnsi="Calibri"/>
          <w:bCs/>
          <w:sz w:val="22"/>
          <w:szCs w:val="22"/>
        </w:rPr>
        <w:t xml:space="preserve">touto smlouvou </w:t>
      </w:r>
      <w:r w:rsidRPr="002A0692">
        <w:rPr>
          <w:rFonts w:ascii="Calibri" w:hAnsi="Calibri" w:cs="Calibri"/>
          <w:sz w:val="22"/>
          <w:szCs w:val="22"/>
        </w:rPr>
        <w:t>smírnou cestou.</w:t>
      </w:r>
    </w:p>
    <w:p w14:paraId="736B32A9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 xml:space="preserve">Účastníci </w:t>
      </w:r>
      <w:r w:rsidRPr="002A0692">
        <w:rPr>
          <w:rFonts w:ascii="Calibri" w:hAnsi="Calibri"/>
          <w:sz w:val="22"/>
          <w:szCs w:val="22"/>
        </w:rPr>
        <w:t xml:space="preserve">prohlašují, že </w:t>
      </w:r>
      <w:r w:rsidRPr="002A0692">
        <w:rPr>
          <w:rFonts w:ascii="Calibri" w:hAnsi="Calibri"/>
          <w:bCs/>
          <w:sz w:val="22"/>
          <w:szCs w:val="22"/>
        </w:rPr>
        <w:t xml:space="preserve">tuto Smlouvu </w:t>
      </w:r>
      <w:r w:rsidRPr="002A0692">
        <w:rPr>
          <w:rFonts w:ascii="Calibri" w:hAnsi="Calibri"/>
          <w:sz w:val="22"/>
          <w:szCs w:val="22"/>
        </w:rPr>
        <w:t xml:space="preserve">uzavírají po vzájemné dohodě, poctivě, svobodně a v dobré víře. </w:t>
      </w:r>
    </w:p>
    <w:p w14:paraId="728368B0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Smluvní strany na sebe berou, každá zvlášť za sebe, nebezpečí změny okolností ve smyslu ustanovení § 1765 odst. 2 NOZ.</w:t>
      </w:r>
    </w:p>
    <w:p w14:paraId="36542C56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t xml:space="preserve">Účastníci </w:t>
      </w:r>
      <w:r w:rsidRPr="002A0692">
        <w:rPr>
          <w:rFonts w:ascii="Calibri" w:hAnsi="Calibri" w:cs="Garamond"/>
          <w:sz w:val="22"/>
          <w:szCs w:val="22"/>
        </w:rPr>
        <w:t>prohlašují, že se necítí jako slabší strana ve smyslu ustanovení § 433 NOZ, protože měli před uzavřením této Smlouvy možnost ovlivnit její text.</w:t>
      </w:r>
    </w:p>
    <w:p w14:paraId="5635B795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Účastníci rovněž výslovně prohlašují, že tento dokument uzavírají jako podnikatelé při svém podnikání ve smyslu ustanovení § 1797 NOZ, a že ustanovení § 1793 – 1795, 1798 - 1800 NOZ se nepoužijí.</w:t>
      </w:r>
    </w:p>
    <w:p w14:paraId="65D0AEE3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t xml:space="preserve">Účastníci </w:t>
      </w:r>
      <w:r w:rsidRPr="002A0692">
        <w:rPr>
          <w:rFonts w:ascii="Calibri" w:hAnsi="Calibri"/>
          <w:sz w:val="22"/>
          <w:szCs w:val="22"/>
        </w:rPr>
        <w:t>nesmí postoupit pohledávky z t</w:t>
      </w:r>
      <w:r w:rsidRPr="002A0692">
        <w:rPr>
          <w:rFonts w:ascii="Calibri" w:hAnsi="Calibri" w:cs="Calibri"/>
          <w:sz w:val="22"/>
          <w:szCs w:val="22"/>
        </w:rPr>
        <w:t xml:space="preserve">éto smlouvy </w:t>
      </w:r>
      <w:r w:rsidRPr="002A0692">
        <w:rPr>
          <w:rFonts w:ascii="Calibri" w:hAnsi="Calibri"/>
          <w:sz w:val="22"/>
          <w:szCs w:val="22"/>
        </w:rPr>
        <w:t xml:space="preserve">nebo jen některé z nich nebo jejich část bez předchozího písemného souhlasu druhého účastníka. </w:t>
      </w:r>
      <w:r w:rsidRPr="002A0692">
        <w:rPr>
          <w:rFonts w:ascii="Calibri" w:hAnsi="Calibri"/>
          <w:bCs/>
          <w:sz w:val="22"/>
          <w:szCs w:val="22"/>
        </w:rPr>
        <w:t xml:space="preserve">Účastník </w:t>
      </w:r>
      <w:r w:rsidRPr="002A0692">
        <w:rPr>
          <w:rFonts w:ascii="Calibri" w:hAnsi="Calibri"/>
          <w:sz w:val="22"/>
          <w:szCs w:val="22"/>
        </w:rPr>
        <w:t>nesmí postoupit svá práva a povinnosti z t</w:t>
      </w:r>
      <w:r w:rsidRPr="002A0692">
        <w:rPr>
          <w:rFonts w:ascii="Calibri" w:hAnsi="Calibri" w:cs="Calibri"/>
          <w:sz w:val="22"/>
          <w:szCs w:val="22"/>
        </w:rPr>
        <w:t xml:space="preserve">éto smlouvy </w:t>
      </w:r>
      <w:r w:rsidRPr="002A0692">
        <w:rPr>
          <w:rFonts w:ascii="Calibri" w:hAnsi="Calibri"/>
          <w:sz w:val="22"/>
          <w:szCs w:val="22"/>
        </w:rPr>
        <w:t>nebo jeho části třetí osobě bez předchozího písemného souhlasu druhého účastníka.</w:t>
      </w:r>
    </w:p>
    <w:p w14:paraId="11D2198D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>Tato smlouva byl sepsána ve dvou vyhotoveních v českém jazyce s tím, že každý z účastníků obdrží po jednom vyhotovení.</w:t>
      </w:r>
      <w:r w:rsidRPr="002A0692">
        <w:rPr>
          <w:rFonts w:ascii="Calibri" w:hAnsi="Calibri"/>
          <w:sz w:val="22"/>
          <w:szCs w:val="22"/>
        </w:rPr>
        <w:t xml:space="preserve"> Podpisem obou účastníky </w:t>
      </w:r>
      <w:r w:rsidRPr="002A0692">
        <w:rPr>
          <w:rFonts w:ascii="Calibri" w:hAnsi="Calibri" w:cs="Calibri"/>
          <w:sz w:val="22"/>
          <w:szCs w:val="22"/>
        </w:rPr>
        <w:t xml:space="preserve">tato smlouva </w:t>
      </w:r>
      <w:r w:rsidRPr="002A0692">
        <w:rPr>
          <w:rFonts w:ascii="Calibri" w:hAnsi="Calibri"/>
          <w:sz w:val="22"/>
          <w:szCs w:val="22"/>
        </w:rPr>
        <w:t>nabývá platnosti a účinnosti.</w:t>
      </w:r>
    </w:p>
    <w:p w14:paraId="442AFCF4" w14:textId="3080F4A3" w:rsidR="00A263E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 xml:space="preserve">Tato smlouva </w:t>
      </w:r>
      <w:r w:rsidRPr="002A0692">
        <w:rPr>
          <w:rFonts w:ascii="Calibri" w:hAnsi="Calibri" w:cs="Arial"/>
          <w:sz w:val="22"/>
          <w:szCs w:val="22"/>
        </w:rPr>
        <w:t>může být měněna pouze písemnými dodatky, které musí být podepsané oprávněnými zástupci obou Účastníků.</w:t>
      </w:r>
    </w:p>
    <w:p w14:paraId="0526D19B" w14:textId="3D43D9D0" w:rsidR="00BA4DE1" w:rsidRDefault="00BA4DE1" w:rsidP="00BA4DE1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F07C45F" w14:textId="1D638281" w:rsidR="00BA4DE1" w:rsidRPr="00BA4DE1" w:rsidRDefault="00BA4DE1" w:rsidP="00BA4DE1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b/>
          <w:sz w:val="22"/>
          <w:szCs w:val="22"/>
        </w:rPr>
      </w:pPr>
      <w:r w:rsidRPr="00BA4DE1">
        <w:rPr>
          <w:rFonts w:ascii="Calibri" w:hAnsi="Calibri" w:cs="Arial"/>
          <w:b/>
          <w:sz w:val="22"/>
          <w:szCs w:val="22"/>
        </w:rPr>
        <w:t>Článek 7. Instalace zařízení, záruční a pozáruční servis</w:t>
      </w:r>
    </w:p>
    <w:p w14:paraId="27553A4B" w14:textId="45FD560C" w:rsidR="00184589" w:rsidRDefault="00E1604B" w:rsidP="00CB394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 w:cs="Arial"/>
        </w:rPr>
        <w:t>7.1.</w:t>
      </w:r>
      <w:r>
        <w:rPr>
          <w:rFonts w:ascii="Calibri" w:hAnsi="Calibri" w:cs="Arial"/>
        </w:rPr>
        <w:tab/>
        <w:t xml:space="preserve">Cena </w:t>
      </w:r>
      <w:r w:rsidR="00763779">
        <w:rPr>
          <w:rFonts w:ascii="Calibri" w:hAnsi="Calibri" w:cs="Arial"/>
        </w:rPr>
        <w:t>přípravných prací a i</w:t>
      </w:r>
      <w:r>
        <w:rPr>
          <w:rFonts w:ascii="Calibri" w:hAnsi="Calibri" w:cs="Arial"/>
        </w:rPr>
        <w:t xml:space="preserve">nstalace </w:t>
      </w:r>
      <w:r w:rsidR="00252F63">
        <w:rPr>
          <w:rFonts w:ascii="Calibri" w:hAnsi="Calibri" w:cs="Arial"/>
        </w:rPr>
        <w:t xml:space="preserve">Předmětu koupě, tj. </w:t>
      </w:r>
      <w:r w:rsidR="00EB6349">
        <w:rPr>
          <w:rFonts w:ascii="Calibri" w:hAnsi="Calibri" w:cs="Arial"/>
        </w:rPr>
        <w:t xml:space="preserve">4 ks dopravních </w:t>
      </w:r>
      <w:r>
        <w:rPr>
          <w:rFonts w:ascii="Calibri" w:hAnsi="Calibri" w:cs="Arial"/>
        </w:rPr>
        <w:t xml:space="preserve">zařízení </w:t>
      </w:r>
      <w:r w:rsidR="007247C1">
        <w:rPr>
          <w:rFonts w:eastAsia="ヒラギノ角ゴ Pro W3"/>
        </w:rPr>
        <w:t>– radarů SYDO Traffic ZEUS</w:t>
      </w:r>
      <w:r w:rsidR="007247C1">
        <w:rPr>
          <w:rFonts w:ascii="Calibri" w:hAnsi="Calibri" w:cs="Arial"/>
        </w:rPr>
        <w:t xml:space="preserve"> </w:t>
      </w:r>
      <w:r w:rsidR="00CB3945">
        <w:rPr>
          <w:rFonts w:ascii="Calibri" w:hAnsi="Calibri" w:cs="Arial"/>
        </w:rPr>
        <w:t xml:space="preserve">je 120.920 Kč. </w:t>
      </w:r>
      <w:r w:rsidR="0095760F" w:rsidRPr="002A0692">
        <w:rPr>
          <w:rFonts w:ascii="Calibri" w:hAnsi="Calibri"/>
        </w:rPr>
        <w:t>K</w:t>
      </w:r>
      <w:r w:rsidR="00763779">
        <w:rPr>
          <w:rFonts w:ascii="Calibri" w:hAnsi="Calibri"/>
        </w:rPr>
        <w:t xml:space="preserve"> této </w:t>
      </w:r>
      <w:r w:rsidR="00CB3945">
        <w:rPr>
          <w:rFonts w:ascii="Calibri" w:hAnsi="Calibri"/>
        </w:rPr>
        <w:t xml:space="preserve">ceně </w:t>
      </w:r>
      <w:r w:rsidR="0095760F" w:rsidRPr="002A0692">
        <w:rPr>
          <w:rFonts w:ascii="Calibri" w:hAnsi="Calibri"/>
        </w:rPr>
        <w:t>bude připočtena daň z přidané hodnoty v zákonné výši.</w:t>
      </w:r>
    </w:p>
    <w:p w14:paraId="3233EC7B" w14:textId="73F1ED59" w:rsidR="00E1604B" w:rsidRDefault="00E1604B" w:rsidP="00B2596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CB3945">
        <w:rPr>
          <w:rFonts w:ascii="Calibri" w:hAnsi="Calibri"/>
        </w:rPr>
        <w:t>2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 xml:space="preserve">Pravidelný záruční servis, každých 6 měsíců, po dobu záruční lhůty = </w:t>
      </w:r>
      <w:r w:rsidR="00976AE1">
        <w:rPr>
          <w:rFonts w:ascii="Calibri" w:hAnsi="Calibri"/>
        </w:rPr>
        <w:t>3</w:t>
      </w:r>
      <w:r>
        <w:rPr>
          <w:rFonts w:ascii="Calibri" w:hAnsi="Calibri"/>
        </w:rPr>
        <w:t>.800,- Kč</w:t>
      </w:r>
      <w:r w:rsidR="00960A2E">
        <w:rPr>
          <w:rFonts w:ascii="Calibri" w:hAnsi="Calibri"/>
        </w:rPr>
        <w:t xml:space="preserve"> (za 1</w:t>
      </w:r>
      <w:r w:rsidR="0013764B">
        <w:rPr>
          <w:rFonts w:ascii="Calibri" w:hAnsi="Calibri"/>
        </w:rPr>
        <w:t xml:space="preserve"> </w:t>
      </w:r>
      <w:r w:rsidR="00960A2E">
        <w:rPr>
          <w:rFonts w:ascii="Calibri" w:hAnsi="Calibri"/>
        </w:rPr>
        <w:t>ks)</w:t>
      </w:r>
      <w:r>
        <w:rPr>
          <w:rFonts w:ascii="Calibri" w:hAnsi="Calibri"/>
        </w:rPr>
        <w:t>,</w:t>
      </w:r>
      <w:r w:rsidRPr="002A0692">
        <w:rPr>
          <w:rFonts w:ascii="Calibri" w:hAnsi="Calibri"/>
        </w:rPr>
        <w:t xml:space="preserve"> </w:t>
      </w:r>
      <w:bookmarkStart w:id="1" w:name="_Hlk531206713"/>
      <w:r w:rsidRPr="002A0692">
        <w:rPr>
          <w:rFonts w:ascii="Calibri" w:hAnsi="Calibri"/>
        </w:rPr>
        <w:t xml:space="preserve">bez daně z přidané hodnoty. Ke </w:t>
      </w:r>
      <w:r w:rsidR="00A578D1">
        <w:rPr>
          <w:rFonts w:ascii="Calibri" w:hAnsi="Calibri"/>
        </w:rPr>
        <w:t>této</w:t>
      </w:r>
      <w:r w:rsidRPr="002A0692">
        <w:rPr>
          <w:rFonts w:ascii="Calibri" w:hAnsi="Calibri"/>
        </w:rPr>
        <w:t xml:space="preserve"> ceně bude připočtena daň z přidané hodnoty v zákonné výši.</w:t>
      </w:r>
      <w:r>
        <w:rPr>
          <w:rFonts w:ascii="Calibri" w:hAnsi="Calibri"/>
        </w:rPr>
        <w:t xml:space="preserve"> Součástí záručního servisu je profylaxe zařízení, vyčištění kamer, seřízení kamer, kontrola funkčnosti spojení, kontrola funkčnosti akumulátoru, servisní list, fotodokumentace provedeného servisu, nalepení plomby, doprava technika</w:t>
      </w:r>
      <w:r w:rsidR="00B25965">
        <w:rPr>
          <w:rFonts w:ascii="Calibri" w:hAnsi="Calibri"/>
        </w:rPr>
        <w:t>.</w:t>
      </w:r>
    </w:p>
    <w:bookmarkEnd w:id="1"/>
    <w:p w14:paraId="6E6D6D59" w14:textId="2864B3D6" w:rsidR="0013764B" w:rsidRDefault="00E1604B" w:rsidP="0013764B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CB3945">
        <w:rPr>
          <w:rFonts w:ascii="Calibri" w:hAnsi="Calibri"/>
        </w:rPr>
        <w:t>3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 xml:space="preserve">Pravidelný pozáruční servis, každých 6 měsíců, po záruční lhůtě, po dobu životnosti zařízení = </w:t>
      </w:r>
      <w:r w:rsidR="00976AE1">
        <w:rPr>
          <w:rFonts w:ascii="Calibri" w:hAnsi="Calibri"/>
        </w:rPr>
        <w:t>4</w:t>
      </w:r>
      <w:r>
        <w:rPr>
          <w:rFonts w:ascii="Calibri" w:hAnsi="Calibri"/>
        </w:rPr>
        <w:t>.800,- Kč</w:t>
      </w:r>
      <w:r w:rsidR="00960A2E">
        <w:rPr>
          <w:rFonts w:ascii="Calibri" w:hAnsi="Calibri"/>
        </w:rPr>
        <w:t xml:space="preserve"> (za 1ks)</w:t>
      </w:r>
      <w:r>
        <w:rPr>
          <w:rFonts w:ascii="Calibri" w:hAnsi="Calibri"/>
        </w:rPr>
        <w:t>,</w:t>
      </w:r>
      <w:r w:rsidRPr="00E1604B">
        <w:rPr>
          <w:rFonts w:ascii="Calibri" w:hAnsi="Calibri"/>
        </w:rPr>
        <w:t xml:space="preserve"> </w:t>
      </w:r>
      <w:r w:rsidRPr="002A0692">
        <w:rPr>
          <w:rFonts w:ascii="Calibri" w:hAnsi="Calibri"/>
        </w:rPr>
        <w:t>bez daně z přidané hodnoty. K</w:t>
      </w:r>
      <w:r w:rsidR="00A578D1">
        <w:rPr>
          <w:rFonts w:ascii="Calibri" w:hAnsi="Calibri"/>
        </w:rPr>
        <w:t xml:space="preserve"> této </w:t>
      </w:r>
      <w:r w:rsidRPr="002A0692">
        <w:rPr>
          <w:rFonts w:ascii="Calibri" w:hAnsi="Calibri"/>
        </w:rPr>
        <w:t>ceně bude připočtena daň z přidané hodnoty v zákonné výši.</w:t>
      </w:r>
      <w:r>
        <w:rPr>
          <w:rFonts w:ascii="Calibri" w:hAnsi="Calibri"/>
        </w:rPr>
        <w:t xml:space="preserve"> Součástí záručního servisu je profylaxe zařízení, vyčištění kamer, seřízení kamer, kontrola funkčnosti spojení, kontrola funkčnosti akumulátoru, servisní list, fotodokumentace provedeného servisu, nalepení plomby, doprava technika</w:t>
      </w:r>
      <w:r w:rsidR="00B25965">
        <w:rPr>
          <w:rFonts w:ascii="Calibri" w:hAnsi="Calibri"/>
        </w:rPr>
        <w:t>.</w:t>
      </w:r>
    </w:p>
    <w:p w14:paraId="1FA2A5C5" w14:textId="60888C57" w:rsidR="009040A0" w:rsidRDefault="009040A0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CB3945">
        <w:rPr>
          <w:rFonts w:ascii="Calibri" w:hAnsi="Calibri"/>
        </w:rPr>
        <w:t>4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>Roční poplatky (servisní smlouva se společností Gemos Dopravní systémy a.s. – výrobce zařízení):</w:t>
      </w:r>
    </w:p>
    <w:p w14:paraId="6F1C8866" w14:textId="37A0D6B9" w:rsidR="009040A0" w:rsidRDefault="009040A0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datový paušál = 2.400,- Kč</w:t>
      </w:r>
    </w:p>
    <w:p w14:paraId="305A4296" w14:textId="7CE58DA6" w:rsidR="009040A0" w:rsidRDefault="009040A0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seřízení vzdáleným přístupem = 1.5</w:t>
      </w:r>
      <w:r w:rsidR="00976AE1">
        <w:rPr>
          <w:rFonts w:ascii="Calibri" w:hAnsi="Calibri"/>
        </w:rPr>
        <w:t>0</w:t>
      </w:r>
      <w:r>
        <w:rPr>
          <w:rFonts w:ascii="Calibri" w:hAnsi="Calibri"/>
        </w:rPr>
        <w:t>0,- Kč</w:t>
      </w:r>
    </w:p>
    <w:p w14:paraId="4F635932" w14:textId="20544ED9" w:rsidR="009040A0" w:rsidRDefault="009040A0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monitoring zařízení s napojením na Dopravní portál = 2.400,- Kč</w:t>
      </w:r>
    </w:p>
    <w:p w14:paraId="5D61986C" w14:textId="2D83C4F6" w:rsidR="009040A0" w:rsidRDefault="009040A0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>Celková cena ročních poplatků = 6.</w:t>
      </w:r>
      <w:r w:rsidR="00976AE1">
        <w:rPr>
          <w:rFonts w:ascii="Calibri" w:hAnsi="Calibri"/>
        </w:rPr>
        <w:t>30</w:t>
      </w:r>
      <w:r>
        <w:rPr>
          <w:rFonts w:ascii="Calibri" w:hAnsi="Calibri"/>
        </w:rPr>
        <w:t>0,- Kč bez daně z přidané hodnoty. K</w:t>
      </w:r>
      <w:r w:rsidR="00176F16">
        <w:rPr>
          <w:rFonts w:ascii="Calibri" w:hAnsi="Calibri"/>
        </w:rPr>
        <w:t> ceně bude připočtena daň z přidané hodnoty v zákonné výši.</w:t>
      </w:r>
    </w:p>
    <w:p w14:paraId="3327EBCF" w14:textId="5EDAB28B" w:rsidR="0013764B" w:rsidRDefault="0013764B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06550C">
        <w:rPr>
          <w:rFonts w:ascii="Calibri" w:hAnsi="Calibri"/>
        </w:rPr>
        <w:t>5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 xml:space="preserve">Nepravidelný servis bude zajištěn nejpozději do 48 hodin, od nahlášení potřeby ze strany kupujícího. </w:t>
      </w:r>
    </w:p>
    <w:p w14:paraId="07005890" w14:textId="6F707037" w:rsidR="0006550C" w:rsidRDefault="0006550C" w:rsidP="009040A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>7.6.</w:t>
      </w:r>
      <w:r>
        <w:rPr>
          <w:rFonts w:ascii="Calibri" w:hAnsi="Calibri"/>
        </w:rPr>
        <w:tab/>
        <w:t xml:space="preserve">Tato kupní smlouva byla schválena Radou Městského obvodu Liberec – Vratislavice n.N. dne 16.08.2021, </w:t>
      </w:r>
      <w:r w:rsidR="007A35F3">
        <w:rPr>
          <w:rFonts w:ascii="Calibri" w:hAnsi="Calibri"/>
        </w:rPr>
        <w:t xml:space="preserve"> </w:t>
      </w:r>
      <w:r>
        <w:rPr>
          <w:rFonts w:ascii="Calibri" w:hAnsi="Calibri"/>
        </w:rPr>
        <w:t>usn. č.: 256/08/2021.</w:t>
      </w:r>
    </w:p>
    <w:p w14:paraId="7BED46DC" w14:textId="0B8C8F43" w:rsidR="00E1604B" w:rsidRDefault="00E1604B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2A60BF6E" w14:textId="12259F3C" w:rsidR="003A4FAE" w:rsidRDefault="003A4FA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  <w:r>
        <w:rPr>
          <w:rFonts w:ascii="Calibri" w:hAnsi="Calibri"/>
        </w:rPr>
        <w:t>Přílohy smlouvy:</w:t>
      </w:r>
    </w:p>
    <w:p w14:paraId="485A8AC0" w14:textId="5489CC4E" w:rsidR="003A4FAE" w:rsidRDefault="003A4FA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456F9D09" w14:textId="6FAB230C" w:rsidR="003A4FAE" w:rsidRDefault="003A4FAE" w:rsidP="003A4FAE">
      <w:pPr>
        <w:pStyle w:val="Odstavecseseznamem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Technická specifikace zařízení </w:t>
      </w:r>
    </w:p>
    <w:p w14:paraId="6D269682" w14:textId="14629813" w:rsidR="003A4FAE" w:rsidRPr="003A4FAE" w:rsidRDefault="003A4FAE" w:rsidP="003A4FAE">
      <w:pPr>
        <w:pStyle w:val="Odstavecseseznamem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Rozpis ceny díla</w:t>
      </w:r>
    </w:p>
    <w:p w14:paraId="69B54990" w14:textId="5F7223B9" w:rsidR="00E1604B" w:rsidRDefault="00E1604B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38D15955" w14:textId="58F0198D" w:rsidR="00960A2E" w:rsidRPr="00960A2E" w:rsidRDefault="00960A2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Prodávající: </w:t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Gornex s.r.o.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 xml:space="preserve">Kupující: </w:t>
      </w:r>
      <w:r>
        <w:rPr>
          <w:rFonts w:ascii="Calibri" w:hAnsi="Calibri"/>
          <w:b/>
          <w:bCs/>
        </w:rPr>
        <w:tab/>
      </w:r>
      <w:r w:rsidR="00252F63">
        <w:rPr>
          <w:rFonts w:ascii="Calibri" w:hAnsi="Calibri"/>
          <w:b/>
          <w:bCs/>
        </w:rPr>
        <w:t>M</w:t>
      </w:r>
      <w:r w:rsidR="0044722F">
        <w:rPr>
          <w:rFonts w:ascii="Calibri" w:hAnsi="Calibri"/>
          <w:b/>
          <w:bCs/>
        </w:rPr>
        <w:t>ěstský obvod Liberec - Vratislavice</w:t>
      </w:r>
    </w:p>
    <w:p w14:paraId="7AA430E3" w14:textId="038F4630" w:rsidR="00960A2E" w:rsidRPr="00960A2E" w:rsidRDefault="00960A2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Jméno: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Ivo Šťás</w:t>
      </w:r>
      <w:r w:rsidR="00976AE1">
        <w:rPr>
          <w:rFonts w:ascii="Calibri" w:hAnsi="Calibri"/>
          <w:b/>
          <w:bCs/>
        </w:rPr>
        <w:t>t</w:t>
      </w:r>
      <w:r w:rsidRPr="00960A2E">
        <w:rPr>
          <w:rFonts w:ascii="Calibri" w:hAnsi="Calibri"/>
          <w:b/>
          <w:bCs/>
        </w:rPr>
        <w:t>ka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>Jméno:</w:t>
      </w:r>
      <w:r w:rsidR="00976AE1">
        <w:rPr>
          <w:rFonts w:ascii="Calibri" w:hAnsi="Calibri"/>
          <w:b/>
          <w:bCs/>
        </w:rPr>
        <w:tab/>
      </w:r>
      <w:r w:rsidR="00976AE1">
        <w:rPr>
          <w:rFonts w:ascii="Calibri" w:hAnsi="Calibri"/>
          <w:b/>
          <w:bCs/>
        </w:rPr>
        <w:tab/>
      </w:r>
      <w:r w:rsidR="0044722F">
        <w:rPr>
          <w:rFonts w:ascii="Calibri" w:hAnsi="Calibri"/>
          <w:b/>
          <w:bCs/>
        </w:rPr>
        <w:t>Lukáš Pohanka</w:t>
      </w:r>
    </w:p>
    <w:p w14:paraId="08D7891D" w14:textId="03B11C6B" w:rsidR="00960A2E" w:rsidRPr="00960A2E" w:rsidRDefault="00960A2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Funkce: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jednatel společnosti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>Funkce</w:t>
      </w:r>
      <w:r w:rsidR="00976AE1">
        <w:rPr>
          <w:rFonts w:ascii="Calibri" w:hAnsi="Calibri"/>
          <w:b/>
          <w:bCs/>
        </w:rPr>
        <w:t>:</w:t>
      </w:r>
      <w:r w:rsidR="00976AE1">
        <w:rPr>
          <w:rFonts w:ascii="Calibri" w:hAnsi="Calibri"/>
          <w:b/>
          <w:bCs/>
        </w:rPr>
        <w:tab/>
      </w:r>
      <w:r w:rsidR="00976AE1">
        <w:rPr>
          <w:rFonts w:ascii="Calibri" w:hAnsi="Calibri"/>
          <w:b/>
          <w:bCs/>
        </w:rPr>
        <w:tab/>
        <w:t>starosta</w:t>
      </w:r>
      <w:r w:rsidR="00252F63">
        <w:rPr>
          <w:rFonts w:ascii="Calibri" w:hAnsi="Calibri"/>
          <w:b/>
          <w:bCs/>
        </w:rPr>
        <w:t xml:space="preserve"> městského obvodu</w:t>
      </w:r>
    </w:p>
    <w:p w14:paraId="4B0CC383" w14:textId="77777777" w:rsidR="00956B80" w:rsidRDefault="00956B80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</w:p>
    <w:p w14:paraId="1CD20706" w14:textId="77777777" w:rsidR="00956B80" w:rsidRDefault="00956B80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</w:p>
    <w:p w14:paraId="7BF7449A" w14:textId="3B8C67A6" w:rsidR="00960A2E" w:rsidRPr="00956B80" w:rsidRDefault="00960A2E" w:rsidP="00956B80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>V</w:t>
      </w:r>
      <w:r w:rsidR="002D17A8">
        <w:rPr>
          <w:rFonts w:ascii="Calibri" w:hAnsi="Calibri"/>
          <w:b/>
          <w:bCs/>
        </w:rPr>
        <w:t> </w:t>
      </w:r>
      <w:r w:rsidR="0044722F">
        <w:rPr>
          <w:rFonts w:ascii="Calibri" w:hAnsi="Calibri"/>
          <w:b/>
          <w:bCs/>
        </w:rPr>
        <w:t>Praze</w:t>
      </w:r>
      <w:r w:rsidRPr="00960A2E">
        <w:rPr>
          <w:rFonts w:ascii="Calibri" w:hAnsi="Calibri"/>
          <w:b/>
          <w:bCs/>
        </w:rPr>
        <w:t xml:space="preserve"> dne </w:t>
      </w:r>
      <w:r w:rsidR="00BF17A0">
        <w:rPr>
          <w:rFonts w:ascii="Calibri" w:hAnsi="Calibri"/>
          <w:b/>
          <w:bCs/>
        </w:rPr>
        <w:t>25.8.2021</w:t>
      </w:r>
      <w:bookmarkStart w:id="2" w:name="_GoBack"/>
      <w:bookmarkEnd w:id="2"/>
      <w:r w:rsidR="0044722F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="00976AE1">
        <w:rPr>
          <w:rFonts w:ascii="Calibri" w:hAnsi="Calibri"/>
          <w:b/>
          <w:bCs/>
        </w:rPr>
        <w:tab/>
      </w:r>
      <w:r w:rsidR="0006550C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V</w:t>
      </w:r>
      <w:r w:rsidR="002D17A8">
        <w:rPr>
          <w:rFonts w:ascii="Calibri" w:hAnsi="Calibri"/>
          <w:b/>
          <w:bCs/>
        </w:rPr>
        <w:t> </w:t>
      </w:r>
      <w:r w:rsidR="0044722F">
        <w:rPr>
          <w:rFonts w:ascii="Calibri" w:hAnsi="Calibri"/>
          <w:b/>
          <w:bCs/>
        </w:rPr>
        <w:t>Liberci</w:t>
      </w:r>
      <w:r w:rsidRPr="00960A2E">
        <w:rPr>
          <w:rFonts w:ascii="Calibri" w:hAnsi="Calibri"/>
          <w:b/>
          <w:bCs/>
        </w:rPr>
        <w:t xml:space="preserve"> dne </w:t>
      </w:r>
      <w:r w:rsidR="0006550C">
        <w:rPr>
          <w:rFonts w:ascii="Calibri" w:hAnsi="Calibri"/>
          <w:b/>
          <w:bCs/>
        </w:rPr>
        <w:t xml:space="preserve"> 30.08.2021</w:t>
      </w:r>
    </w:p>
    <w:p w14:paraId="6FC35408" w14:textId="337B9D8F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8584B18" w14:textId="5E45B0E2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29FADC9" w14:textId="32DAD023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F6F9992" w14:textId="5F5F3EAD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</w:t>
      </w:r>
    </w:p>
    <w:p w14:paraId="63F44DE2" w14:textId="5A53B0DF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Podpis + razítko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Podpis + razítko</w:t>
      </w:r>
    </w:p>
    <w:p w14:paraId="76866F1F" w14:textId="70C2D683" w:rsidR="00F713FA" w:rsidRDefault="00AE3249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61E908" w14:textId="77777777" w:rsidR="00744581" w:rsidRPr="008B02D4" w:rsidRDefault="00744581" w:rsidP="00744581">
      <w:pPr>
        <w:spacing w:after="0"/>
        <w:rPr>
          <w:i/>
          <w:sz w:val="18"/>
        </w:rPr>
      </w:pPr>
      <w:r w:rsidRPr="008B02D4">
        <w:rPr>
          <w:i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F21B" wp14:editId="1127D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9B82A" w14:textId="16303BF6" w:rsidR="00744581" w:rsidRPr="004D1EB2" w:rsidRDefault="00744581" w:rsidP="00744581">
                            <w:pPr>
                              <w:spacing w:after="0"/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Mobil: +420 603 778 024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="0036764F" w:rsidRPr="00E3388D">
                                <w:rPr>
                                  <w:rStyle w:val="Hypertextovodkaz"/>
                                  <w:b/>
                                  <w:i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info@gornex.cz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Web: </w:t>
                            </w:r>
                            <w:hyperlink r:id="rId11" w:history="1">
                              <w:r w:rsidRPr="004D1EB2">
                                <w:rPr>
                                  <w:rStyle w:val="Hypertextovodkaz"/>
                                  <w:b/>
                                  <w:i/>
                                  <w:color w:val="767171" w:themeColor="background2" w:themeShade="80"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www.gornex.cz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Dat. schránka: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kwp8tn4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FF21B" id="Textové pole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BYyl3ysCAABTBAAADgAAAAAAAAAAAAAAAAAuAgAAZHJzL2Uyb0RvYy54&#10;bWxQSwECLQAUAAYACAAAACEAS4kmzdYAAAAFAQAADwAAAAAAAAAAAAAAAACFBAAAZHJzL2Rvd25y&#10;ZXYueG1sUEsFBgAAAAAEAAQA8wAAAIgFAAAAAA==&#10;" filled="f" stroked="f">
                <v:textbox style="mso-fit-shape-to-text:t">
                  <w:txbxContent>
                    <w:p w14:paraId="7339B82A" w14:textId="16303BF6" w:rsidR="00744581" w:rsidRPr="004D1EB2" w:rsidRDefault="00744581" w:rsidP="00744581">
                      <w:pPr>
                        <w:spacing w:after="0"/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Mobil: +420 603 778 024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 xml:space="preserve">E-mail: </w:t>
                      </w:r>
                      <w:hyperlink r:id="rId12" w:history="1">
                        <w:r w:rsidR="0036764F" w:rsidRPr="00E3388D">
                          <w:rPr>
                            <w:rStyle w:val="Hypertextovodkaz"/>
                            <w:b/>
                            <w:i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info@gornex.cz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Web: </w:t>
                      </w:r>
                      <w:hyperlink r:id="rId13" w:history="1">
                        <w:r w:rsidRPr="004D1EB2">
                          <w:rPr>
                            <w:rStyle w:val="Hypertextovodkaz"/>
                            <w:b/>
                            <w:i/>
                            <w:color w:val="767171" w:themeColor="background2" w:themeShade="80"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www.gornex.cz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Dat. schránka: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kwp8tn4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581" w:rsidRPr="008B02D4" w:rsidSect="00EB2E5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C857" w14:textId="77777777" w:rsidR="00A849B5" w:rsidRDefault="00A849B5" w:rsidP="00EB52BB">
      <w:pPr>
        <w:spacing w:after="0" w:line="240" w:lineRule="auto"/>
      </w:pPr>
      <w:r>
        <w:separator/>
      </w:r>
    </w:p>
  </w:endnote>
  <w:endnote w:type="continuationSeparator" w:id="0">
    <w:p w14:paraId="576B164F" w14:textId="77777777" w:rsidR="00A849B5" w:rsidRDefault="00A849B5" w:rsidP="00EB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3A3E" w14:textId="77777777" w:rsidR="00A849B5" w:rsidRDefault="00A849B5" w:rsidP="00EB52BB">
      <w:pPr>
        <w:spacing w:after="0" w:line="240" w:lineRule="auto"/>
      </w:pPr>
      <w:r>
        <w:separator/>
      </w:r>
    </w:p>
  </w:footnote>
  <w:footnote w:type="continuationSeparator" w:id="0">
    <w:p w14:paraId="2E17E02F" w14:textId="77777777" w:rsidR="00A849B5" w:rsidRDefault="00A849B5" w:rsidP="00EB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8EEDFCE"/>
    <w:lvl w:ilvl="0">
      <w:start w:val="1"/>
      <w:numFmt w:val="decimal"/>
      <w:lvlText w:val="Článek %1."/>
      <w:lvlJc w:val="left"/>
      <w:pPr>
        <w:ind w:left="360" w:hanging="360"/>
      </w:pPr>
      <w:rPr>
        <w:rFonts w:ascii="Calibri" w:hAnsi="Calibri" w:hint="default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D73CCC20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2" w15:restartNumberingAfterBreak="0">
    <w:nsid w:val="009E57D3"/>
    <w:multiLevelType w:val="hybridMultilevel"/>
    <w:tmpl w:val="90E402DE"/>
    <w:lvl w:ilvl="0" w:tplc="3CF61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343E"/>
    <w:multiLevelType w:val="hybridMultilevel"/>
    <w:tmpl w:val="3C9E0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C1A"/>
    <w:multiLevelType w:val="hybridMultilevel"/>
    <w:tmpl w:val="CDF48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05E8"/>
    <w:multiLevelType w:val="hybridMultilevel"/>
    <w:tmpl w:val="2ADEE4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8F"/>
    <w:multiLevelType w:val="hybridMultilevel"/>
    <w:tmpl w:val="45FA1C20"/>
    <w:lvl w:ilvl="0" w:tplc="2E0E35C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D05BF"/>
    <w:multiLevelType w:val="hybridMultilevel"/>
    <w:tmpl w:val="A83CA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4467"/>
    <w:multiLevelType w:val="hybridMultilevel"/>
    <w:tmpl w:val="7F7C3A08"/>
    <w:lvl w:ilvl="0" w:tplc="F3A4A320">
      <w:start w:val="16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B43C0C"/>
    <w:multiLevelType w:val="hybridMultilevel"/>
    <w:tmpl w:val="7276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67ED"/>
    <w:multiLevelType w:val="multilevel"/>
    <w:tmpl w:val="9A20456E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11" w15:restartNumberingAfterBreak="0">
    <w:nsid w:val="174E2ED1"/>
    <w:multiLevelType w:val="hybridMultilevel"/>
    <w:tmpl w:val="93107166"/>
    <w:lvl w:ilvl="0" w:tplc="0706E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1E19"/>
    <w:multiLevelType w:val="hybridMultilevel"/>
    <w:tmpl w:val="BC0CA322"/>
    <w:lvl w:ilvl="0" w:tplc="D5F0D390">
      <w:start w:val="1"/>
      <w:numFmt w:val="decimal"/>
      <w:lvlText w:val="6.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7EF"/>
    <w:multiLevelType w:val="hybridMultilevel"/>
    <w:tmpl w:val="F842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E7D5D"/>
    <w:multiLevelType w:val="multilevel"/>
    <w:tmpl w:val="F4C6FE74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15" w15:restartNumberingAfterBreak="0">
    <w:nsid w:val="27342236"/>
    <w:multiLevelType w:val="hybridMultilevel"/>
    <w:tmpl w:val="318E65C2"/>
    <w:lvl w:ilvl="0" w:tplc="12AE1C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07869"/>
    <w:multiLevelType w:val="hybridMultilevel"/>
    <w:tmpl w:val="FE24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1B80"/>
    <w:multiLevelType w:val="hybridMultilevel"/>
    <w:tmpl w:val="8892EE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9642A"/>
    <w:multiLevelType w:val="hybridMultilevel"/>
    <w:tmpl w:val="5308CDA2"/>
    <w:lvl w:ilvl="0" w:tplc="A594B43E">
      <w:start w:val="16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7E720B4"/>
    <w:multiLevelType w:val="hybridMultilevel"/>
    <w:tmpl w:val="6F86C048"/>
    <w:lvl w:ilvl="0" w:tplc="3968D68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701ED"/>
    <w:multiLevelType w:val="hybridMultilevel"/>
    <w:tmpl w:val="501E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69FF"/>
    <w:multiLevelType w:val="hybridMultilevel"/>
    <w:tmpl w:val="B756CEDE"/>
    <w:lvl w:ilvl="0" w:tplc="60E22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C7640"/>
    <w:multiLevelType w:val="hybridMultilevel"/>
    <w:tmpl w:val="B808B8AE"/>
    <w:lvl w:ilvl="0" w:tplc="3B3241CC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B166F3"/>
    <w:multiLevelType w:val="hybridMultilevel"/>
    <w:tmpl w:val="8F70453C"/>
    <w:lvl w:ilvl="0" w:tplc="A802C3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DB26A2"/>
    <w:multiLevelType w:val="hybridMultilevel"/>
    <w:tmpl w:val="6A92B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2647B"/>
    <w:multiLevelType w:val="hybridMultilevel"/>
    <w:tmpl w:val="0E868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8187B"/>
    <w:multiLevelType w:val="hybridMultilevel"/>
    <w:tmpl w:val="09A420D8"/>
    <w:lvl w:ilvl="0" w:tplc="225C94F6">
      <w:start w:val="1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D2241"/>
    <w:multiLevelType w:val="hybridMultilevel"/>
    <w:tmpl w:val="68982D28"/>
    <w:lvl w:ilvl="0" w:tplc="B7B409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C62B9"/>
    <w:multiLevelType w:val="hybridMultilevel"/>
    <w:tmpl w:val="5084400E"/>
    <w:lvl w:ilvl="0" w:tplc="C1E634A4">
      <w:start w:val="1"/>
      <w:numFmt w:val="decimal"/>
      <w:lvlText w:val="5.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83E4C"/>
    <w:multiLevelType w:val="hybridMultilevel"/>
    <w:tmpl w:val="EFF8C43E"/>
    <w:lvl w:ilvl="0" w:tplc="F2EE3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D15D0"/>
    <w:multiLevelType w:val="hybridMultilevel"/>
    <w:tmpl w:val="DB24A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A66B8"/>
    <w:multiLevelType w:val="hybridMultilevel"/>
    <w:tmpl w:val="B3CACA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D0DC7"/>
    <w:multiLevelType w:val="hybridMultilevel"/>
    <w:tmpl w:val="8EE8BD6C"/>
    <w:lvl w:ilvl="0" w:tplc="FE20D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C1290"/>
    <w:multiLevelType w:val="hybridMultilevel"/>
    <w:tmpl w:val="252A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6A86"/>
    <w:multiLevelType w:val="hybridMultilevel"/>
    <w:tmpl w:val="4C501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5"/>
  </w:num>
  <w:num w:numId="4">
    <w:abstractNumId w:val="27"/>
  </w:num>
  <w:num w:numId="5">
    <w:abstractNumId w:val="8"/>
  </w:num>
  <w:num w:numId="6">
    <w:abstractNumId w:val="26"/>
  </w:num>
  <w:num w:numId="7">
    <w:abstractNumId w:val="18"/>
  </w:num>
  <w:num w:numId="8">
    <w:abstractNumId w:val="32"/>
  </w:num>
  <w:num w:numId="9">
    <w:abstractNumId w:val="16"/>
  </w:num>
  <w:num w:numId="10">
    <w:abstractNumId w:val="33"/>
  </w:num>
  <w:num w:numId="11">
    <w:abstractNumId w:val="21"/>
  </w:num>
  <w:num w:numId="12">
    <w:abstractNumId w:val="9"/>
  </w:num>
  <w:num w:numId="13">
    <w:abstractNumId w:val="11"/>
  </w:num>
  <w:num w:numId="14">
    <w:abstractNumId w:val="24"/>
  </w:num>
  <w:num w:numId="15">
    <w:abstractNumId w:val="23"/>
  </w:num>
  <w:num w:numId="16">
    <w:abstractNumId w:val="6"/>
  </w:num>
  <w:num w:numId="17">
    <w:abstractNumId w:val="19"/>
  </w:num>
  <w:num w:numId="18">
    <w:abstractNumId w:val="5"/>
  </w:num>
  <w:num w:numId="19">
    <w:abstractNumId w:val="17"/>
  </w:num>
  <w:num w:numId="20">
    <w:abstractNumId w:val="31"/>
  </w:num>
  <w:num w:numId="21">
    <w:abstractNumId w:val="4"/>
  </w:num>
  <w:num w:numId="22">
    <w:abstractNumId w:val="7"/>
  </w:num>
  <w:num w:numId="23">
    <w:abstractNumId w:val="29"/>
  </w:num>
  <w:num w:numId="24">
    <w:abstractNumId w:val="34"/>
  </w:num>
  <w:num w:numId="25">
    <w:abstractNumId w:val="20"/>
  </w:num>
  <w:num w:numId="26">
    <w:abstractNumId w:val="2"/>
  </w:num>
  <w:num w:numId="27">
    <w:abstractNumId w:val="13"/>
  </w:num>
  <w:num w:numId="28">
    <w:abstractNumId w:val="0"/>
  </w:num>
  <w:num w:numId="29">
    <w:abstractNumId w:val="1"/>
  </w:num>
  <w:num w:numId="30">
    <w:abstractNumId w:val="10"/>
  </w:num>
  <w:num w:numId="31">
    <w:abstractNumId w:val="14"/>
  </w:num>
  <w:num w:numId="32">
    <w:abstractNumId w:val="28"/>
  </w:num>
  <w:num w:numId="33">
    <w:abstractNumId w:val="22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6"/>
    <w:rsid w:val="000042DF"/>
    <w:rsid w:val="00040657"/>
    <w:rsid w:val="0005319B"/>
    <w:rsid w:val="0006550C"/>
    <w:rsid w:val="0013764B"/>
    <w:rsid w:val="00176F16"/>
    <w:rsid w:val="00184589"/>
    <w:rsid w:val="001A5BA1"/>
    <w:rsid w:val="002208B0"/>
    <w:rsid w:val="00224BE4"/>
    <w:rsid w:val="00242219"/>
    <w:rsid w:val="0025142C"/>
    <w:rsid w:val="00252F63"/>
    <w:rsid w:val="002B4B29"/>
    <w:rsid w:val="002C46A2"/>
    <w:rsid w:val="002D17A8"/>
    <w:rsid w:val="002E7C05"/>
    <w:rsid w:val="003448FD"/>
    <w:rsid w:val="00356ACD"/>
    <w:rsid w:val="00361173"/>
    <w:rsid w:val="00366C28"/>
    <w:rsid w:val="0036764F"/>
    <w:rsid w:val="00367DDA"/>
    <w:rsid w:val="003902C2"/>
    <w:rsid w:val="00393C79"/>
    <w:rsid w:val="003A4FAE"/>
    <w:rsid w:val="003A7644"/>
    <w:rsid w:val="003E3ED9"/>
    <w:rsid w:val="003E62A8"/>
    <w:rsid w:val="0043497A"/>
    <w:rsid w:val="0044193A"/>
    <w:rsid w:val="0044722F"/>
    <w:rsid w:val="00474A56"/>
    <w:rsid w:val="00486724"/>
    <w:rsid w:val="004A2215"/>
    <w:rsid w:val="004B0FAD"/>
    <w:rsid w:val="004C28DC"/>
    <w:rsid w:val="004D1EB2"/>
    <w:rsid w:val="005224CF"/>
    <w:rsid w:val="005407EA"/>
    <w:rsid w:val="00571C5E"/>
    <w:rsid w:val="00580F32"/>
    <w:rsid w:val="00581132"/>
    <w:rsid w:val="005941A7"/>
    <w:rsid w:val="005A1D87"/>
    <w:rsid w:val="005C74BC"/>
    <w:rsid w:val="005C7D53"/>
    <w:rsid w:val="005D6CB3"/>
    <w:rsid w:val="006035F0"/>
    <w:rsid w:val="00605C93"/>
    <w:rsid w:val="00612B14"/>
    <w:rsid w:val="0062470A"/>
    <w:rsid w:val="0066138D"/>
    <w:rsid w:val="00682C34"/>
    <w:rsid w:val="006A0DA3"/>
    <w:rsid w:val="006E38B0"/>
    <w:rsid w:val="006E669F"/>
    <w:rsid w:val="007079DC"/>
    <w:rsid w:val="00720C5B"/>
    <w:rsid w:val="007247C1"/>
    <w:rsid w:val="0073130D"/>
    <w:rsid w:val="00744581"/>
    <w:rsid w:val="00763779"/>
    <w:rsid w:val="007A35F3"/>
    <w:rsid w:val="00860361"/>
    <w:rsid w:val="0089723A"/>
    <w:rsid w:val="008B02D4"/>
    <w:rsid w:val="008D01DE"/>
    <w:rsid w:val="009040A0"/>
    <w:rsid w:val="00910E30"/>
    <w:rsid w:val="00956B80"/>
    <w:rsid w:val="0095760F"/>
    <w:rsid w:val="00960A2E"/>
    <w:rsid w:val="00976AE1"/>
    <w:rsid w:val="00976E65"/>
    <w:rsid w:val="00981418"/>
    <w:rsid w:val="0098163B"/>
    <w:rsid w:val="009B42CB"/>
    <w:rsid w:val="009B57FF"/>
    <w:rsid w:val="009C39FF"/>
    <w:rsid w:val="00A263E2"/>
    <w:rsid w:val="00A2748D"/>
    <w:rsid w:val="00A578D1"/>
    <w:rsid w:val="00A849B5"/>
    <w:rsid w:val="00A90E4C"/>
    <w:rsid w:val="00AA2607"/>
    <w:rsid w:val="00AE3249"/>
    <w:rsid w:val="00B25965"/>
    <w:rsid w:val="00B3158F"/>
    <w:rsid w:val="00B61CA8"/>
    <w:rsid w:val="00B92799"/>
    <w:rsid w:val="00BA4DE1"/>
    <w:rsid w:val="00BA5DE4"/>
    <w:rsid w:val="00BD2127"/>
    <w:rsid w:val="00BE3FC6"/>
    <w:rsid w:val="00BF17A0"/>
    <w:rsid w:val="00C05667"/>
    <w:rsid w:val="00C21D0C"/>
    <w:rsid w:val="00C26202"/>
    <w:rsid w:val="00C2735C"/>
    <w:rsid w:val="00CB3945"/>
    <w:rsid w:val="00CE2A2A"/>
    <w:rsid w:val="00CE4C98"/>
    <w:rsid w:val="00D071DE"/>
    <w:rsid w:val="00D36787"/>
    <w:rsid w:val="00D477C1"/>
    <w:rsid w:val="00D70442"/>
    <w:rsid w:val="00DC7396"/>
    <w:rsid w:val="00DE4D2C"/>
    <w:rsid w:val="00DF5F76"/>
    <w:rsid w:val="00E00373"/>
    <w:rsid w:val="00E1604B"/>
    <w:rsid w:val="00E758F1"/>
    <w:rsid w:val="00E761D3"/>
    <w:rsid w:val="00E925F7"/>
    <w:rsid w:val="00EB2E5B"/>
    <w:rsid w:val="00EB52BB"/>
    <w:rsid w:val="00EB6349"/>
    <w:rsid w:val="00ED0E0D"/>
    <w:rsid w:val="00EE29B4"/>
    <w:rsid w:val="00F22A5B"/>
    <w:rsid w:val="00F47124"/>
    <w:rsid w:val="00F713FA"/>
    <w:rsid w:val="00F7309B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B0B64"/>
  <w15:chartTrackingRefBased/>
  <w15:docId w15:val="{768A6B7F-E9E1-4934-B446-245A7CB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69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69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6E669F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2BB"/>
  </w:style>
  <w:style w:type="paragraph" w:styleId="Zpat">
    <w:name w:val="footer"/>
    <w:basedOn w:val="Normln"/>
    <w:link w:val="Zpat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2BB"/>
  </w:style>
  <w:style w:type="paragraph" w:styleId="Odstavecseseznamem">
    <w:name w:val="List Paragraph"/>
    <w:basedOn w:val="Normln"/>
    <w:uiPriority w:val="34"/>
    <w:qFormat/>
    <w:rsid w:val="00BA5DE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4D2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4D2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4D2C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764F"/>
    <w:rPr>
      <w:color w:val="605E5C"/>
      <w:shd w:val="clear" w:color="auto" w:fill="E1DFDD"/>
    </w:rPr>
  </w:style>
  <w:style w:type="paragraph" w:customStyle="1" w:styleId="Normln1">
    <w:name w:val="Normální1"/>
    <w:rsid w:val="00A263E2"/>
    <w:pPr>
      <w:spacing w:after="0" w:line="240" w:lineRule="auto"/>
    </w:pPr>
    <w:rPr>
      <w:rFonts w:ascii="Garamond" w:eastAsia="ヒラギノ角ゴ Pro W3" w:hAnsi="Garamond" w:cs="Times New Roman"/>
      <w:color w:val="000000"/>
      <w:sz w:val="24"/>
    </w:rPr>
  </w:style>
  <w:style w:type="paragraph" w:customStyle="1" w:styleId="BodyText1">
    <w:name w:val="Body Text1"/>
    <w:rsid w:val="00A263E2"/>
    <w:pPr>
      <w:widowControl w:val="0"/>
      <w:spacing w:after="0" w:line="288" w:lineRule="auto"/>
    </w:pPr>
    <w:rPr>
      <w:rFonts w:ascii="Garamond" w:eastAsia="ヒラギノ角ゴ Pro W3" w:hAnsi="Garamond" w:cs="Times New Roman"/>
      <w:color w:val="000000"/>
      <w:sz w:val="24"/>
    </w:rPr>
  </w:style>
  <w:style w:type="character" w:styleId="Odkaznakoment">
    <w:name w:val="annotation reference"/>
    <w:uiPriority w:val="99"/>
    <w:rsid w:val="00A263E2"/>
    <w:rPr>
      <w:sz w:val="18"/>
      <w:szCs w:val="18"/>
    </w:rPr>
  </w:style>
  <w:style w:type="paragraph" w:customStyle="1" w:styleId="MediumList2-Accent41">
    <w:name w:val="Medium List 2 - Accent 41"/>
    <w:basedOn w:val="Normln"/>
    <w:uiPriority w:val="99"/>
    <w:rsid w:val="00A26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A263E2"/>
    <w:pPr>
      <w:spacing w:after="120" w:line="260" w:lineRule="exact"/>
      <w:jc w:val="both"/>
    </w:pPr>
    <w:rPr>
      <w:rFonts w:ascii="Calibri" w:eastAsia="Times New Roman" w:hAnsi="Calibri" w:cs="Times New Roman"/>
      <w:kern w:val="20"/>
      <w:lang w:val="x-none" w:eastAsia="x-none"/>
    </w:rPr>
  </w:style>
  <w:style w:type="character" w:customStyle="1" w:styleId="BodyChar">
    <w:name w:val="Body Char"/>
    <w:link w:val="Body"/>
    <w:rsid w:val="00A263E2"/>
    <w:rPr>
      <w:rFonts w:ascii="Calibri" w:eastAsia="Times New Roman" w:hAnsi="Calibri" w:cs="Times New Roman"/>
      <w:kern w:val="20"/>
      <w:lang w:val="x-none" w:eastAsia="x-none"/>
    </w:rPr>
  </w:style>
  <w:style w:type="paragraph" w:customStyle="1" w:styleId="ZkladntextIMP">
    <w:name w:val="Základní text_IMP"/>
    <w:basedOn w:val="Normln"/>
    <w:rsid w:val="00A263E2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263E2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A263E2"/>
    <w:rPr>
      <w:rFonts w:ascii="Calibri" w:eastAsia="Times New Roman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rn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orne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nex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ornex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atislavice@vratisla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9932-056A-4C3E-90CE-FD5A7FDF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Štástka</dc:creator>
  <cp:keywords/>
  <dc:description/>
  <cp:lastModifiedBy>Podlipný Pavel</cp:lastModifiedBy>
  <cp:revision>8</cp:revision>
  <cp:lastPrinted>2018-10-25T13:08:00Z</cp:lastPrinted>
  <dcterms:created xsi:type="dcterms:W3CDTF">2021-08-23T14:46:00Z</dcterms:created>
  <dcterms:modified xsi:type="dcterms:W3CDTF">2021-08-30T10:52:00Z</dcterms:modified>
</cp:coreProperties>
</file>