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40" w:rsidRPr="00CC7839" w:rsidRDefault="001C002D">
      <w:pPr>
        <w:pStyle w:val="Nzev"/>
        <w:ind w:right="30"/>
      </w:pPr>
      <w:bookmarkStart w:id="0" w:name="_gjdgxs" w:colFirst="0" w:colLast="0"/>
      <w:bookmarkEnd w:id="0"/>
      <w:r w:rsidRPr="00CC7839">
        <w:t>SMLOUVA O DÍLO</w:t>
      </w:r>
    </w:p>
    <w:p w:rsidR="00555A40" w:rsidRPr="00CC7839" w:rsidRDefault="001C002D">
      <w:pPr>
        <w:spacing w:line="240" w:lineRule="auto"/>
      </w:pPr>
      <w:r w:rsidRPr="00CC7839">
        <w:t>uzavřená na základě dohody smluvních stran níže uvedeného dne, měsíce a roku podle ustanovení § 2586 a násl. zákona č. 89/2012 Sb., občanského zákoníku, ve znění pozdějších předpisů (dále jen „občanský zákoník“)</w:t>
      </w:r>
    </w:p>
    <w:p w:rsidR="00555A40" w:rsidRPr="00CC7839" w:rsidRDefault="001C002D">
      <w:pPr>
        <w:pStyle w:val="Nadpis2"/>
      </w:pPr>
      <w:bookmarkStart w:id="1" w:name="_30j0zll" w:colFirst="0" w:colLast="0"/>
      <w:bookmarkEnd w:id="1"/>
      <w:r w:rsidRPr="00CC7839">
        <w:t>I.</w:t>
      </w:r>
      <w:r w:rsidRPr="00CC7839">
        <w:tab/>
        <w:t>Smluvní strany</w:t>
      </w:r>
    </w:p>
    <w:p w:rsidR="00555A40" w:rsidRPr="00CC7839" w:rsidRDefault="001C002D">
      <w:pPr>
        <w:spacing w:after="0" w:line="240" w:lineRule="auto"/>
      </w:pPr>
      <w:r w:rsidRPr="00CC7839">
        <w:t>Název:</w:t>
      </w:r>
      <w:r w:rsidRPr="00CC7839">
        <w:tab/>
      </w:r>
      <w:r w:rsidRPr="00CC7839">
        <w:tab/>
      </w:r>
      <w:r w:rsidRPr="00CC7839">
        <w:tab/>
      </w:r>
      <w:r w:rsidRPr="00CC7839">
        <w:tab/>
        <w:t>SATHEA VISION s.r.o.</w:t>
      </w:r>
    </w:p>
    <w:p w:rsidR="00555A40" w:rsidRPr="00CC7839" w:rsidRDefault="001C002D">
      <w:pPr>
        <w:spacing w:before="0" w:after="0" w:line="240" w:lineRule="auto"/>
      </w:pPr>
      <w:r w:rsidRPr="00CC7839">
        <w:t>Sídlo:</w:t>
      </w:r>
      <w:r w:rsidRPr="00CC7839">
        <w:tab/>
      </w:r>
      <w:r w:rsidRPr="00CC7839">
        <w:tab/>
      </w:r>
      <w:r w:rsidRPr="00CC7839">
        <w:tab/>
      </w:r>
      <w:r w:rsidRPr="00CC7839">
        <w:tab/>
        <w:t>Boršov 2, 11000 Praha</w:t>
      </w:r>
    </w:p>
    <w:p w:rsidR="00555A40" w:rsidRPr="00CC7839" w:rsidRDefault="001C002D">
      <w:pPr>
        <w:spacing w:before="0" w:after="0" w:line="240" w:lineRule="auto"/>
      </w:pPr>
      <w:r w:rsidRPr="00CC7839">
        <w:t>IČ:</w:t>
      </w:r>
      <w:r w:rsidRPr="00CC7839">
        <w:tab/>
      </w:r>
      <w:r w:rsidRPr="00CC7839">
        <w:tab/>
      </w:r>
      <w:r w:rsidRPr="00CC7839">
        <w:tab/>
      </w:r>
      <w:r w:rsidRPr="00CC7839">
        <w:tab/>
        <w:t>24184870</w:t>
      </w:r>
    </w:p>
    <w:p w:rsidR="00555A40" w:rsidRPr="00CC7839" w:rsidRDefault="001C002D">
      <w:pPr>
        <w:spacing w:before="0" w:after="0" w:line="240" w:lineRule="auto"/>
      </w:pPr>
      <w:r w:rsidRPr="00CC7839">
        <w:t>DIČ:</w:t>
      </w:r>
      <w:r w:rsidRPr="00CC7839">
        <w:tab/>
      </w:r>
      <w:r w:rsidRPr="00CC7839">
        <w:tab/>
      </w:r>
      <w:r w:rsidRPr="00CC7839">
        <w:tab/>
      </w:r>
      <w:r w:rsidRPr="00CC7839">
        <w:tab/>
        <w:t>CZ24184870</w:t>
      </w:r>
    </w:p>
    <w:p w:rsidR="00555A40" w:rsidRPr="00CC7839" w:rsidRDefault="001C002D">
      <w:pPr>
        <w:spacing w:before="0" w:after="0" w:line="240" w:lineRule="auto"/>
      </w:pPr>
      <w:r w:rsidRPr="00CC7839">
        <w:t xml:space="preserve">Číslo spisu: </w:t>
      </w:r>
      <w:r w:rsidRPr="00CC7839">
        <w:tab/>
      </w:r>
      <w:r w:rsidRPr="00CC7839">
        <w:tab/>
      </w:r>
      <w:r w:rsidRPr="00CC7839">
        <w:tab/>
        <w:t>C186589 vedený u Městského soudu v Praze</w:t>
      </w:r>
    </w:p>
    <w:p w:rsidR="00555A40" w:rsidRPr="00CC7839" w:rsidRDefault="001C002D">
      <w:pPr>
        <w:spacing w:line="240" w:lineRule="auto"/>
      </w:pPr>
      <w:r w:rsidRPr="00CC7839">
        <w:t>Zastupující pověřená osoba:</w:t>
      </w:r>
      <w:r w:rsidRPr="00CC7839">
        <w:tab/>
        <w:t>Jan Horák - jednatel společnosti</w:t>
      </w:r>
    </w:p>
    <w:p w:rsidR="00555A40" w:rsidRPr="00CC7839" w:rsidRDefault="001C002D">
      <w:pPr>
        <w:spacing w:line="240" w:lineRule="auto"/>
      </w:pPr>
      <w:r w:rsidRPr="00CC7839">
        <w:t>(Dále jen „</w:t>
      </w:r>
      <w:r w:rsidRPr="00CC7839">
        <w:rPr>
          <w:b/>
        </w:rPr>
        <w:t>Zhotovitel</w:t>
      </w:r>
      <w:r w:rsidRPr="00CC7839">
        <w:t>“)</w:t>
      </w:r>
    </w:p>
    <w:p w:rsidR="00555A40" w:rsidRPr="00CC7839" w:rsidRDefault="001C002D">
      <w:pPr>
        <w:spacing w:line="240" w:lineRule="auto"/>
      </w:pPr>
      <w:r w:rsidRPr="00CC7839">
        <w:t xml:space="preserve">a </w:t>
      </w:r>
    </w:p>
    <w:p w:rsidR="00555A40" w:rsidRPr="00CC7839" w:rsidRDefault="001C002D">
      <w:pPr>
        <w:spacing w:after="0" w:line="240" w:lineRule="auto"/>
      </w:pPr>
      <w:r w:rsidRPr="00CC7839">
        <w:t>Název:</w:t>
      </w:r>
      <w:r w:rsidRPr="00CC7839">
        <w:tab/>
      </w:r>
      <w:r w:rsidRPr="00CC7839">
        <w:tab/>
      </w:r>
      <w:r w:rsidRPr="00CC7839">
        <w:tab/>
      </w:r>
      <w:r w:rsidRPr="00CC7839">
        <w:tab/>
        <w:t>Ústav chemických procesů AV ČR, v. v. i.</w:t>
      </w:r>
    </w:p>
    <w:p w:rsidR="00555A40" w:rsidRPr="00CC7839" w:rsidRDefault="001C002D">
      <w:pPr>
        <w:spacing w:before="0" w:after="0" w:line="240" w:lineRule="auto"/>
      </w:pPr>
      <w:r w:rsidRPr="00CC7839">
        <w:t>Sídlo:</w:t>
      </w:r>
      <w:r w:rsidRPr="00CC7839">
        <w:tab/>
      </w:r>
      <w:r w:rsidRPr="00CC7839">
        <w:tab/>
      </w:r>
      <w:r w:rsidRPr="00CC7839">
        <w:tab/>
      </w:r>
      <w:r w:rsidRPr="00CC7839">
        <w:tab/>
        <w:t>Rozvojová 135/1, 165 02 Praha 6</w:t>
      </w:r>
    </w:p>
    <w:p w:rsidR="00555A40" w:rsidRPr="00CC7839" w:rsidRDefault="001C002D">
      <w:pPr>
        <w:spacing w:before="0" w:after="0" w:line="240" w:lineRule="auto"/>
      </w:pPr>
      <w:r w:rsidRPr="00CC7839">
        <w:t>IČ:</w:t>
      </w:r>
      <w:r w:rsidRPr="00CC7839">
        <w:tab/>
      </w:r>
      <w:r w:rsidRPr="00CC7839">
        <w:tab/>
      </w:r>
      <w:r w:rsidRPr="00CC7839">
        <w:tab/>
      </w:r>
      <w:r w:rsidRPr="00CC7839">
        <w:tab/>
        <w:t>67985858</w:t>
      </w:r>
    </w:p>
    <w:p w:rsidR="00555A40" w:rsidRPr="00CC7839" w:rsidRDefault="001C002D">
      <w:pPr>
        <w:spacing w:before="0" w:after="0" w:line="240" w:lineRule="auto"/>
      </w:pPr>
      <w:r w:rsidRPr="00CC7839">
        <w:t>DIČ:</w:t>
      </w:r>
      <w:r w:rsidRPr="00CC7839">
        <w:tab/>
      </w:r>
      <w:r w:rsidRPr="00CC7839">
        <w:tab/>
      </w:r>
      <w:r w:rsidRPr="00CC7839">
        <w:tab/>
      </w:r>
      <w:r w:rsidRPr="00CC7839">
        <w:tab/>
        <w:t>CZ67985858</w:t>
      </w:r>
    </w:p>
    <w:p w:rsidR="00555A40" w:rsidRPr="00CC7839" w:rsidRDefault="001C002D">
      <w:pPr>
        <w:spacing w:before="0" w:line="240" w:lineRule="auto"/>
      </w:pPr>
      <w:r w:rsidRPr="00CC7839">
        <w:t>Zast</w:t>
      </w:r>
      <w:r w:rsidR="002238EB" w:rsidRPr="00CC7839">
        <w:t>o</w:t>
      </w:r>
      <w:r w:rsidRPr="00CC7839">
        <w:t>up</w:t>
      </w:r>
      <w:r w:rsidR="002238EB" w:rsidRPr="00CC7839">
        <w:t>en</w:t>
      </w:r>
      <w:r w:rsidRPr="00CC7839">
        <w:t>:</w:t>
      </w:r>
      <w:r w:rsidRPr="00CC7839">
        <w:tab/>
      </w:r>
      <w:r w:rsidR="002238EB" w:rsidRPr="00CC7839">
        <w:tab/>
      </w:r>
      <w:r w:rsidR="002238EB" w:rsidRPr="00CC7839">
        <w:tab/>
      </w:r>
      <w:r w:rsidRPr="00CC7839">
        <w:t xml:space="preserve">Ing. </w:t>
      </w:r>
      <w:r w:rsidR="002238EB" w:rsidRPr="00CC7839">
        <w:t xml:space="preserve">Miroslavem Punčochářem, </w:t>
      </w:r>
      <w:proofErr w:type="spellStart"/>
      <w:r w:rsidR="002238EB" w:rsidRPr="00CC7839">
        <w:t>DSc</w:t>
      </w:r>
      <w:proofErr w:type="spellEnd"/>
      <w:r w:rsidR="002238EB" w:rsidRPr="00CC7839">
        <w:t>.</w:t>
      </w:r>
    </w:p>
    <w:p w:rsidR="00754C12" w:rsidRPr="00CC7839" w:rsidRDefault="00754C12">
      <w:pPr>
        <w:spacing w:before="0" w:line="240" w:lineRule="auto"/>
      </w:pPr>
      <w:r w:rsidRPr="00CC7839">
        <w:t>Instituce je zapsána v rejstříku veřejných výzkumných institucí MŠMT</w:t>
      </w:r>
    </w:p>
    <w:p w:rsidR="00555A40" w:rsidRPr="00CC7839" w:rsidRDefault="001C002D">
      <w:pPr>
        <w:spacing w:line="240" w:lineRule="auto"/>
      </w:pPr>
      <w:r w:rsidRPr="00CC7839">
        <w:t>(Dále jen „</w:t>
      </w:r>
      <w:r w:rsidRPr="00CC7839">
        <w:rPr>
          <w:b/>
        </w:rPr>
        <w:t>Objednate</w:t>
      </w:r>
      <w:r w:rsidRPr="00CC7839">
        <w:t>l“)</w:t>
      </w:r>
    </w:p>
    <w:p w:rsidR="00555A40" w:rsidRPr="00CC7839" w:rsidRDefault="001C002D">
      <w:pPr>
        <w:spacing w:line="240" w:lineRule="auto"/>
      </w:pPr>
      <w:r w:rsidRPr="00CC7839">
        <w:t>Smluvní strany uzavírají níže uvedeného dne, měsíce a roku tuto Smlouvu o dílo (dále jen „</w:t>
      </w:r>
      <w:r w:rsidRPr="00CC7839">
        <w:rPr>
          <w:b/>
        </w:rPr>
        <w:t>Smlouva</w:t>
      </w:r>
      <w:r w:rsidRPr="00CC7839">
        <w:t>“):</w:t>
      </w:r>
    </w:p>
    <w:p w:rsidR="00555A40" w:rsidRPr="00CC7839" w:rsidRDefault="001C002D">
      <w:pPr>
        <w:pStyle w:val="Nadpis2"/>
      </w:pPr>
      <w:bookmarkStart w:id="2" w:name="_1fob9te" w:colFirst="0" w:colLast="0"/>
      <w:bookmarkEnd w:id="2"/>
      <w:r w:rsidRPr="00CC7839">
        <w:t>II.</w:t>
      </w:r>
      <w:r w:rsidRPr="00CC7839">
        <w:tab/>
        <w:t>Předmět Smlouvy</w:t>
      </w:r>
    </w:p>
    <w:p w:rsidR="00555A40" w:rsidRPr="00CC7839" w:rsidRDefault="001C002D">
      <w:r w:rsidRPr="00CC7839">
        <w:t xml:space="preserve">Zhotovitel se touto Smlouvou zavazuje provést na svůj náklad a nebezpečí pro Objednatele za podmínek níže uvedených dílo: </w:t>
      </w:r>
      <w:r w:rsidR="00754C12" w:rsidRPr="00CC7839">
        <w:t>Oprava - v</w:t>
      </w:r>
      <w:r w:rsidRPr="00CC7839">
        <w:t>ýměn</w:t>
      </w:r>
      <w:r w:rsidR="00694A24" w:rsidRPr="00CC7839">
        <w:t>ou</w:t>
      </w:r>
      <w:r w:rsidRPr="00CC7839">
        <w:t xml:space="preserve">  svítidel v  soustavě veřejného osvětlení a příslušné infrastruktury</w:t>
      </w:r>
      <w:r w:rsidR="00754C12" w:rsidRPr="00CC7839">
        <w:t xml:space="preserve"> Objednatele </w:t>
      </w:r>
      <w:r w:rsidRPr="00CC7839">
        <w:t xml:space="preserve"> (dále jen „Dílo“). Dílo se skládá z dodání materiálu pro provedení výměny dodané Zhotovitelem a z provedení služeb a práce rozepsané v oddílu Materiál a Služby dodané Zhotovitelem.</w:t>
      </w:r>
    </w:p>
    <w:p w:rsidR="00555A40" w:rsidRPr="00CC7839" w:rsidRDefault="001C002D">
      <w:pPr>
        <w:pStyle w:val="Nadpis2"/>
        <w:spacing w:before="200" w:after="200"/>
        <w:ind w:right="30"/>
        <w:rPr>
          <w:sz w:val="20"/>
          <w:szCs w:val="20"/>
        </w:rPr>
      </w:pPr>
      <w:bookmarkStart w:id="3" w:name="_3znysh7" w:colFirst="0" w:colLast="0"/>
      <w:bookmarkEnd w:id="3"/>
      <w:r w:rsidRPr="00CC7839">
        <w:rPr>
          <w:sz w:val="20"/>
          <w:szCs w:val="20"/>
        </w:rPr>
        <w:t>Materiál a Služby dodané Zhotovitelem:</w:t>
      </w:r>
    </w:p>
    <w:p w:rsidR="00555A40" w:rsidRPr="00CC7839" w:rsidRDefault="001C002D">
      <w:r w:rsidRPr="00CC7839">
        <w:t>Viz příloha</w:t>
      </w:r>
      <w:r w:rsidR="00754C12" w:rsidRPr="00CC7839">
        <w:t xml:space="preserve"> č. </w:t>
      </w:r>
      <w:r w:rsidRPr="00CC7839">
        <w:t>1: Položkový rozpočet</w:t>
      </w:r>
    </w:p>
    <w:p w:rsidR="00555A40" w:rsidRPr="00CC7839" w:rsidRDefault="00754C12">
      <w:r w:rsidRPr="00CC7839">
        <w:t>Příloha č. 1 je nedílnou součástí této smlouvy.</w:t>
      </w:r>
    </w:p>
    <w:p w:rsidR="00555A40" w:rsidRPr="00CC7839" w:rsidRDefault="001C002D">
      <w:pPr>
        <w:pStyle w:val="Nadpis2"/>
      </w:pPr>
      <w:bookmarkStart w:id="4" w:name="_tyjcwt" w:colFirst="0" w:colLast="0"/>
      <w:bookmarkEnd w:id="4"/>
      <w:r w:rsidRPr="00CC7839">
        <w:lastRenderedPageBreak/>
        <w:t>III.</w:t>
      </w:r>
      <w:r w:rsidRPr="00CC7839">
        <w:tab/>
        <w:t>Cena Díla a způsob úhrady</w:t>
      </w:r>
    </w:p>
    <w:p w:rsidR="00555A40" w:rsidRPr="00CC7839" w:rsidRDefault="001C002D">
      <w:r w:rsidRPr="00CC7839">
        <w:t>Ceny jsou rozepsány v podrobném položkovém rozpočtu v příloze 1.</w:t>
      </w:r>
    </w:p>
    <w:p w:rsidR="00555A40" w:rsidRPr="00CC7839" w:rsidRDefault="001C002D">
      <w:pPr>
        <w:pStyle w:val="Nadpis3"/>
        <w:ind w:right="30"/>
      </w:pPr>
      <w:bookmarkStart w:id="5" w:name="_2xcytpi" w:colFirst="0" w:colLast="0"/>
      <w:bookmarkEnd w:id="5"/>
      <w:r w:rsidRPr="00CC7839">
        <w:t>Celková cena Díla</w:t>
      </w:r>
    </w:p>
    <w:p w:rsidR="00555A40" w:rsidRPr="00CC7839" w:rsidRDefault="001C002D">
      <w:r w:rsidRPr="00CC7839">
        <w:t xml:space="preserve">Celková cena Díla je stanovena ve výši 359 983,- Kč bez DPH + DPH ve výši 21% činí 75 596,43,- Kč, tedy celkově 435 579,43,- Kč s DPH, bude uhrazena po předání a převzetí díla. Částka bude uhrazena proti vystavené faktuře se splatností 30 dnů na účet Zhotovitele </w:t>
      </w:r>
      <w:proofErr w:type="spellStart"/>
      <w:proofErr w:type="gramStart"/>
      <w:r w:rsidRPr="00CC7839">
        <w:t>č.ú</w:t>
      </w:r>
      <w:proofErr w:type="spellEnd"/>
      <w:r w:rsidRPr="00CC7839">
        <w:t>. 107</w:t>
      </w:r>
      <w:proofErr w:type="gramEnd"/>
      <w:r w:rsidRPr="00CC7839">
        <w:t>-1208020267/0100 vedený u Komerční banky, a.s..</w:t>
      </w:r>
    </w:p>
    <w:p w:rsidR="00555A40" w:rsidRPr="00CC7839" w:rsidRDefault="001C002D">
      <w:pPr>
        <w:pStyle w:val="Nadpis2"/>
      </w:pPr>
      <w:bookmarkStart w:id="6" w:name="_1ci93xb" w:colFirst="0" w:colLast="0"/>
      <w:bookmarkEnd w:id="6"/>
      <w:r w:rsidRPr="00CC7839">
        <w:t>IV.</w:t>
      </w:r>
      <w:r w:rsidRPr="00CC7839">
        <w:tab/>
        <w:t>Termín zhotovení díla</w:t>
      </w:r>
    </w:p>
    <w:p w:rsidR="00555A40" w:rsidRPr="00CC7839" w:rsidRDefault="001C002D">
      <w:r w:rsidRPr="00CC7839">
        <w:t>Smluvní strany se dohodly, že Dílo bude Zhotovitelem provedeno v termínu nejpozději do 1. prosince 2021.</w:t>
      </w:r>
    </w:p>
    <w:p w:rsidR="00555A40" w:rsidRPr="00CC7839" w:rsidRDefault="001C002D">
      <w:pPr>
        <w:pStyle w:val="Nadpis2"/>
      </w:pPr>
      <w:bookmarkStart w:id="7" w:name="_3whwml4" w:colFirst="0" w:colLast="0"/>
      <w:bookmarkEnd w:id="7"/>
      <w:r w:rsidRPr="00CC7839">
        <w:t>V.</w:t>
      </w:r>
      <w:r w:rsidRPr="00CC7839">
        <w:tab/>
        <w:t>Předání a převzetí Díla</w:t>
      </w:r>
    </w:p>
    <w:p w:rsidR="00694A24" w:rsidRPr="00CC7839" w:rsidRDefault="00694A24">
      <w:r w:rsidRPr="00CC7839">
        <w:t>Zhotovitel je povinen vyzvat zástupce objednatele ke kontrole těch částí díla, které budou při dalším pracovním postupu zakryty, a to s předstihem alespoň 3 pracovních dní. Zhotovitel předá objednateli fotodokumentaci z prováděného díla a dále umožní Objednateli provádění vlastní  fotodokumentace  připojení jednotlivých sloupů veřejného osvětlení.</w:t>
      </w:r>
    </w:p>
    <w:p w:rsidR="00BA48B6" w:rsidRPr="00CC7839" w:rsidRDefault="00BA48B6">
      <w:r w:rsidRPr="00CC7839">
        <w:t>Zhotovitel odpovídá za kvalitu prací ve smyslu platných technologických předpisů a v souladu s platnými normami EN a ČSN.</w:t>
      </w:r>
    </w:p>
    <w:p w:rsidR="00555A40" w:rsidRPr="00CC7839" w:rsidRDefault="001C002D">
      <w:r w:rsidRPr="00CC7839">
        <w:t xml:space="preserve">K předání a převzetí Díla dojde do jednoho týdne od jeho zhotovení, nejpozději však bude dílo zhotoveno i předáno v termínu uvedeným v čl. IV </w:t>
      </w:r>
      <w:proofErr w:type="gramStart"/>
      <w:r w:rsidRPr="00CC7839">
        <w:t>této</w:t>
      </w:r>
      <w:proofErr w:type="gramEnd"/>
      <w:r w:rsidRPr="00CC7839">
        <w:t xml:space="preserve"> smlouvy.</w:t>
      </w:r>
    </w:p>
    <w:p w:rsidR="00555A40" w:rsidRPr="00CC7839" w:rsidRDefault="001C002D">
      <w:r w:rsidRPr="00CC7839">
        <w:t>O předání a převzetí Díla bude Smluvními stranami vyhotoven předávací protokol.</w:t>
      </w:r>
    </w:p>
    <w:p w:rsidR="00555A40" w:rsidRPr="00CC7839" w:rsidRDefault="001C002D">
      <w:r w:rsidRPr="00CC7839">
        <w:t>Smluvní strany se pro případ prodlení Objednatele se zaplacením Ceny Díla dohodly na smluvní pokutě ve výši 1% za každých započatých 7 dní prodlení počítané od uplynutí splatnosti vystavené faktury.</w:t>
      </w:r>
    </w:p>
    <w:p w:rsidR="00555A40" w:rsidRPr="00CC7839" w:rsidRDefault="001C002D">
      <w:r w:rsidRPr="00CC7839">
        <w:t>Smluvní pokuta bude uhrazena společně s cenou Díla.</w:t>
      </w:r>
    </w:p>
    <w:p w:rsidR="00694A24" w:rsidRPr="00CC7839" w:rsidRDefault="001C002D">
      <w:r w:rsidRPr="00CC7839">
        <w:t>V případě prodlení se zhotovením Díla na straně Zhotovitele má Objednatel právo namísto smluvní pokuty na slevu z Ceny Díla ve výši 1% za každých započatých 7 dní prodlení.</w:t>
      </w:r>
    </w:p>
    <w:p w:rsidR="00555A40" w:rsidRPr="00CC7839" w:rsidRDefault="001C002D">
      <w:pPr>
        <w:pStyle w:val="Nadpis2"/>
      </w:pPr>
      <w:bookmarkStart w:id="8" w:name="_2bn6wsx" w:colFirst="0" w:colLast="0"/>
      <w:bookmarkEnd w:id="8"/>
      <w:r w:rsidRPr="00CC7839">
        <w:t>VI. Záruční podmínky a reklamace</w:t>
      </w:r>
    </w:p>
    <w:p w:rsidR="00555A40" w:rsidRPr="00CC7839" w:rsidRDefault="001C002D">
      <w:r w:rsidRPr="00CC7839">
        <w:t>Zhotovitel poskytne na Dílo záruku po dobu 84 měsíců ode dne Předání a převzetí Díla dle čl. V. této smlouvy.</w:t>
      </w:r>
    </w:p>
    <w:p w:rsidR="00555A40" w:rsidRPr="00CC7839" w:rsidRDefault="001C002D">
      <w:r w:rsidRPr="00CC7839">
        <w:t>Záruka se nevztahuje na vady Díla, které budou způsobeny vadami materiálu, který předal Zhotoviteli Objednatel.</w:t>
      </w:r>
      <w:r w:rsidR="00694A24" w:rsidRPr="00CC7839">
        <w:t xml:space="preserve"> Zhotovitel je povinen odstranit vadu nejpozději do 3 dnů od nahlášení.  V případě zpoždění v odstranění závady je zhotovitel oprávněn účtovat 500,- Kč za každý den zpoždění.</w:t>
      </w:r>
    </w:p>
    <w:p w:rsidR="00555A40" w:rsidRPr="00CC7839" w:rsidRDefault="001C002D">
      <w:r w:rsidRPr="00CC7839">
        <w:t>Zhotovitel se zavazuje předat Dílo bez vad a nedodělků.</w:t>
      </w:r>
    </w:p>
    <w:p w:rsidR="00555A40" w:rsidRPr="00CC7839" w:rsidRDefault="001C002D">
      <w:r w:rsidRPr="00CC7839"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:rsidR="00555A40" w:rsidRPr="00CC7839" w:rsidRDefault="001C002D">
      <w:r w:rsidRPr="00CC7839">
        <w:t>V případě, že Zhotovitel uzná reklamaci Díla, budou náklady spojené s vyřízením reklamace uhrazeny Zhotovitelem. V případě, že reklamace Díla nebude Zhotovitelem uznána, je povinností Objednatele veškeré náklady spojené s reklamací uhradit.</w:t>
      </w:r>
      <w:r w:rsidR="00694A24" w:rsidRPr="00CC7839">
        <w:t xml:space="preserve"> </w:t>
      </w:r>
    </w:p>
    <w:p w:rsidR="00555A40" w:rsidRPr="00CC7839" w:rsidRDefault="001C002D">
      <w:r w:rsidRPr="00CC7839">
        <w:lastRenderedPageBreak/>
        <w:t xml:space="preserve">Mezi případy, které </w:t>
      </w:r>
      <w:proofErr w:type="gramStart"/>
      <w:r w:rsidRPr="00CC7839">
        <w:t>nesplňují</w:t>
      </w:r>
      <w:proofErr w:type="gramEnd"/>
      <w:r w:rsidRPr="00CC7839">
        <w:t xml:space="preserve"> podmínky pro uznání reklamace </w:t>
      </w:r>
      <w:proofErr w:type="gramStart"/>
      <w:r w:rsidRPr="00CC7839">
        <w:t>patří</w:t>
      </w:r>
      <w:proofErr w:type="gramEnd"/>
      <w:r w:rsidRPr="00CC7839">
        <w:t xml:space="preserve"> zejména:</w:t>
      </w:r>
    </w:p>
    <w:p w:rsidR="00555A40" w:rsidRPr="00CC7839" w:rsidRDefault="001C002D">
      <w:pPr>
        <w:numPr>
          <w:ilvl w:val="1"/>
          <w:numId w:val="1"/>
        </w:numPr>
        <w:spacing w:after="0" w:line="240" w:lineRule="auto"/>
        <w:ind w:left="1133" w:hanging="566"/>
      </w:pPr>
      <w:r w:rsidRPr="00CC7839">
        <w:t>Závada způsobená úderem blesku, nebo atmosférickým přepětím.</w:t>
      </w:r>
    </w:p>
    <w:p w:rsidR="00555A40" w:rsidRPr="00CC7839" w:rsidRDefault="001C002D">
      <w:pPr>
        <w:numPr>
          <w:ilvl w:val="1"/>
          <w:numId w:val="1"/>
        </w:numPr>
        <w:spacing w:before="0" w:after="0" w:line="240" w:lineRule="auto"/>
        <w:ind w:left="1133" w:hanging="566"/>
      </w:pPr>
      <w:r w:rsidRPr="00CC7839">
        <w:t>Neoprávněný zásah do konstrukce, připojení, nebo uchycení Svítidla.</w:t>
      </w:r>
    </w:p>
    <w:p w:rsidR="00555A40" w:rsidRPr="00CC7839" w:rsidRDefault="001C002D">
      <w:pPr>
        <w:numPr>
          <w:ilvl w:val="1"/>
          <w:numId w:val="1"/>
        </w:numPr>
        <w:spacing w:before="0" w:after="0" w:line="240" w:lineRule="auto"/>
        <w:ind w:left="1133" w:hanging="566"/>
      </w:pPr>
      <w:r w:rsidRPr="00CC7839">
        <w:t xml:space="preserve">Selhání svítidla vlivem nadměrného znečištění svítidla mimo obvyklé provozní znečištění atmosférickými vlivy. Nadměrným znečištěním je myšleno například znečištění vlivem zatopení svítidla při povodních, zakrytí konstrukce svítidla zelení apod. </w:t>
      </w:r>
    </w:p>
    <w:p w:rsidR="00555A40" w:rsidRPr="00CC7839" w:rsidRDefault="001C002D">
      <w:pPr>
        <w:numPr>
          <w:ilvl w:val="1"/>
          <w:numId w:val="1"/>
        </w:numPr>
        <w:spacing w:before="0" w:after="0" w:line="240" w:lineRule="auto"/>
        <w:ind w:left="1133" w:hanging="566"/>
      </w:pPr>
      <w:r w:rsidRPr="00CC7839">
        <w:t>Provoz Svítidel ve dne, zejména v letních měsících.</w:t>
      </w:r>
    </w:p>
    <w:p w:rsidR="00555A40" w:rsidRPr="00CC7839" w:rsidRDefault="001C002D">
      <w:pPr>
        <w:numPr>
          <w:ilvl w:val="1"/>
          <w:numId w:val="1"/>
        </w:numPr>
        <w:spacing w:before="0" w:line="240" w:lineRule="auto"/>
        <w:ind w:left="1133" w:hanging="566"/>
      </w:pPr>
      <w:r w:rsidRPr="00CC7839">
        <w:t>Trvalé zakrytí kterékoliv části Svítidla, a to i stínícími prvky nebo jinými i kovovými prvky, které zabraňují přirozené konvekci a chlazení Svítidla.</w:t>
      </w:r>
    </w:p>
    <w:p w:rsidR="00555A40" w:rsidRPr="00CC7839" w:rsidRDefault="001C002D">
      <w:r w:rsidRPr="00CC7839">
        <w:t>Objednatel ztrácí právo na reklamaci Díla v následujících případech. Tyto případy se týkají Díla a celé soustavy svítidel veřejného osvětlení včetně všech jejich komponentů:</w:t>
      </w:r>
    </w:p>
    <w:p w:rsidR="00555A40" w:rsidRPr="00CC7839" w:rsidRDefault="001C002D">
      <w:pPr>
        <w:numPr>
          <w:ilvl w:val="1"/>
          <w:numId w:val="1"/>
        </w:numPr>
        <w:spacing w:after="0" w:line="240" w:lineRule="auto"/>
        <w:ind w:left="1133" w:hanging="566"/>
      </w:pPr>
      <w:r w:rsidRPr="00CC7839">
        <w:t>Připojení  zařízení s neodrušenou indukční zátěží do soustavy Svítidel.</w:t>
      </w:r>
    </w:p>
    <w:p w:rsidR="00555A40" w:rsidRPr="00CC7839" w:rsidRDefault="001C002D">
      <w:pPr>
        <w:numPr>
          <w:ilvl w:val="1"/>
          <w:numId w:val="1"/>
        </w:numPr>
        <w:spacing w:before="0" w:after="0" w:line="240" w:lineRule="auto"/>
        <w:ind w:left="1133" w:hanging="566"/>
      </w:pPr>
      <w:r w:rsidRPr="00CC7839">
        <w:t xml:space="preserve">Připojení zařízení způsobujícím přepětí v soustavě vyšší než 260 VAC trvající déle než 500 </w:t>
      </w:r>
      <w:proofErr w:type="spellStart"/>
      <w:r w:rsidRPr="00CC7839">
        <w:t>ms</w:t>
      </w:r>
      <w:proofErr w:type="spellEnd"/>
      <w:r w:rsidRPr="00CC7839">
        <w:t>.</w:t>
      </w:r>
    </w:p>
    <w:p w:rsidR="00555A40" w:rsidRPr="00CC7839" w:rsidRDefault="001C002D">
      <w:pPr>
        <w:numPr>
          <w:ilvl w:val="1"/>
          <w:numId w:val="1"/>
        </w:numPr>
        <w:spacing w:before="0" w:after="0" w:line="240" w:lineRule="auto"/>
        <w:ind w:left="1133" w:hanging="566"/>
      </w:pPr>
      <w:r w:rsidRPr="00CC7839">
        <w:t>V případě připojení jakéhokoliv zařízení bez platné certifikace EMC dle evropských direktiv a to i včetně jiných typů svítidel.</w:t>
      </w:r>
    </w:p>
    <w:p w:rsidR="00BA48B6" w:rsidRPr="00CC7839" w:rsidRDefault="001C002D">
      <w:pPr>
        <w:numPr>
          <w:ilvl w:val="1"/>
          <w:numId w:val="1"/>
        </w:numPr>
        <w:spacing w:before="0" w:line="240" w:lineRule="auto"/>
        <w:ind w:left="1133" w:hanging="566"/>
      </w:pPr>
      <w:r w:rsidRPr="00CC7839">
        <w:t xml:space="preserve">Připojení jakéhokoliv el. </w:t>
      </w:r>
      <w:proofErr w:type="gramStart"/>
      <w:r w:rsidRPr="00CC7839">
        <w:t>spotřebiče</w:t>
      </w:r>
      <w:proofErr w:type="gramEnd"/>
      <w:r w:rsidRPr="00CC7839">
        <w:t>, který není svítidlem veřejného osvětlení nebo není určen k připojení do soustavy svítidel veřejného osvětlení.</w:t>
      </w:r>
    </w:p>
    <w:p w:rsidR="00BA48B6" w:rsidRPr="00CC7839" w:rsidRDefault="00BA48B6">
      <w:pPr>
        <w:pStyle w:val="Nadpis2"/>
      </w:pPr>
      <w:bookmarkStart w:id="9" w:name="_qsh70q" w:colFirst="0" w:colLast="0"/>
      <w:bookmarkEnd w:id="9"/>
    </w:p>
    <w:p w:rsidR="00555A40" w:rsidRPr="00CC7839" w:rsidRDefault="001C002D">
      <w:pPr>
        <w:pStyle w:val="Nadpis2"/>
      </w:pPr>
      <w:r w:rsidRPr="00CC7839">
        <w:t>VII.</w:t>
      </w:r>
      <w:r w:rsidRPr="00CC7839">
        <w:tab/>
        <w:t>Závěrečná ustanovení</w:t>
      </w:r>
    </w:p>
    <w:p w:rsidR="00555A40" w:rsidRPr="00CC7839" w:rsidRDefault="001C002D">
      <w:r w:rsidRPr="00CC7839">
        <w:t>Tato Smlouva nabývá platnosti a účinnosti dnem jejího podpisu oběma Smluvními stranami.</w:t>
      </w:r>
    </w:p>
    <w:p w:rsidR="00555A40" w:rsidRPr="00CC7839" w:rsidRDefault="001C002D">
      <w:r w:rsidRPr="00CC7839">
        <w:t>Tato Smlouva a vztahy z ní vyplývající se řídí právním řádem České republiky, zejména příslušnými ustanoveními zák. č. 89/2012 Sb., občanský zákoník, ve znění pozdějších předpisů.</w:t>
      </w:r>
    </w:p>
    <w:p w:rsidR="00555A40" w:rsidRPr="00CC7839" w:rsidRDefault="001C002D">
      <w:r w:rsidRPr="00CC7839">
        <w:t>Smlouva byla vyhotovena ve dvou stejnopisech, z nichž každá Smluvní strana obdrží po jednom vyhotovení.</w:t>
      </w:r>
    </w:p>
    <w:p w:rsidR="00694A24" w:rsidRPr="00CC7839" w:rsidRDefault="00694A24">
      <w:r w:rsidRPr="00CC7839">
        <w:t>Tato smlouva nabývá platnosti dnem jejího podpisu smluvními stranami, účinnosti uveřejněním v registru smluv.</w:t>
      </w:r>
    </w:p>
    <w:p w:rsidR="00555A40" w:rsidRPr="00CC7839" w:rsidRDefault="001C002D">
      <w:r w:rsidRPr="00CC7839"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BA48B6" w:rsidRPr="00CC7839" w:rsidRDefault="00BA48B6" w:rsidP="00BA48B6">
      <w:r w:rsidRPr="00CC7839">
        <w:t>Viz příloha č. 1: Položkový rozpočet</w:t>
      </w:r>
    </w:p>
    <w:p w:rsidR="00BA48B6" w:rsidRPr="00CC7839" w:rsidRDefault="00BA48B6" w:rsidP="00BA48B6">
      <w:pPr>
        <w:spacing w:before="600" w:line="240" w:lineRule="auto"/>
      </w:pPr>
      <w:bookmarkStart w:id="10" w:name="_GoBack"/>
      <w:bookmarkEnd w:id="10"/>
    </w:p>
    <w:p w:rsidR="00BA48B6" w:rsidRPr="00CC7839" w:rsidRDefault="00BA48B6" w:rsidP="00BA48B6">
      <w:pPr>
        <w:spacing w:before="600" w:line="240" w:lineRule="auto"/>
      </w:pPr>
      <w:r w:rsidRPr="00CC7839">
        <w:t xml:space="preserve">V Praze </w:t>
      </w:r>
      <w:r w:rsidR="001C002D" w:rsidRPr="00CC7839">
        <w:t xml:space="preserve"> dne </w:t>
      </w:r>
      <w:r w:rsidR="00CC7839">
        <w:t xml:space="preserve">  </w:t>
      </w:r>
      <w:proofErr w:type="gramStart"/>
      <w:r w:rsidR="00CC7839">
        <w:t>30.8. 2021</w:t>
      </w:r>
      <w:proofErr w:type="gramEnd"/>
      <w:r w:rsidR="001C002D" w:rsidRPr="00CC7839">
        <w:tab/>
      </w:r>
      <w:r w:rsidR="001C002D" w:rsidRPr="00CC7839">
        <w:tab/>
      </w:r>
      <w:r w:rsidR="001C002D" w:rsidRPr="00CC7839">
        <w:tab/>
      </w:r>
      <w:r w:rsidRPr="00CC7839">
        <w:tab/>
      </w:r>
      <w:r w:rsidR="00CC7839">
        <w:tab/>
      </w:r>
      <w:r w:rsidR="001C002D" w:rsidRPr="00CC7839">
        <w:t>V</w:t>
      </w:r>
      <w:r w:rsidRPr="00CC7839">
        <w:t xml:space="preserve"> Praze </w:t>
      </w:r>
      <w:r w:rsidR="001C002D" w:rsidRPr="00CC7839">
        <w:t xml:space="preserve"> dne . . . . . . . . . . . .</w:t>
      </w:r>
    </w:p>
    <w:p w:rsidR="00CC00DF" w:rsidRPr="00CC7839" w:rsidRDefault="00CC00DF" w:rsidP="00BA48B6">
      <w:pPr>
        <w:spacing w:before="600" w:line="240" w:lineRule="auto"/>
      </w:pPr>
    </w:p>
    <w:p w:rsidR="00555A40" w:rsidRPr="00CC7839" w:rsidRDefault="001C002D" w:rsidP="00BA48B6">
      <w:pPr>
        <w:spacing w:before="600" w:line="240" w:lineRule="auto"/>
      </w:pPr>
      <w:r w:rsidRPr="00CC7839">
        <w:t xml:space="preserve">. . . . . . . . . . . . . . . . . . . . . . . . . . . . . .                       </w:t>
      </w:r>
      <w:r w:rsidRPr="00CC7839">
        <w:tab/>
      </w:r>
      <w:r w:rsidRPr="00CC7839">
        <w:tab/>
        <w:t xml:space="preserve">. . . . . . . . . . . . . . . . . . . . . . . . . . . . .                                       </w:t>
      </w:r>
    </w:p>
    <w:p w:rsidR="00555A40" w:rsidRDefault="001C002D">
      <w:r w:rsidRPr="00CC7839">
        <w:t xml:space="preserve">Objednatel                                                             </w:t>
      </w:r>
      <w:r w:rsidRPr="00CC7839">
        <w:tab/>
      </w:r>
      <w:r w:rsidRPr="00CC7839">
        <w:tab/>
        <w:t>Zhotovitel</w:t>
      </w:r>
    </w:p>
    <w:sectPr w:rsidR="00555A40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DA" w:rsidRDefault="002E27DA">
      <w:pPr>
        <w:spacing w:before="0" w:after="0" w:line="240" w:lineRule="auto"/>
      </w:pPr>
      <w:r>
        <w:separator/>
      </w:r>
    </w:p>
  </w:endnote>
  <w:endnote w:type="continuationSeparator" w:id="0">
    <w:p w:rsidR="002E27DA" w:rsidRDefault="002E2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ource Sans Pro">
    <w:altName w:val="Times New Roman"/>
    <w:charset w:val="00"/>
    <w:family w:val="auto"/>
    <w:pitch w:val="default"/>
  </w:font>
  <w:font w:name="Source Sans Pro Black">
    <w:altName w:val="Times New Roman"/>
    <w:charset w:val="00"/>
    <w:family w:val="auto"/>
    <w:pitch w:val="default"/>
  </w:font>
  <w:font w:name="Source Sans Pro SemiBold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40" w:rsidRDefault="001C002D">
    <w:pPr>
      <w:jc w:val="right"/>
    </w:pPr>
    <w:r>
      <w:fldChar w:fldCharType="begin"/>
    </w:r>
    <w:r>
      <w:instrText>PAGE</w:instrText>
    </w:r>
    <w:r>
      <w:fldChar w:fldCharType="separate"/>
    </w:r>
    <w:r w:rsidR="00CC7839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C783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DA" w:rsidRDefault="002E27DA">
      <w:pPr>
        <w:spacing w:before="0" w:after="0" w:line="240" w:lineRule="auto"/>
      </w:pPr>
      <w:r>
        <w:separator/>
      </w:r>
    </w:p>
  </w:footnote>
  <w:footnote w:type="continuationSeparator" w:id="0">
    <w:p w:rsidR="002E27DA" w:rsidRDefault="002E27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40" w:rsidRDefault="001C002D">
    <w:pPr>
      <w:spacing w:after="0" w:line="240" w:lineRule="auto"/>
      <w:ind w:right="5"/>
      <w:jc w:val="right"/>
      <w:rPr>
        <w:color w:val="B7B7B7"/>
      </w:rPr>
    </w:pPr>
    <w:r>
      <w:rPr>
        <w:color w:val="B7B7B7"/>
      </w:rPr>
      <w:t>SATHEA VISION s.r.o.</w:t>
    </w: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5848350</wp:posOffset>
          </wp:positionH>
          <wp:positionV relativeFrom="paragraph">
            <wp:posOffset>47626</wp:posOffset>
          </wp:positionV>
          <wp:extent cx="638175" cy="9620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653" r="9653"/>
                  <a:stretch>
                    <a:fillRect/>
                  </a:stretch>
                </pic:blipFill>
                <pic:spPr>
                  <a:xfrm>
                    <a:off x="0" y="0"/>
                    <a:ext cx="6381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5A40" w:rsidRDefault="001C002D">
    <w:pPr>
      <w:spacing w:before="0" w:after="0" w:line="240" w:lineRule="auto"/>
      <w:ind w:right="5"/>
      <w:jc w:val="right"/>
      <w:rPr>
        <w:color w:val="B7B7B7"/>
        <w:sz w:val="16"/>
        <w:szCs w:val="16"/>
      </w:rPr>
    </w:pPr>
    <w:r>
      <w:rPr>
        <w:color w:val="B7B7B7"/>
        <w:sz w:val="16"/>
        <w:szCs w:val="16"/>
      </w:rPr>
      <w:t>Sídlo: Boršov 280/2, 110 00 Praha 1 - Staré město</w:t>
    </w:r>
  </w:p>
  <w:p w:rsidR="00555A40" w:rsidRDefault="001C002D">
    <w:pPr>
      <w:spacing w:before="0" w:after="0" w:line="240" w:lineRule="auto"/>
      <w:ind w:right="5"/>
      <w:jc w:val="right"/>
      <w:rPr>
        <w:color w:val="B7B7B7"/>
        <w:sz w:val="16"/>
        <w:szCs w:val="16"/>
      </w:rPr>
    </w:pPr>
    <w:r>
      <w:rPr>
        <w:color w:val="B7B7B7"/>
        <w:sz w:val="16"/>
        <w:szCs w:val="16"/>
      </w:rPr>
      <w:t>Korespondence: Studentská 541/ 3, 160 00 Praha 6 - Dejvice</w:t>
    </w:r>
  </w:p>
  <w:p w:rsidR="00555A40" w:rsidRDefault="001C002D">
    <w:pPr>
      <w:spacing w:before="0" w:after="0" w:line="240" w:lineRule="auto"/>
      <w:ind w:right="5"/>
      <w:jc w:val="right"/>
      <w:rPr>
        <w:color w:val="B7B7B7"/>
        <w:sz w:val="16"/>
        <w:szCs w:val="16"/>
      </w:rPr>
    </w:pPr>
    <w:r>
      <w:rPr>
        <w:color w:val="B7B7B7"/>
        <w:sz w:val="16"/>
        <w:szCs w:val="16"/>
      </w:rPr>
      <w:t>IČ / DIČ: 24184870 / CZ24184870</w:t>
    </w:r>
  </w:p>
  <w:p w:rsidR="00555A40" w:rsidRDefault="001C002D">
    <w:pPr>
      <w:spacing w:before="0" w:after="0" w:line="240" w:lineRule="auto"/>
      <w:ind w:right="5"/>
      <w:jc w:val="right"/>
      <w:rPr>
        <w:color w:val="B7B7B7"/>
        <w:sz w:val="16"/>
        <w:szCs w:val="16"/>
      </w:rPr>
    </w:pPr>
    <w:r>
      <w:rPr>
        <w:color w:val="B7B7B7"/>
        <w:sz w:val="16"/>
        <w:szCs w:val="16"/>
      </w:rPr>
      <w:t>+420 775 203 065</w:t>
    </w:r>
  </w:p>
  <w:p w:rsidR="00555A40" w:rsidRDefault="001C002D">
    <w:pPr>
      <w:spacing w:before="0" w:after="0" w:line="240" w:lineRule="auto"/>
      <w:ind w:right="5"/>
      <w:jc w:val="right"/>
      <w:rPr>
        <w:color w:val="B7B7B7"/>
        <w:sz w:val="16"/>
        <w:szCs w:val="16"/>
      </w:rPr>
    </w:pPr>
    <w:r>
      <w:rPr>
        <w:color w:val="B7B7B7"/>
        <w:sz w:val="16"/>
        <w:szCs w:val="16"/>
      </w:rPr>
      <w:t>info@sathea.cz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78A3"/>
    <w:multiLevelType w:val="multilevel"/>
    <w:tmpl w:val="BC76B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⁻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40"/>
    <w:rsid w:val="00087510"/>
    <w:rsid w:val="001C002D"/>
    <w:rsid w:val="002238EB"/>
    <w:rsid w:val="002E27DA"/>
    <w:rsid w:val="00555A40"/>
    <w:rsid w:val="0056563F"/>
    <w:rsid w:val="0065168E"/>
    <w:rsid w:val="00694A24"/>
    <w:rsid w:val="00754C12"/>
    <w:rsid w:val="00BA48B6"/>
    <w:rsid w:val="00CC00DF"/>
    <w:rsid w:val="00C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C336"/>
  <w15:docId w15:val="{4F604C8A-6382-449E-938F-CD1502C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Source Sans Pro" w:hAnsi="Source Sans Pro" w:cs="Source Sans Pro"/>
        <w:lang w:val="cs" w:eastAsia="cs-CZ" w:bidi="ar-SA"/>
      </w:rPr>
    </w:rPrDefault>
    <w:pPrDefault>
      <w:pPr>
        <w:widowControl w:val="0"/>
        <w:spacing w:before="200" w:after="200" w:line="276" w:lineRule="auto"/>
        <w:ind w:right="3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480" w:line="240" w:lineRule="auto"/>
      <w:ind w:right="0"/>
      <w:outlineLvl w:val="0"/>
    </w:pPr>
    <w:rPr>
      <w:rFonts w:ascii="Source Sans Pro Black" w:eastAsia="Source Sans Pro Black" w:hAnsi="Source Sans Pro Black" w:cs="Source Sans Pro Black"/>
      <w:color w:val="000000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0" w:line="240" w:lineRule="auto"/>
      <w:ind w:right="0"/>
      <w:jc w:val="left"/>
      <w:outlineLvl w:val="1"/>
    </w:pPr>
    <w:rPr>
      <w:b/>
      <w:color w:val="000000"/>
      <w:sz w:val="24"/>
      <w:szCs w:val="24"/>
    </w:rPr>
  </w:style>
  <w:style w:type="paragraph" w:styleId="Nadpis3">
    <w:name w:val="heading 3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240" w:line="240" w:lineRule="auto"/>
      <w:ind w:right="0"/>
      <w:outlineLvl w:val="2"/>
    </w:pPr>
    <w:rPr>
      <w:b/>
      <w:color w:val="000000"/>
      <w:sz w:val="22"/>
      <w:szCs w:val="22"/>
    </w:rPr>
  </w:style>
  <w:style w:type="paragraph" w:styleId="Nadpis4">
    <w:name w:val="heading 4"/>
    <w:basedOn w:val="Normln"/>
    <w:next w:val="Normln"/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right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line="240" w:lineRule="auto"/>
      <w:ind w:right="0"/>
      <w:outlineLvl w:val="4"/>
    </w:pPr>
    <w:rPr>
      <w:rFonts w:ascii="Source Sans Pro SemiBold" w:eastAsia="Source Sans Pro SemiBold" w:hAnsi="Source Sans Pro SemiBold" w:cs="Source Sans Pro SemiBold"/>
      <w:color w:val="000000"/>
    </w:rPr>
  </w:style>
  <w:style w:type="paragraph" w:styleId="Nadpis6">
    <w:name w:val="heading 6"/>
    <w:basedOn w:val="Normln"/>
    <w:next w:val="Norml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160" w:after="0" w:line="240" w:lineRule="auto"/>
      <w:ind w:right="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widowControl/>
      <w:pBdr>
        <w:top w:val="nil"/>
        <w:left w:val="nil"/>
        <w:bottom w:val="nil"/>
        <w:right w:val="nil"/>
        <w:between w:val="nil"/>
      </w:pBdr>
      <w:spacing w:before="3000" w:after="480" w:line="240" w:lineRule="auto"/>
      <w:ind w:right="0"/>
      <w:jc w:val="center"/>
    </w:pPr>
    <w:rPr>
      <w:rFonts w:ascii="Source Sans Pro Black" w:eastAsia="Source Sans Pro Black" w:hAnsi="Source Sans Pro Black" w:cs="Source Sans Pro Black"/>
      <w:color w:val="000000"/>
      <w:sz w:val="36"/>
      <w:szCs w:val="36"/>
    </w:rPr>
  </w:style>
  <w:style w:type="paragraph" w:styleId="Podnadpis">
    <w:name w:val="Subtitle"/>
    <w:basedOn w:val="Normln"/>
    <w:next w:val="Normln"/>
    <w:pPr>
      <w:widowControl/>
      <w:pBdr>
        <w:top w:val="nil"/>
        <w:left w:val="nil"/>
        <w:bottom w:val="nil"/>
        <w:right w:val="nil"/>
        <w:between w:val="nil"/>
      </w:pBdr>
      <w:spacing w:before="0" w:after="480" w:line="240" w:lineRule="auto"/>
      <w:ind w:right="0"/>
      <w:jc w:val="center"/>
    </w:pPr>
    <w:rPr>
      <w:rFonts w:ascii="Source Sans Pro SemiBold" w:eastAsia="Source Sans Pro SemiBold" w:hAnsi="Source Sans Pro SemiBold" w:cs="Source Sans Pro SemiBold"/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875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510"/>
  </w:style>
  <w:style w:type="paragraph" w:styleId="Zpat">
    <w:name w:val="footer"/>
    <w:basedOn w:val="Normln"/>
    <w:link w:val="ZpatChar"/>
    <w:uiPriority w:val="99"/>
    <w:unhideWhenUsed/>
    <w:rsid w:val="000875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Novák Zdeněk UCHP</cp:lastModifiedBy>
  <cp:revision>7</cp:revision>
  <dcterms:created xsi:type="dcterms:W3CDTF">2021-08-26T06:23:00Z</dcterms:created>
  <dcterms:modified xsi:type="dcterms:W3CDTF">2021-08-30T09:41:00Z</dcterms:modified>
</cp:coreProperties>
</file>