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A4253" w14:textId="77777777" w:rsidR="00DE162C" w:rsidRDefault="0067719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Annex No. 5 – Personal data specification // </w:t>
      </w:r>
    </w:p>
    <w:p w14:paraId="584A4254" w14:textId="77777777" w:rsidR="00DE162C" w:rsidRDefault="0067719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>
        <w:rPr>
          <w:rFonts w:ascii="Georgia" w:eastAsia="Georgia" w:hAnsi="Georgia" w:cs="Georgia"/>
          <w:b/>
          <w:i/>
          <w:sz w:val="22"/>
          <w:szCs w:val="22"/>
        </w:rPr>
        <w:t>Додаток</w:t>
      </w:r>
      <w:proofErr w:type="spellEnd"/>
      <w:r>
        <w:rPr>
          <w:rFonts w:ascii="Georgia" w:eastAsia="Georgia" w:hAnsi="Georgia" w:cs="Georgia"/>
          <w:b/>
          <w:i/>
          <w:sz w:val="22"/>
          <w:szCs w:val="22"/>
        </w:rPr>
        <w:t xml:space="preserve"> 5 </w:t>
      </w:r>
      <w:r>
        <w:rPr>
          <w:rFonts w:ascii="Georgia" w:eastAsia="Georgia" w:hAnsi="Georgia" w:cs="Georgia"/>
          <w:b/>
          <w:sz w:val="22"/>
          <w:szCs w:val="22"/>
        </w:rPr>
        <w:t>–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sz w:val="22"/>
          <w:szCs w:val="22"/>
        </w:rPr>
        <w:t>Специфікація</w:t>
      </w:r>
      <w:proofErr w:type="spellEnd"/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sz w:val="22"/>
          <w:szCs w:val="22"/>
        </w:rPr>
        <w:t>персональних</w:t>
      </w:r>
      <w:proofErr w:type="spellEnd"/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sz w:val="22"/>
          <w:szCs w:val="22"/>
        </w:rPr>
        <w:t>даних</w:t>
      </w:r>
      <w:proofErr w:type="spellEnd"/>
    </w:p>
    <w:p w14:paraId="584A4255" w14:textId="77777777" w:rsidR="00DE162C" w:rsidRDefault="00DE162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</w:p>
    <w:p w14:paraId="584A4256" w14:textId="77777777" w:rsidR="00DE162C" w:rsidRDefault="00DE162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</w:p>
    <w:tbl>
      <w:tblPr>
        <w:tblStyle w:val="a"/>
        <w:tblW w:w="89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E162C" w14:paraId="584A4258" w14:textId="77777777">
        <w:trPr>
          <w:trHeight w:val="458"/>
          <w:jc w:val="center"/>
        </w:trPr>
        <w:tc>
          <w:tcPr>
            <w:tcW w:w="8931" w:type="dxa"/>
            <w:shd w:val="clear" w:color="auto" w:fill="D9D9D9"/>
          </w:tcPr>
          <w:p w14:paraId="584A4257" w14:textId="77777777" w:rsidR="00DE162C" w:rsidRDefault="0067719E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Purpose of data processing: // </w:t>
            </w:r>
            <w:proofErr w:type="spellStart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Мета</w:t>
            </w:r>
            <w:proofErr w:type="spellEnd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опрацювання</w:t>
            </w:r>
            <w:proofErr w:type="spellEnd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персональних</w:t>
            </w:r>
            <w:proofErr w:type="spellEnd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даних</w:t>
            </w:r>
            <w:proofErr w:type="spellEnd"/>
          </w:p>
        </w:tc>
      </w:tr>
      <w:tr w:rsidR="00DE162C" w14:paraId="584A4261" w14:textId="77777777">
        <w:trPr>
          <w:trHeight w:val="298"/>
          <w:jc w:val="center"/>
        </w:trPr>
        <w:tc>
          <w:tcPr>
            <w:tcW w:w="8931" w:type="dxa"/>
          </w:tcPr>
          <w:p w14:paraId="584A4259" w14:textId="77777777" w:rsidR="00DE162C" w:rsidRDefault="00DE162C">
            <w:pPr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584A425A" w14:textId="77777777" w:rsidR="00DE162C" w:rsidRDefault="0067719E">
            <w:pPr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Processing according to article 6 (1) (b) </w:t>
            </w:r>
            <w:hyperlink r:id="rId6">
              <w:r>
                <w:rPr>
                  <w:rFonts w:ascii="Georgia" w:eastAsia="Georgia" w:hAnsi="Georgia" w:cs="Georgia"/>
                  <w:i/>
                  <w:sz w:val="22"/>
                  <w:szCs w:val="22"/>
                </w:rPr>
                <w:t>REGULATION (EU) 2016/679 (GDPR)</w:t>
              </w:r>
            </w:hyperlink>
          </w:p>
          <w:p w14:paraId="584A425B" w14:textId="77777777" w:rsidR="00DE162C" w:rsidRDefault="00DE162C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584A425C" w14:textId="77777777" w:rsidR="00DE162C" w:rsidRDefault="0067719E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Processing is necessary for performance of purchase contract</w:t>
            </w:r>
          </w:p>
          <w:p w14:paraId="584A425D" w14:textId="77777777" w:rsidR="00DE162C" w:rsidRDefault="00DE162C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584A425E" w14:textId="77777777" w:rsidR="00DE162C" w:rsidRDefault="0067719E">
            <w:pPr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//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Опрацювання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згідно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зі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ст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. 6 (1) (b) РЕГЛАМЕНТУ (ЄС) 2016/679 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(GDPR)</w:t>
            </w:r>
          </w:p>
          <w:p w14:paraId="584A425F" w14:textId="77777777" w:rsidR="00DE162C" w:rsidRDefault="0067719E">
            <w:pPr>
              <w:rPr>
                <w:rFonts w:ascii="Georgia" w:eastAsia="Georgia" w:hAnsi="Georgia" w:cs="Georgia"/>
                <w:i/>
                <w:sz w:val="22"/>
                <w:szCs w:val="22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Опрацювання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даних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необхідне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для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виконання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договору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купівлі-продажу</w:t>
            </w:r>
            <w:proofErr w:type="spellEnd"/>
          </w:p>
          <w:p w14:paraId="584A4260" w14:textId="77777777" w:rsidR="00DE162C" w:rsidRDefault="00DE162C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DE162C" w14:paraId="584A4263" w14:textId="77777777">
        <w:trPr>
          <w:jc w:val="center"/>
        </w:trPr>
        <w:tc>
          <w:tcPr>
            <w:tcW w:w="8931" w:type="dxa"/>
            <w:shd w:val="clear" w:color="auto" w:fill="D9D9D9"/>
          </w:tcPr>
          <w:p w14:paraId="584A4262" w14:textId="77777777" w:rsidR="00DE162C" w:rsidRDefault="0067719E">
            <w:pPr>
              <w:spacing w:before="120" w:after="120"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Data subject categories: //</w:t>
            </w: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Категорії</w:t>
            </w:r>
            <w:proofErr w:type="spellEnd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суб’єктів</w:t>
            </w:r>
            <w:proofErr w:type="spellEnd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персональних</w:t>
            </w:r>
            <w:proofErr w:type="spellEnd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даних</w:t>
            </w:r>
            <w:proofErr w:type="spellEnd"/>
          </w:p>
        </w:tc>
      </w:tr>
      <w:tr w:rsidR="00DE162C" w14:paraId="584A426A" w14:textId="77777777">
        <w:trPr>
          <w:jc w:val="center"/>
        </w:trPr>
        <w:tc>
          <w:tcPr>
            <w:tcW w:w="8931" w:type="dxa"/>
          </w:tcPr>
          <w:p w14:paraId="584A4264" w14:textId="77777777" w:rsidR="00DE162C" w:rsidRDefault="00DE162C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584A4265" w14:textId="77777777" w:rsidR="00DE162C" w:rsidRDefault="0067719E">
            <w:pPr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employees and contact persons of the Czech Development Agency, the Embassy of the Czech Republic in Kyiv, the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Lviv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State University of Internal Affairs,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Lviv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>, Ukraine and other project partners of the Czech Development Agency in the recipient country</w:t>
            </w:r>
          </w:p>
          <w:p w14:paraId="584A4266" w14:textId="77777777" w:rsidR="00DE162C" w:rsidRDefault="00DE162C">
            <w:pPr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584A4267" w14:textId="77777777" w:rsidR="00DE162C" w:rsidRDefault="0067719E" w:rsidP="0067719E">
            <w:pPr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//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п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рацівники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й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контактні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особи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Чеського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агентства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розвитку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Посольства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Чеської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Республіки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Києві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Львівського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державного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університету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внутрішніх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справ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Львів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Україна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та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інші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проектні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партнери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Чеського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агентства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розвитку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країні-бенефіціарі</w:t>
            </w:r>
            <w:proofErr w:type="spellEnd"/>
          </w:p>
          <w:p w14:paraId="584A4268" w14:textId="77777777" w:rsidR="00DE162C" w:rsidRDefault="00DE162C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584A4269" w14:textId="77777777" w:rsidR="00DE162C" w:rsidRDefault="00DE162C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DE162C" w14:paraId="584A426C" w14:textId="77777777">
        <w:trPr>
          <w:jc w:val="center"/>
        </w:trPr>
        <w:tc>
          <w:tcPr>
            <w:tcW w:w="8931" w:type="dxa"/>
            <w:shd w:val="clear" w:color="auto" w:fill="D9D9D9"/>
          </w:tcPr>
          <w:p w14:paraId="584A426B" w14:textId="77777777" w:rsidR="00DE162C" w:rsidRDefault="0067719E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Personal data categories: // </w:t>
            </w:r>
            <w:proofErr w:type="spellStart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Категорії</w:t>
            </w:r>
            <w:proofErr w:type="spellEnd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персональних</w:t>
            </w:r>
            <w:proofErr w:type="spellEnd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i/>
                <w:sz w:val="22"/>
                <w:szCs w:val="22"/>
              </w:rPr>
              <w:t>даних</w:t>
            </w:r>
            <w:proofErr w:type="spellEnd"/>
          </w:p>
        </w:tc>
      </w:tr>
      <w:tr w:rsidR="00DE162C" w14:paraId="584A4273" w14:textId="77777777">
        <w:trPr>
          <w:jc w:val="center"/>
        </w:trPr>
        <w:tc>
          <w:tcPr>
            <w:tcW w:w="8931" w:type="dxa"/>
          </w:tcPr>
          <w:p w14:paraId="584A426D" w14:textId="77777777" w:rsidR="00DE162C" w:rsidRDefault="00DE162C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584A426E" w14:textId="77777777" w:rsidR="00DE162C" w:rsidRDefault="0067719E">
            <w:pPr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name, surname, registered office, address, date of birth, signature, email address, phone number, registration number, business licence, function</w:t>
            </w:r>
          </w:p>
          <w:p w14:paraId="584A426F" w14:textId="77777777" w:rsidR="00DE162C" w:rsidRDefault="00DE162C">
            <w:pPr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584A4270" w14:textId="77777777" w:rsidR="00DE162C" w:rsidRDefault="0067719E" w:rsidP="0067719E">
            <w:pPr>
              <w:jc w:val="both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//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ім’я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прізвище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юридична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адреса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фактична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адре</w:t>
            </w: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са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дата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народження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підпис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адреса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електронної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пошти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номер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телефона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номер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реєстрації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офіційний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дозвіл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на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провадження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комерційної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діяльності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посадові</w:t>
            </w:r>
            <w:proofErr w:type="spellEnd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2"/>
                <w:szCs w:val="22"/>
              </w:rPr>
              <w:t>обов’язки</w:t>
            </w:r>
            <w:proofErr w:type="spellEnd"/>
          </w:p>
          <w:p w14:paraId="584A4271" w14:textId="77777777" w:rsidR="00DE162C" w:rsidRDefault="00DE162C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584A4272" w14:textId="77777777" w:rsidR="00DE162C" w:rsidRDefault="00DE162C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14:paraId="584A4274" w14:textId="77777777" w:rsidR="00DE162C" w:rsidRDefault="00DE162C">
      <w:pPr>
        <w:tabs>
          <w:tab w:val="left" w:pos="5812"/>
        </w:tabs>
        <w:spacing w:before="120" w:after="120"/>
        <w:rPr>
          <w:rFonts w:ascii="Georgia" w:eastAsia="Georgia" w:hAnsi="Georgia" w:cs="Georgia"/>
          <w:sz w:val="18"/>
          <w:szCs w:val="18"/>
        </w:rPr>
      </w:pPr>
    </w:p>
    <w:sectPr w:rsidR="00DE162C">
      <w:headerReference w:type="default" r:id="rId7"/>
      <w:footerReference w:type="default" r:id="rId8"/>
      <w:pgSz w:w="11900" w:h="16840"/>
      <w:pgMar w:top="3119" w:right="1123" w:bottom="1985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A427C" w14:textId="77777777" w:rsidR="00000000" w:rsidRDefault="0067719E">
      <w:r>
        <w:separator/>
      </w:r>
    </w:p>
  </w:endnote>
  <w:endnote w:type="continuationSeparator" w:id="0">
    <w:p w14:paraId="584A427E" w14:textId="77777777" w:rsidR="00000000" w:rsidRDefault="0067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A4276" w14:textId="725D3281" w:rsidR="00DE162C" w:rsidRDefault="0067719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84A427A" wp14:editId="584A427B">
          <wp:simplePos x="0" y="0"/>
          <wp:positionH relativeFrom="column">
            <wp:posOffset>3810000</wp:posOffset>
          </wp:positionH>
          <wp:positionV relativeFrom="paragraph">
            <wp:posOffset>-185419</wp:posOffset>
          </wp:positionV>
          <wp:extent cx="2007235" cy="61468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723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4A4277" w14:textId="77777777" w:rsidR="00DE162C" w:rsidRDefault="00DE162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A4278" w14:textId="77777777" w:rsidR="00000000" w:rsidRDefault="0067719E">
      <w:r>
        <w:separator/>
      </w:r>
    </w:p>
  </w:footnote>
  <w:footnote w:type="continuationSeparator" w:id="0">
    <w:p w14:paraId="584A427A" w14:textId="77777777" w:rsidR="00000000" w:rsidRDefault="0067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A4275" w14:textId="77777777" w:rsidR="00DE162C" w:rsidRDefault="0067719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84A4278" wp14:editId="584A4279">
          <wp:simplePos x="0" y="0"/>
          <wp:positionH relativeFrom="column">
            <wp:posOffset>-1081404</wp:posOffset>
          </wp:positionH>
          <wp:positionV relativeFrom="paragraph">
            <wp:posOffset>-495934</wp:posOffset>
          </wp:positionV>
          <wp:extent cx="7558405" cy="123952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239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2C"/>
    <w:rsid w:val="0067719E"/>
    <w:rsid w:val="00D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4253"/>
  <w15:docId w15:val="{2AF17B13-FF4A-405E-977A-0CFBE523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65F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CS/TXT/PDF/?uri=CELEX:32016R0679&amp;from=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Hajčiarová</cp:lastModifiedBy>
  <cp:revision>2</cp:revision>
  <dcterms:created xsi:type="dcterms:W3CDTF">2021-02-17T10:28:00Z</dcterms:created>
  <dcterms:modified xsi:type="dcterms:W3CDTF">2021-02-17T10:28:00Z</dcterms:modified>
</cp:coreProperties>
</file>