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30" w:rsidRDefault="00E027E5">
      <w:pPr>
        <w:pStyle w:val="Heading110"/>
        <w:framePr w:wrap="none" w:vAnchor="page" w:hAnchor="page" w:x="211" w:y="472"/>
        <w:shd w:val="clear" w:color="auto" w:fill="auto"/>
        <w:spacing w:after="0"/>
        <w:ind w:left="600"/>
      </w:pPr>
      <w:bookmarkStart w:id="0" w:name="bookmark0"/>
      <w:r>
        <w:t>Soupis víceprací na akci" Rekonstrukce osvětlení 3.NP - 2.etapa"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8"/>
        <w:gridCol w:w="1464"/>
        <w:gridCol w:w="1416"/>
        <w:gridCol w:w="1214"/>
        <w:gridCol w:w="874"/>
        <w:gridCol w:w="1166"/>
        <w:gridCol w:w="1162"/>
      </w:tblGrid>
      <w:tr w:rsidR="006223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28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78" w:lineRule="exact"/>
              <w:ind w:left="660"/>
            </w:pPr>
            <w:r>
              <w:rPr>
                <w:rStyle w:val="Bodytext28pt"/>
              </w:rPr>
              <w:t>Označení dodávky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80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J.cena</w:t>
            </w:r>
          </w:p>
        </w:tc>
        <w:tc>
          <w:tcPr>
            <w:tcW w:w="2088" w:type="dxa"/>
            <w:gridSpan w:val="2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78" w:lineRule="exact"/>
              <w:ind w:right="100"/>
              <w:jc w:val="center"/>
            </w:pPr>
            <w:r>
              <w:rPr>
                <w:rStyle w:val="Bodytext28pt"/>
              </w:rPr>
              <w:t>Cena %DPH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78" w:lineRule="exact"/>
              <w:ind w:right="280"/>
              <w:jc w:val="right"/>
            </w:pPr>
            <w:r>
              <w:rPr>
                <w:rStyle w:val="Bodytext28pt"/>
              </w:rPr>
              <w:t>DPH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Kč Celkem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0" w:lineRule="exact"/>
              <w:ind w:left="660" w:hanging="660"/>
            </w:pPr>
            <w:r>
              <w:rPr>
                <w:rStyle w:val="Bodytext21"/>
              </w:rPr>
              <w:t>NP1 Nástěnný rozvaděč, 19", v. 9U (491mm), h. 500mm, š. 600mm, nedělený,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760"/>
            </w:pPr>
            <w:r>
              <w:rPr>
                <w:rStyle w:val="Bodytext21"/>
              </w:rPr>
              <w:t>1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3814,00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3814,00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800,94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4614,94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after="60" w:line="156" w:lineRule="exact"/>
              <w:jc w:val="both"/>
            </w:pPr>
            <w:r>
              <w:rPr>
                <w:rStyle w:val="Bodytext21"/>
              </w:rPr>
              <w:t>NP2 Optický kabel,</w:t>
            </w:r>
            <w:r>
              <w:rPr>
                <w:rStyle w:val="Bodytext21"/>
              </w:rPr>
              <w:t xml:space="preserve"> UDU - gelový, 8x9um</w:t>
            </w:r>
          </w:p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before="60" w:line="156" w:lineRule="exact"/>
              <w:ind w:left="660"/>
            </w:pPr>
            <w:r>
              <w:rPr>
                <w:rStyle w:val="Bodytext21"/>
              </w:rPr>
              <w:t>OS2, univerzální, LSHF Eca, černý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75 m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17,00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1275,00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267,75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1542,75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after="60" w:line="156" w:lineRule="exact"/>
              <w:jc w:val="both"/>
            </w:pPr>
            <w:r>
              <w:rPr>
                <w:rStyle w:val="Bodytext21"/>
              </w:rPr>
              <w:t>NP3 Optická vana, výsuvná, 1U, 19", hl.</w:t>
            </w:r>
          </w:p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before="60" w:line="156" w:lineRule="exact"/>
              <w:ind w:left="660"/>
            </w:pPr>
            <w:r>
              <w:rPr>
                <w:rStyle w:val="Bodytext21"/>
              </w:rPr>
              <w:t>250mm, bez čela, včetně trnu,černá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760"/>
            </w:pPr>
            <w:r>
              <w:rPr>
                <w:rStyle w:val="Bodytext21"/>
              </w:rPr>
              <w:t>2 ks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756,00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1512,00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317,52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1829,52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after="80" w:line="156" w:lineRule="exact"/>
              <w:jc w:val="both"/>
            </w:pPr>
            <w:r>
              <w:rPr>
                <w:rStyle w:val="Bodytext21"/>
              </w:rPr>
              <w:t>NP4 Čelo optické vany Conteg, 8 pozic SC,</w:t>
            </w:r>
          </w:p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before="80" w:line="156" w:lineRule="exact"/>
              <w:ind w:left="660"/>
            </w:pPr>
            <w:r>
              <w:rPr>
                <w:rStyle w:val="Bodytext21"/>
              </w:rPr>
              <w:t xml:space="preserve">1U, </w:t>
            </w:r>
            <w:r>
              <w:rPr>
                <w:rStyle w:val="Bodytext21"/>
              </w:rPr>
              <w:t>černé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128,00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256,00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53,76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309,76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NP5 Optická spojka LC, duplex, SM, modrá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8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30,00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240,00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50,40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290,40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5" w:lineRule="exact"/>
              <w:ind w:left="660" w:hanging="660"/>
            </w:pPr>
            <w:r>
              <w:rPr>
                <w:rStyle w:val="Bodytext21"/>
              </w:rPr>
              <w:t xml:space="preserve">NP6 </w:t>
            </w:r>
            <w:r w:rsidRPr="00115E65">
              <w:rPr>
                <w:rStyle w:val="Bodytext21"/>
                <w:lang w:eastAsia="en-US" w:bidi="en-US"/>
              </w:rPr>
              <w:t xml:space="preserve">Pigtail </w:t>
            </w:r>
            <w:r>
              <w:rPr>
                <w:rStyle w:val="Bodytext21"/>
              </w:rPr>
              <w:t>LC/PC, 9um SM, vlákno G652D, délka 1m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16 te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25,00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400,00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84,00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484,00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tabs>
                <w:tab w:val="left" w:pos="514"/>
              </w:tabs>
              <w:spacing w:line="235" w:lineRule="exact"/>
              <w:jc w:val="both"/>
            </w:pPr>
            <w:r>
              <w:rPr>
                <w:rStyle w:val="Bodytext21"/>
              </w:rPr>
              <w:t>NP7</w:t>
            </w:r>
            <w:r>
              <w:rPr>
                <w:rStyle w:val="Bodytext21"/>
              </w:rPr>
              <w:tab/>
              <w:t>Teplem smrštitelná ochrana optického</w:t>
            </w:r>
          </w:p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5" w:lineRule="exact"/>
              <w:ind w:left="660"/>
            </w:pPr>
            <w:r>
              <w:rPr>
                <w:rStyle w:val="Bodytext21"/>
              </w:rPr>
              <w:t xml:space="preserve">sváru, </w:t>
            </w:r>
            <w:r>
              <w:rPr>
                <w:rStyle w:val="Bodytext21"/>
              </w:rPr>
              <w:t>2,5x60mm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16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8,00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128,00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26,88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154,88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5" w:lineRule="exact"/>
              <w:ind w:left="660" w:hanging="660"/>
            </w:pPr>
            <w:r>
              <w:rPr>
                <w:rStyle w:val="Bodytext21"/>
              </w:rPr>
              <w:t>NP8 Kazeta na sváry, 170x116x8mm, držáky pro 24 smršťovacích ochran, černá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111,00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222,00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46,62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268,62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NP9 Víčko optické kazety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34,00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68,00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14,28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82,28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5" w:lineRule="exact"/>
              <w:ind w:left="660" w:hanging="660"/>
            </w:pPr>
            <w:r>
              <w:rPr>
                <w:rStyle w:val="Bodytext21"/>
              </w:rPr>
              <w:t>NP10 Průchodka a matice, PG16,10 - 14mm,</w:t>
            </w:r>
            <w:r>
              <w:rPr>
                <w:rStyle w:val="Bodytext21"/>
              </w:rPr>
              <w:t xml:space="preserve"> IP68,šedá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10,00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20,00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4,20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24,20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NP11 Záslepka a matice, PG16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4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8,00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32,00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6,72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38,72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NP12 Záslepka a matice, PG11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7,00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14,00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2,94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16,94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NP13 Lišta vkládací 40x20 včetně příslušenství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12 m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66,60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799,20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167,83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967,03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5" w:lineRule="exact"/>
              <w:ind w:left="660" w:hanging="660"/>
            </w:pPr>
            <w:r>
              <w:rPr>
                <w:rStyle w:val="Bodytext21"/>
              </w:rPr>
              <w:t xml:space="preserve">NP14 </w:t>
            </w:r>
            <w:r>
              <w:rPr>
                <w:rStyle w:val="Bodytext21"/>
              </w:rPr>
              <w:t>Elektroinstalační, úložný a spotřební materiál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20"/>
              <w:jc w:val="right"/>
            </w:pPr>
            <w:r>
              <w:rPr>
                <w:rStyle w:val="Bodytext21"/>
              </w:rPr>
              <w:t>1 kpl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365,80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365,80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76,82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442,62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5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NP15 Montáž optikého konektoru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16 ks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500,00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8000,00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1680,00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9680,00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NP16 Instalace rozvaděče, kabeláže a lišt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20"/>
              <w:jc w:val="right"/>
            </w:pPr>
            <w:r>
              <w:rPr>
                <w:rStyle w:val="Bodytext21"/>
              </w:rPr>
              <w:t>1 kpl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5250,00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5250,00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1102,50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6352,50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5" w:lineRule="exact"/>
              <w:ind w:left="740" w:hanging="740"/>
            </w:pPr>
            <w:r>
              <w:rPr>
                <w:rStyle w:val="Bodytext21"/>
              </w:rPr>
              <w:t xml:space="preserve">NP17 Dodávka </w:t>
            </w:r>
            <w:r>
              <w:rPr>
                <w:rStyle w:val="Bodytext21"/>
              </w:rPr>
              <w:t>a zazdění zárubně + stropní sonda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20"/>
              <w:jc w:val="right"/>
            </w:pPr>
            <w:r>
              <w:rPr>
                <w:rStyle w:val="Bodytext21"/>
              </w:rPr>
              <w:t>1 kpl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560"/>
              <w:jc w:val="right"/>
            </w:pPr>
            <w:r>
              <w:rPr>
                <w:rStyle w:val="Bodytext21"/>
              </w:rPr>
              <w:t>5344,00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5344,00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80"/>
              <w:jc w:val="right"/>
            </w:pPr>
            <w:r>
              <w:rPr>
                <w:rStyle w:val="Bodytext21"/>
              </w:rPr>
              <w:t>1122,24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140"/>
              <w:jc w:val="right"/>
            </w:pPr>
            <w:r>
              <w:rPr>
                <w:rStyle w:val="Bodytext21"/>
              </w:rPr>
              <w:t>6466,24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5" w:lineRule="exact"/>
              <w:ind w:left="740" w:hanging="740"/>
            </w:pPr>
            <w:r>
              <w:rPr>
                <w:rStyle w:val="Bodytext21"/>
              </w:rPr>
              <w:t>NP18 Lešení pomocné pro objekty pozemních staveb s lešeňovou podlahou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760"/>
            </w:pPr>
            <w:r>
              <w:rPr>
                <w:rStyle w:val="Bodytext21"/>
              </w:rPr>
              <w:t>50 m2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60"/>
              <w:jc w:val="center"/>
            </w:pPr>
            <w:r>
              <w:rPr>
                <w:rStyle w:val="Bodytext21"/>
              </w:rPr>
              <w:t>90,00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4500,00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14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1"/>
              </w:rPr>
              <w:t>945,00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5445,00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230" w:lineRule="exact"/>
              <w:ind w:left="20"/>
              <w:jc w:val="center"/>
            </w:pPr>
            <w:r>
              <w:rPr>
                <w:rStyle w:val="Bodytext21"/>
              </w:rPr>
              <w:t xml:space="preserve">NP19 Otlučení (osekání) vnitřní vápenné nebo vápenocementové omítky </w:t>
            </w:r>
            <w:r>
              <w:rPr>
                <w:rStyle w:val="Bodytext21"/>
              </w:rPr>
              <w:t>stropů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760"/>
            </w:pPr>
            <w:r>
              <w:rPr>
                <w:rStyle w:val="Bodytext21"/>
              </w:rPr>
              <w:t>50 m2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60"/>
              <w:jc w:val="center"/>
            </w:pPr>
            <w:r>
              <w:rPr>
                <w:rStyle w:val="Bodytext21"/>
              </w:rPr>
              <w:t>190,00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9500,00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1"/>
              </w:rPr>
              <w:t>1995,00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11495,00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00"/>
            </w:pPr>
            <w:r>
              <w:rPr>
                <w:rStyle w:val="Bodytext21"/>
              </w:rPr>
              <w:t>NP20 Demontáž Kari sítí podhledu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20"/>
              <w:jc w:val="right"/>
            </w:pPr>
            <w:r>
              <w:rPr>
                <w:rStyle w:val="Bodytext21"/>
              </w:rPr>
              <w:t>50 m2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60"/>
              <w:jc w:val="center"/>
            </w:pPr>
            <w:r>
              <w:rPr>
                <w:rStyle w:val="Bodytext21"/>
              </w:rPr>
              <w:t>100,00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5000,00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1"/>
              </w:rPr>
              <w:t>1050,00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6050,00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after="60" w:line="156" w:lineRule="exact"/>
              <w:ind w:left="200"/>
            </w:pPr>
            <w:r>
              <w:rPr>
                <w:rStyle w:val="Bodytext21"/>
              </w:rPr>
              <w:t>NP21 Vnitrostaveništní doprava suti a</w:t>
            </w:r>
          </w:p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before="60" w:line="156" w:lineRule="exact"/>
              <w:ind w:left="740"/>
            </w:pPr>
            <w:r>
              <w:rPr>
                <w:rStyle w:val="Bodytext21"/>
              </w:rPr>
              <w:t>vybouraných hmot pro budovy v přes 6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2,5 t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60"/>
              <w:jc w:val="center"/>
            </w:pPr>
            <w:r>
              <w:rPr>
                <w:rStyle w:val="Bodytext21"/>
              </w:rPr>
              <w:t>1639,00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4097,50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1"/>
              </w:rPr>
              <w:t>860,48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4957,98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after="80" w:line="156" w:lineRule="exact"/>
              <w:ind w:left="200"/>
            </w:pPr>
            <w:r>
              <w:rPr>
                <w:rStyle w:val="Bodytext21"/>
              </w:rPr>
              <w:t xml:space="preserve">NP22 Odvoz </w:t>
            </w:r>
            <w:r>
              <w:rPr>
                <w:rStyle w:val="Bodytext21"/>
              </w:rPr>
              <w:t>suti a vybouraných hmot na</w:t>
            </w:r>
          </w:p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before="80" w:line="156" w:lineRule="exact"/>
              <w:ind w:left="740"/>
            </w:pPr>
            <w:r>
              <w:rPr>
                <w:rStyle w:val="Bodytext21"/>
              </w:rPr>
              <w:t>skládku nebo meziskládku do 1 km se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2,5 t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60"/>
              <w:jc w:val="center"/>
            </w:pPr>
            <w:r>
              <w:rPr>
                <w:rStyle w:val="Bodytext21"/>
              </w:rPr>
              <w:t>265,00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662,50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1"/>
              </w:rPr>
              <w:t>139,13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801,63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after="60" w:line="156" w:lineRule="exact"/>
              <w:ind w:left="200"/>
            </w:pPr>
            <w:r>
              <w:rPr>
                <w:rStyle w:val="Bodytext21"/>
              </w:rPr>
              <w:t>NP23 Poplatek za uložení na skládce</w:t>
            </w:r>
          </w:p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before="60" w:line="156" w:lineRule="exact"/>
              <w:ind w:left="740"/>
            </w:pPr>
            <w:r>
              <w:rPr>
                <w:rStyle w:val="Bodytext21"/>
              </w:rPr>
              <w:t>(skládkovné) stavebního odpadu ze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40"/>
              <w:jc w:val="center"/>
            </w:pPr>
            <w:r>
              <w:rPr>
                <w:rStyle w:val="Bodytext21"/>
              </w:rPr>
              <w:t>2,5 t</w:t>
            </w:r>
          </w:p>
        </w:tc>
        <w:tc>
          <w:tcPr>
            <w:tcW w:w="141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60"/>
              <w:jc w:val="center"/>
            </w:pPr>
            <w:r>
              <w:rPr>
                <w:rStyle w:val="Bodytext21"/>
              </w:rPr>
              <w:t>1540,00</w:t>
            </w:r>
          </w:p>
        </w:tc>
        <w:tc>
          <w:tcPr>
            <w:tcW w:w="121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3850,00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1"/>
              </w:rPr>
              <w:t>808,50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4658,50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52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00"/>
            </w:pPr>
            <w:r>
              <w:rPr>
                <w:rStyle w:val="Bodytext21"/>
              </w:rPr>
              <w:t>NP24 Lešení, úklid a přesun hmot</w:t>
            </w:r>
          </w:p>
        </w:tc>
        <w:tc>
          <w:tcPr>
            <w:tcW w:w="146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320"/>
              <w:jc w:val="right"/>
            </w:pPr>
            <w:r>
              <w:rPr>
                <w:rStyle w:val="Bodytext21"/>
              </w:rPr>
              <w:t>1 kpl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60"/>
              <w:jc w:val="center"/>
            </w:pPr>
            <w:r>
              <w:rPr>
                <w:rStyle w:val="Bodytext21"/>
              </w:rPr>
              <w:t>6000,00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6000,00</w:t>
            </w:r>
          </w:p>
        </w:tc>
        <w:tc>
          <w:tcPr>
            <w:tcW w:w="874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ind w:right="220"/>
              <w:jc w:val="right"/>
            </w:pPr>
            <w:r>
              <w:rPr>
                <w:rStyle w:val="Bodytext21"/>
              </w:rPr>
              <w:t>1260,00</w:t>
            </w:r>
          </w:p>
        </w:tc>
        <w:tc>
          <w:tcPr>
            <w:tcW w:w="1162" w:type="dxa"/>
            <w:shd w:val="clear" w:color="auto" w:fill="FFFFFF"/>
          </w:tcPr>
          <w:p w:rsidR="00622330" w:rsidRDefault="00E027E5">
            <w:pPr>
              <w:pStyle w:val="Bodytext20"/>
              <w:framePr w:w="10824" w:h="14928" w:wrap="none" w:vAnchor="page" w:hAnchor="page" w:x="211" w:y="1339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7260,00</w:t>
            </w:r>
          </w:p>
        </w:tc>
      </w:tr>
    </w:tbl>
    <w:p w:rsidR="00622330" w:rsidRDefault="00622330">
      <w:pPr>
        <w:rPr>
          <w:sz w:val="2"/>
          <w:szCs w:val="2"/>
        </w:rPr>
        <w:sectPr w:rsidR="006223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16"/>
        <w:gridCol w:w="1272"/>
        <w:gridCol w:w="1181"/>
        <w:gridCol w:w="1430"/>
        <w:gridCol w:w="648"/>
        <w:gridCol w:w="1296"/>
        <w:gridCol w:w="1450"/>
      </w:tblGrid>
      <w:tr w:rsidR="006223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38" w:type="dxa"/>
            <w:shd w:val="clear" w:color="auto" w:fill="FFFFFF"/>
          </w:tcPr>
          <w:p w:rsidR="00622330" w:rsidRDefault="00622330">
            <w:pPr>
              <w:framePr w:w="11030" w:h="3854" w:wrap="none" w:vAnchor="page" w:hAnchor="page" w:x="297" w:y="187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Vedlejší a ostatní náklady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380"/>
              <w:jc w:val="right"/>
            </w:pPr>
            <w:r>
              <w:rPr>
                <w:rStyle w:val="Bodytext21"/>
              </w:rPr>
              <w:t>1 kpl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60"/>
              <w:jc w:val="center"/>
            </w:pPr>
            <w:r>
              <w:rPr>
                <w:rStyle w:val="Bodytext21"/>
              </w:rPr>
              <w:t>2500,00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2500,00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left="160"/>
            </w:pPr>
            <w:r>
              <w:rPr>
                <w:rStyle w:val="Bodytext21"/>
              </w:rPr>
              <w:t>21%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1"/>
              </w:rPr>
              <w:t>525,00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260"/>
              <w:jc w:val="center"/>
            </w:pPr>
            <w:r>
              <w:rPr>
                <w:rStyle w:val="Bodytext21"/>
              </w:rPr>
              <w:t>3025,00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3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224" w:lineRule="exact"/>
              <w:jc w:val="right"/>
            </w:pPr>
            <w:r>
              <w:rPr>
                <w:rStyle w:val="Bodytext210pt"/>
                <w:vertAlign w:val="superscript"/>
              </w:rPr>
              <w:t>7</w:t>
            </w:r>
          </w:p>
        </w:tc>
        <w:tc>
          <w:tcPr>
            <w:tcW w:w="3216" w:type="dxa"/>
            <w:shd w:val="clear" w:color="auto" w:fill="FFFFFF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after="100" w:line="156" w:lineRule="exact"/>
              <w:jc w:val="both"/>
            </w:pPr>
            <w:r>
              <w:rPr>
                <w:rStyle w:val="Bodytext21"/>
              </w:rPr>
              <w:t>Zednické práce</w:t>
            </w:r>
          </w:p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before="100" w:line="156" w:lineRule="exact"/>
              <w:jc w:val="both"/>
            </w:pPr>
            <w:r>
              <w:rPr>
                <w:rStyle w:val="Bodytext21"/>
              </w:rPr>
              <w:t>(zapravení,štukování,výmalba)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380"/>
              <w:jc w:val="right"/>
            </w:pPr>
            <w:r>
              <w:rPr>
                <w:rStyle w:val="Bodytext21"/>
              </w:rPr>
              <w:t>20 m2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60"/>
              <w:jc w:val="center"/>
            </w:pPr>
            <w:r>
              <w:rPr>
                <w:rStyle w:val="Bodytext21"/>
              </w:rPr>
              <w:t>215,00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4300,00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left="160"/>
            </w:pPr>
            <w:r>
              <w:rPr>
                <w:rStyle w:val="Bodytext21"/>
              </w:rPr>
              <w:t>21%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1"/>
              </w:rPr>
              <w:t>903,00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340"/>
              <w:jc w:val="right"/>
            </w:pPr>
            <w:r>
              <w:rPr>
                <w:rStyle w:val="Bodytext21"/>
              </w:rPr>
              <w:t>5203,00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jc w:val="right"/>
            </w:pPr>
            <w:r>
              <w:rPr>
                <w:rStyle w:val="Bodytext21"/>
              </w:rPr>
              <w:t>4.12</w:t>
            </w:r>
          </w:p>
        </w:tc>
        <w:tc>
          <w:tcPr>
            <w:tcW w:w="32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 xml:space="preserve">Rastr pro kazetový strop včetně </w:t>
            </w:r>
            <w:r>
              <w:rPr>
                <w:rStyle w:val="Bodytext21"/>
              </w:rPr>
              <w:t>montáže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380"/>
              <w:jc w:val="right"/>
            </w:pPr>
            <w:r>
              <w:rPr>
                <w:rStyle w:val="Bodytext21"/>
              </w:rPr>
              <w:t>50 m2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60"/>
              <w:jc w:val="center"/>
            </w:pPr>
            <w:r>
              <w:rPr>
                <w:rStyle w:val="Bodytext21"/>
              </w:rPr>
              <w:t>422,00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21100,00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left="160"/>
            </w:pPr>
            <w:r>
              <w:rPr>
                <w:rStyle w:val="Bodytext21"/>
              </w:rPr>
              <w:t>21%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1"/>
              </w:rPr>
              <w:t>4431,00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260"/>
              <w:jc w:val="center"/>
            </w:pPr>
            <w:r>
              <w:rPr>
                <w:rStyle w:val="Bodytext21"/>
              </w:rPr>
              <w:t>25531,00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4.13</w:t>
            </w:r>
          </w:p>
        </w:tc>
        <w:tc>
          <w:tcPr>
            <w:tcW w:w="32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Kazety Thermatex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380"/>
              <w:jc w:val="right"/>
            </w:pPr>
            <w:r>
              <w:rPr>
                <w:rStyle w:val="Bodytext21"/>
              </w:rPr>
              <w:t>50 m2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60"/>
              <w:jc w:val="center"/>
            </w:pPr>
            <w:r>
              <w:rPr>
                <w:rStyle w:val="Bodytext21"/>
              </w:rPr>
              <w:t>410,00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20500,00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left="160"/>
            </w:pPr>
            <w:r>
              <w:rPr>
                <w:rStyle w:val="Bodytext21"/>
              </w:rPr>
              <w:t>21%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1"/>
              </w:rPr>
              <w:t>4305,00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260"/>
              <w:jc w:val="center"/>
            </w:pPr>
            <w:r>
              <w:rPr>
                <w:rStyle w:val="Bodytext21"/>
              </w:rPr>
              <w:t>24805,00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212" w:lineRule="exact"/>
            </w:pPr>
            <w:r>
              <w:rPr>
                <w:rStyle w:val="Bodytext295pt"/>
              </w:rPr>
              <w:t>7</w:t>
            </w:r>
          </w:p>
        </w:tc>
        <w:tc>
          <w:tcPr>
            <w:tcW w:w="3216" w:type="dxa"/>
            <w:shd w:val="clear" w:color="auto" w:fill="FFFFFF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jc w:val="both"/>
            </w:pPr>
            <w:r>
              <w:rPr>
                <w:rStyle w:val="Bodytext21"/>
              </w:rPr>
              <w:t>Dopravní náklady</w:t>
            </w:r>
          </w:p>
        </w:tc>
        <w:tc>
          <w:tcPr>
            <w:tcW w:w="1272" w:type="dxa"/>
            <w:shd w:val="clear" w:color="auto" w:fill="FFFFFF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380"/>
              <w:jc w:val="right"/>
            </w:pPr>
            <w:r>
              <w:rPr>
                <w:rStyle w:val="Bodytext21"/>
              </w:rPr>
              <w:t>100 km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60"/>
              <w:jc w:val="center"/>
            </w:pPr>
            <w:r>
              <w:rPr>
                <w:rStyle w:val="Bodytext21"/>
              </w:rPr>
              <w:t>13,00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1300,00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left="160"/>
            </w:pPr>
            <w:r>
              <w:rPr>
                <w:rStyle w:val="Bodytext21"/>
              </w:rPr>
              <w:t>21%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1"/>
              </w:rPr>
              <w:t>273,00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260"/>
              <w:jc w:val="center"/>
            </w:pPr>
            <w:r>
              <w:rPr>
                <w:rStyle w:val="Bodytext21"/>
              </w:rPr>
              <w:t>1573,00</w:t>
            </w:r>
          </w:p>
        </w:tc>
      </w:tr>
      <w:tr w:rsidR="00622330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622330" w:rsidRDefault="00622330">
            <w:pPr>
              <w:framePr w:w="11030" w:h="3854" w:wrap="none" w:vAnchor="page" w:hAnchor="page" w:x="297" w:y="187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after="100" w:line="156" w:lineRule="exact"/>
              <w:jc w:val="both"/>
            </w:pPr>
            <w:r>
              <w:rPr>
                <w:rStyle w:val="Bodytext21"/>
              </w:rPr>
              <w:t>Součet položek</w:t>
            </w:r>
          </w:p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tabs>
                <w:tab w:val="left" w:leader="underscore" w:pos="3110"/>
              </w:tabs>
              <w:spacing w:before="100" w:line="212" w:lineRule="exact"/>
              <w:jc w:val="both"/>
            </w:pPr>
            <w:r>
              <w:rPr>
                <w:rStyle w:val="Bodytext295pt"/>
              </w:rPr>
              <w:t>CELKEM</w:t>
            </w:r>
            <w:r>
              <w:rPr>
                <w:rStyle w:val="Bodytext295pt"/>
              </w:rPr>
              <w:tab/>
            </w:r>
          </w:p>
        </w:tc>
        <w:tc>
          <w:tcPr>
            <w:tcW w:w="1272" w:type="dxa"/>
            <w:shd w:val="clear" w:color="auto" w:fill="FFFFFF"/>
          </w:tcPr>
          <w:p w:rsidR="00622330" w:rsidRDefault="00622330">
            <w:pPr>
              <w:framePr w:w="11030" w:h="3854" w:wrap="none" w:vAnchor="page" w:hAnchor="page" w:x="297" w:y="187"/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:rsidR="00622330" w:rsidRDefault="00622330">
            <w:pPr>
              <w:framePr w:w="11030" w:h="3854" w:wrap="none" w:vAnchor="page" w:hAnchor="page" w:x="297" w:y="187"/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Bodytext21"/>
              </w:rPr>
              <w:t>111 050,00 Kč</w:t>
            </w:r>
          </w:p>
        </w:tc>
        <w:tc>
          <w:tcPr>
            <w:tcW w:w="648" w:type="dxa"/>
            <w:shd w:val="clear" w:color="auto" w:fill="FFFFFF"/>
          </w:tcPr>
          <w:p w:rsidR="00622330" w:rsidRDefault="00622330">
            <w:pPr>
              <w:framePr w:w="11030" w:h="3854" w:wrap="none" w:vAnchor="page" w:hAnchor="page" w:x="297" w:y="187"/>
              <w:rPr>
                <w:sz w:val="10"/>
                <w:szCs w:val="10"/>
              </w:rPr>
            </w:pPr>
          </w:p>
        </w:tc>
        <w:tc>
          <w:tcPr>
            <w:tcW w:w="2746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spacing w:after="100" w:line="156" w:lineRule="exact"/>
              <w:ind w:left="200"/>
            </w:pPr>
            <w:r>
              <w:rPr>
                <w:rStyle w:val="Bodytext21"/>
              </w:rPr>
              <w:t>23 320,51 Kč 134 370,51 Kč</w:t>
            </w:r>
          </w:p>
          <w:p w:rsidR="00622330" w:rsidRDefault="00E027E5">
            <w:pPr>
              <w:pStyle w:val="Bodytext20"/>
              <w:framePr w:w="11030" w:h="3854" w:wrap="none" w:vAnchor="page" w:hAnchor="page" w:x="297" w:y="187"/>
              <w:shd w:val="clear" w:color="auto" w:fill="auto"/>
              <w:tabs>
                <w:tab w:val="left" w:leader="underscore" w:pos="115"/>
                <w:tab w:val="left" w:leader="underscore" w:pos="941"/>
              </w:tabs>
              <w:spacing w:before="100" w:line="212" w:lineRule="exact"/>
              <w:jc w:val="both"/>
            </w:pPr>
            <w:r>
              <w:rPr>
                <w:rStyle w:val="Bodytext295pt"/>
              </w:rPr>
              <w:tab/>
            </w:r>
            <w:r>
              <w:rPr>
                <w:rStyle w:val="Bodytext295pt"/>
              </w:rPr>
              <w:tab/>
            </w:r>
            <w:r>
              <w:rPr>
                <w:rStyle w:val="Bodytext295pt"/>
              </w:rPr>
              <w:t xml:space="preserve"> 134 370.51 Kč</w:t>
            </w:r>
          </w:p>
        </w:tc>
      </w:tr>
    </w:tbl>
    <w:p w:rsidR="00622330" w:rsidRDefault="00622330">
      <w:pPr>
        <w:rPr>
          <w:sz w:val="2"/>
          <w:szCs w:val="2"/>
        </w:rPr>
      </w:pPr>
      <w:bookmarkStart w:id="1" w:name="_GoBack"/>
      <w:bookmarkEnd w:id="1"/>
    </w:p>
    <w:sectPr w:rsidR="006223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E5" w:rsidRDefault="00E027E5">
      <w:r>
        <w:separator/>
      </w:r>
    </w:p>
  </w:endnote>
  <w:endnote w:type="continuationSeparator" w:id="0">
    <w:p w:rsidR="00E027E5" w:rsidRDefault="00E0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E5" w:rsidRDefault="00E027E5"/>
  </w:footnote>
  <w:footnote w:type="continuationSeparator" w:id="0">
    <w:p w:rsidR="00E027E5" w:rsidRDefault="00E027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30"/>
    <w:rsid w:val="00115E65"/>
    <w:rsid w:val="00622330"/>
    <w:rsid w:val="00E0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F2BEF-0F35-490E-9598-6B7A01E3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8pt">
    <w:name w:val="Body text|2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0pt">
    <w:name w:val="Body text|2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">
    <w:name w:val="Body text|2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7ptNotBold">
    <w:name w:val="Picture caption|1 + 7 pt;Not Bold"/>
    <w:basedOn w:val="Picturecaption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65ptItalic">
    <w:name w:val="Body text|2 + 6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Bold">
    <w:name w:val="Body text|2 + 6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660" w:line="212" w:lineRule="exac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187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178" w:lineRule="exact"/>
      <w:ind w:firstLine="640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87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2021-08-27T12:02:00Z</dcterms:created>
  <dcterms:modified xsi:type="dcterms:W3CDTF">2021-08-27T12:02:00Z</dcterms:modified>
</cp:coreProperties>
</file>