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008 39 027,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Znojmo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707/25, 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669 02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Krajským soudem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 Pr, vložka 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Ing. Zd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0"/>
        </w:tabs>
        <w:spacing w:before="12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08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L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 Hosov 46, 586 01 Jihlava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O:       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CZ26227428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71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osoba k zastupování ve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smluvních:  Ing.Lud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 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kupující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druhé (dále jen „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48" w:right="868" w:hanging="32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 (spol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vírají níže uvedeného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síce a 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 § 2079 a násl. zákon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 zákoník,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(dále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5" w:right="52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68" w:lineRule="exact"/>
        <w:ind w:left="4458" w:right="868" w:hanging="2911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 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. 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7/III/2021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30" w:right="42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tato 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75" w:right="538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 odevzdán kupujícímu 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 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2" w:after="0" w:line="275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46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a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3241"/>
          <w:tab w:val="left" w:pos="5944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hmotou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délkách: 4,0m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2% 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2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 pásmem, a to vše dle platných objemových 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9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ské 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(vláknina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 použit 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faktor 0,60.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5" w:right="535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na následující 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3"/>
        </w:tabs>
        <w:spacing w:before="242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III.A/B/C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rovec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D  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smrk agregát-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 C/D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tvrdou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600" behindDoc="0" locked="0" layoutInCell="1" allowOverlap="1">
            <wp:simplePos x="0" y="0"/>
            <wp:positionH relativeFrom="page">
              <wp:posOffset>5340095</wp:posOffset>
            </wp:positionH>
            <wp:positionV relativeFrom="paragraph">
              <wp:posOffset>175260</wp:posOffset>
            </wp:positionV>
            <wp:extent cx="394920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4920" cy="168707"/>
                    </a:xfrm>
                    <a:custGeom>
                      <a:rect l="l" t="t" r="r" b="b"/>
                      <a:pathLst>
                        <a:path w="394920" h="168707">
                          <a:moveTo>
                            <a:pt x="0" y="168707"/>
                          </a:moveTo>
                          <a:lnTo>
                            <a:pt x="394920" y="168707"/>
                          </a:lnTo>
                          <a:lnTo>
                            <a:pt x="3949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3012607</wp:posOffset>
            </wp:positionH>
            <wp:positionV relativeFrom="paragraph">
              <wp:posOffset>393973</wp:posOffset>
            </wp:positionV>
            <wp:extent cx="86763" cy="14461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763" cy="14461"/>
                    </a:xfrm>
                    <a:custGeom>
                      <a:rect l="l" t="t" r="r" b="b"/>
                      <a:pathLst>
                        <a:path w="124863" h="52561">
                          <a:moveTo>
                            <a:pt x="0" y="52561"/>
                          </a:moveTo>
                          <a:lnTo>
                            <a:pt x="124863" y="52561"/>
                          </a:lnTo>
                          <a:lnTo>
                            <a:pt x="124863" y="0"/>
                          </a:lnTo>
                          <a:lnTo>
                            <a:pt x="0" y="0"/>
                          </a:lnTo>
                          <a:lnTo>
                            <a:pt x="0" y="52561"/>
                          </a:lnTo>
                          <a:close/>
                        </a:path>
                      </a:pathLst>
                    </a:custGeom>
                    <a:noFill/>
                    <a:ln w="5241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76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 hnilobou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a 2,50 m 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76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líp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III.C/D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vláknina jehl.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vláknina listnatá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tvrdý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694" w:type="dxa"/>
        <w:tblLook w:val="04A0" w:firstRow="1" w:lastRow="0" w:firstColumn="1" w:lastColumn="0" w:noHBand="0" w:noVBand="1"/>
      </w:tblPr>
      <w:tblGrid>
        <w:gridCol w:w="100"/>
        <w:gridCol w:w="679"/>
      </w:tblGrid>
      <w:tr>
        <w:trPr>
          <w:trHeight w:hRule="exact" w:val="265"/>
        </w:trPr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770" w:space="-20"/>
            <w:col w:w="820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jso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stanoveny 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prodávajícímu; ust. § 2089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splatn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faktury 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5" w:lineRule="exact"/>
        <w:ind w:left="353" w:right="86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 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dne, kdy byla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04"/>
          <w:tab w:val="left" w:pos="3636"/>
          <w:tab w:val="left" w:pos="6101"/>
        </w:tabs>
        <w:spacing w:before="0" w:after="0" w:line="276" w:lineRule="exact"/>
        <w:ind w:left="919" w:right="86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2.000.000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2" w:after="0" w:line="275" w:lineRule="exact"/>
        <w:ind w:left="919" w:right="86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jícímu smluvní 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výši 0,05%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 den 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01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>
        <w:drawing>
          <wp:anchor simplePos="0" relativeHeight="251658523" behindDoc="1" locked="0" layoutInCell="1" allowOverlap="1">
            <wp:simplePos x="0" y="0"/>
            <wp:positionH relativeFrom="page">
              <wp:posOffset>4623180</wp:posOffset>
            </wp:positionH>
            <wp:positionV relativeFrom="line">
              <wp:posOffset>70256</wp:posOffset>
            </wp:positionV>
            <wp:extent cx="1010793" cy="17526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0793" cy="175261"/>
                    </a:xfrm>
                    <a:custGeom>
                      <a:rect l="l" t="t" r="r" b="b"/>
                      <a:pathLst>
                        <a:path w="1010793" h="175261">
                          <a:moveTo>
                            <a:pt x="0" y="0"/>
                          </a:moveTo>
                          <a:lnTo>
                            <a:pt x="1010793" y="0"/>
                          </a:lnTo>
                          <a:lnTo>
                            <a:pt x="1010793" y="175261"/>
                          </a:lnTo>
                          <a:lnTo>
                            <a:pt x="0" y="1752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následující dob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23.8.2021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30.9.2021. Doba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19" w:right="867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37"/>
          <w:tab w:val="left" w:pos="3395"/>
          <w:tab w:val="left" w:pos="4053"/>
          <w:tab w:val="left" w:pos="4978"/>
          <w:tab w:val="left" w:pos="5410"/>
          <w:tab w:val="left" w:pos="5911"/>
          <w:tab w:val="left" w:pos="6948"/>
          <w:tab w:val="left" w:pos="7914"/>
          <w:tab w:val="left" w:pos="9014"/>
        </w:tabs>
        <w:spacing w:before="0" w:after="0" w:line="275" w:lineRule="exact"/>
        <w:ind w:left="919" w:right="869" w:firstLine="0"/>
      </w:pPr>
      <w:r>
        <w:drawing>
          <wp:anchor simplePos="0" relativeHeight="251658246" behindDoc="1" locked="0" layoutInCell="1" allowOverlap="1">
            <wp:simplePos x="0" y="0"/>
            <wp:positionH relativeFrom="page">
              <wp:posOffset>3492372</wp:posOffset>
            </wp:positionH>
            <wp:positionV relativeFrom="line">
              <wp:posOffset>101</wp:posOffset>
            </wp:positionV>
            <wp:extent cx="274320" cy="17556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0" cy="175565"/>
                    </a:xfrm>
                    <a:custGeom>
                      <a:rect l="l" t="t" r="r" b="b"/>
                      <a:pathLst>
                        <a:path w="274320" h="175565">
                          <a:moveTo>
                            <a:pt x="0" y="0"/>
                          </a:moveTo>
                          <a:lnTo>
                            <a:pt x="274320" y="0"/>
                          </a:lnTo>
                          <a:lnTo>
                            <a:pt x="274320" y="175565"/>
                          </a:lnTo>
                          <a:lnTo>
                            <a:pt x="0" y="1755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 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elektronické pošty 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0"/>
          <w:tab w:val="left" w:pos="1826"/>
          <w:tab w:val="left" w:pos="3901"/>
        </w:tabs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prodávajícího; písemná forma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e-mailu aneb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8865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>
        <w:drawing>
          <wp:anchor simplePos="0" relativeHeight="251658340" behindDoc="1" locked="0" layoutInCell="1" allowOverlap="1">
            <wp:simplePos x="0" y="0"/>
            <wp:positionH relativeFrom="page">
              <wp:posOffset>1434338</wp:posOffset>
            </wp:positionH>
            <wp:positionV relativeFrom="line">
              <wp:posOffset>-5943</wp:posOffset>
            </wp:positionV>
            <wp:extent cx="457200" cy="17564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200" cy="175640"/>
                    </a:xfrm>
                    <a:custGeom>
                      <a:rect l="l" t="t" r="r" b="b"/>
                      <a:pathLst>
                        <a:path w="457200" h="175640">
                          <a:moveTo>
                            <a:pt x="0" y="0"/>
                          </a:moveTo>
                          <a:lnTo>
                            <a:pt x="457200" y="0"/>
                          </a:lnTo>
                          <a:lnTo>
                            <a:pt x="457200" y="175640"/>
                          </a:lnTo>
                          <a:lnTo>
                            <a:pt x="0" y="1756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9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 ust. § 2124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8" w:after="0" w:line="395" w:lineRule="exact"/>
        <w:ind w:left="353" w:right="869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 podle ust.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9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jd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 je 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právo pouze na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"/>
          <w:tab w:val="left" w:pos="1097"/>
          <w:tab w:val="left" w:pos="7845"/>
        </w:tabs>
        <w:spacing w:before="22" w:after="0" w:line="516" w:lineRule="exact"/>
        <w:ind w:left="353" w:right="869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3.10.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9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Za jakékoli jiné zjevné 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popsány v dodacím listu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z 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1"/>
        </w:tabs>
        <w:spacing w:before="232" w:after="0" w:line="275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z objektivních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 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tím vzniklé škody, ani ušlého 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89" w:right="530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1491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smlouvu 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 jen na základ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 smluvních stran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obdrží dva stejnopisy a kupující jeden 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0" w:after="0" w:line="276" w:lineRule="exact"/>
        <w:ind w:left="919" w:right="871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 o mezinárodní koupi zboží, pokud by se 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povaze Smluvních stran aplikovala, je 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spory vyplývající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39" w:right="123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sídla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smlouvy nesmí být vykl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dán v rozporu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a nezakládá žádný závazek žádné ze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si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ejí, aby nad rámec výslovných ustanovení této smlouvy byla 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 je v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si 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 mezi nimi zaved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obchodních zvyklostí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2" w:after="0" w:line="275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2" w:after="0" w:line="275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tuto smlouvu: ust. § 557 (pravidlo 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1800 (doložky v adhezních smlouvách) a ust. § 1805 odst. 2 (zákaz 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ve smyslu ust. § 630 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tak, že práva vyplývající z 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práva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 jakkoliv související, 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 kdy právo mohlo být 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úroky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é z ustanovení této smlouvy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platným, posoudí se vliv 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této smlouvy došlo i bez neplatné (resp. zdánlivé)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podle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340/2015 Sb.,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 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ním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 smlouvy do registru 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podpis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69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tuto smlouvu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srozumiteln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což 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23.8.2021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0"/>
        </w:tabs>
        <w:spacing w:before="28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39"/>
          <w:tab w:val="left" w:pos="7401"/>
        </w:tabs>
        <w:spacing w:before="0" w:after="0" w:line="276" w:lineRule="exact"/>
        <w:ind w:left="353" w:right="899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______________________________________________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L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52"/>
        </w:tabs>
        <w:spacing w:before="0" w:after="0" w:line="265" w:lineRule="exact"/>
        <w:ind w:left="2279" w:right="158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 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0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2021-08-27T08:28:17Z</dcterms:created>
  <dcterms:modified xsi:type="dcterms:W3CDTF">2021-08-27T08:28:17Z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